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DA14385" wp14:paraId="2C078E63" wp14:textId="57DD43B9">
      <w:pPr>
        <w:pStyle w:val="Normal"/>
      </w:pPr>
      <w:r w:rsidRPr="0DA14385" w:rsidR="32612F91">
        <w:rPr>
          <w:rFonts w:ascii="Aptos" w:hAnsi="Aptos" w:eastAsia="Aptos" w:cs="Aptos"/>
          <w:noProof w:val="0"/>
          <w:sz w:val="24"/>
          <w:szCs w:val="24"/>
          <w:lang w:val="en-US"/>
        </w:rPr>
        <w:t>CHAPTER 7: OBSERVATIONAL VALIDATION AND COMPARATIVE ANALYSIS</w:t>
      </w:r>
    </w:p>
    <w:p w:rsidR="32612F91" w:rsidP="0DA14385" w:rsidRDefault="32612F91" w14:paraId="2A707B94" w14:textId="472F2DF3">
      <w:pPr>
        <w:pStyle w:val="Heading2"/>
        <w:spacing w:before="0" w:beforeAutospacing="off" w:after="299" w:afterAutospacing="off"/>
      </w:pPr>
      <w:r w:rsidRPr="0DA14385" w:rsidR="32612F91">
        <w:rPr>
          <w:rFonts w:ascii="Aptos" w:hAnsi="Aptos" w:eastAsia="Aptos" w:cs="Aptos"/>
          <w:b w:val="1"/>
          <w:bCs w:val="1"/>
          <w:noProof w:val="0"/>
          <w:sz w:val="36"/>
          <w:szCs w:val="36"/>
          <w:lang w:val="en-US"/>
        </w:rPr>
        <w:t>Case Study: The Compact Electromechanical Engine Template</w:t>
      </w:r>
    </w:p>
    <w:p w:rsidR="32612F91" w:rsidP="0DA14385" w:rsidRDefault="32612F91" w14:paraId="68E44F2A" w14:textId="4CB11264">
      <w:pPr>
        <w:pStyle w:val="Heading3"/>
        <w:spacing w:before="0" w:beforeAutospacing="off" w:after="281" w:afterAutospacing="off"/>
      </w:pPr>
      <w:r w:rsidRPr="0DA14385" w:rsidR="32612F91">
        <w:rPr>
          <w:rFonts w:ascii="Aptos" w:hAnsi="Aptos" w:eastAsia="Aptos" w:cs="Aptos"/>
          <w:b w:val="1"/>
          <w:bCs w:val="1"/>
          <w:noProof w:val="0"/>
          <w:sz w:val="28"/>
          <w:szCs w:val="28"/>
          <w:lang w:val="en-US"/>
        </w:rPr>
        <w:t>7.1 Introduction</w:t>
      </w:r>
    </w:p>
    <w:p w:rsidR="32612F91" w:rsidP="0DA14385" w:rsidRDefault="32612F91" w14:paraId="5AB6E733" w14:textId="17A71D70">
      <w:pPr>
        <w:spacing w:before="0" w:beforeAutospacing="off" w:after="240" w:afterAutospacing="off"/>
      </w:pPr>
      <w:r w:rsidRPr="0DA14385" w:rsidR="32612F91">
        <w:rPr>
          <w:rFonts w:ascii="Aptos" w:hAnsi="Aptos" w:eastAsia="Aptos" w:cs="Aptos"/>
          <w:noProof w:val="0"/>
          <w:sz w:val="24"/>
          <w:szCs w:val="24"/>
          <w:lang w:val="en-US"/>
        </w:rPr>
        <w:t>A primary metric for the validity of any theoretical framework is its parsimony—its ability to explain diverse, high-energy cosmic phenomena using a single, scalable set of physical laws without shifting mathematical constraints. Standard astrophysical models frequently violate this principle when analyzing high-mass compact objects, abandoning the classical electrodynamics used for standard pulsars and substituting abstract, metric-driven spacetime geometries to explain identical observational features.</w:t>
      </w:r>
    </w:p>
    <w:p w:rsidR="32612F91" w:rsidP="0DA14385" w:rsidRDefault="32612F91" w14:paraId="7997CF8F" w14:textId="768C16D8">
      <w:pPr>
        <w:spacing w:before="0" w:beforeAutospacing="off" w:after="240" w:afterAutospacing="off"/>
      </w:pPr>
      <w:r w:rsidRPr="0DA14385" w:rsidR="32612F91">
        <w:rPr>
          <w:rFonts w:ascii="Aptos" w:hAnsi="Aptos" w:eastAsia="Aptos" w:cs="Aptos"/>
          <w:noProof w:val="0"/>
          <w:sz w:val="24"/>
          <w:szCs w:val="24"/>
          <w:lang w:val="en-US"/>
        </w:rPr>
        <w:t>This chapter presents a comprehensive case study of the compact electromechanical engine template under the Coalition Theory framework. By evaluating real-world multi-wavelength data from active stellar systems (such as the Crab Pulsar engine), we demonstrate that the Coalition Model deterministically predicts observed structural geometries with superior mathematical continuity and physical accuracy.</w:t>
      </w:r>
    </w:p>
    <w:p w:rsidR="0DA14385" w:rsidRDefault="0DA14385" w14:paraId="27A2833C" w14:textId="42959763"/>
    <w:p w:rsidR="32612F91" w:rsidP="0DA14385" w:rsidRDefault="32612F91" w14:paraId="52197B3E" w14:textId="54B1FEE6">
      <w:pPr>
        <w:pStyle w:val="Heading3"/>
        <w:spacing w:before="0" w:beforeAutospacing="off" w:after="281" w:afterAutospacing="off"/>
      </w:pPr>
      <w:r w:rsidRPr="0DA14385" w:rsidR="32612F91">
        <w:rPr>
          <w:rFonts w:ascii="Aptos" w:hAnsi="Aptos" w:eastAsia="Aptos" w:cs="Aptos"/>
          <w:b w:val="1"/>
          <w:bCs w:val="1"/>
          <w:noProof w:val="0"/>
          <w:sz w:val="28"/>
          <w:szCs w:val="28"/>
          <w:lang w:val="en-US"/>
        </w:rPr>
        <w:t>7.2 The Core Interface and Boundary Dynamics</w:t>
      </w:r>
    </w:p>
    <w:p w:rsidR="32612F91" w:rsidP="0DA14385" w:rsidRDefault="32612F91" w14:paraId="7B47AFF1" w14:textId="765D2BFF">
      <w:pPr>
        <w:spacing w:before="0" w:beforeAutospacing="off" w:after="240" w:afterAutospacing="off"/>
      </w:pPr>
      <w:r w:rsidRPr="0DA14385" w:rsidR="32612F91">
        <w:rPr>
          <w:rFonts w:ascii="Aptos" w:hAnsi="Aptos" w:eastAsia="Aptos" w:cs="Aptos"/>
          <w:noProof w:val="0"/>
          <w:sz w:val="24"/>
          <w:szCs w:val="24"/>
          <w:lang w:val="en-US"/>
        </w:rPr>
        <w:t>Rather than utilizing an infinitely dense mathematical singularity or an absorptive event horizon, the Coalition Model establishes a localized, non-singular physical boundary condition at the fixed core radius ($R_{\text{cloak}} = 10.2\text{ km}$). For a standard benchmark engine of $1.44 \text{ solar masses } (M_\odot)$ rotating at a high frequency ($f = 700\text{ Hz}$), this boundary layer represents a region of near-infinite electrical conductivity.</w:t>
      </w:r>
    </w:p>
    <w:p w:rsidR="32612F91" w:rsidP="0DA14385" w:rsidRDefault="32612F91" w14:paraId="465C81E2" w14:textId="43591121">
      <w:pPr>
        <w:spacing w:before="0" w:beforeAutospacing="off" w:after="240" w:afterAutospacing="off"/>
      </w:pPr>
      <w:r w:rsidRPr="0DA14385" w:rsidR="32612F91">
        <w:rPr>
          <w:rFonts w:ascii="Aptos" w:hAnsi="Aptos" w:eastAsia="Aptos" w:cs="Aptos"/>
          <w:noProof w:val="0"/>
          <w:sz w:val="24"/>
          <w:szCs w:val="24"/>
          <w:lang w:val="en-US"/>
        </w:rPr>
        <w:t xml:space="preserve">It is critical to specify that this boundary acts as a </w:t>
      </w:r>
      <w:r w:rsidRPr="0DA14385" w:rsidR="32612F91">
        <w:rPr>
          <w:rFonts w:ascii="Aptos" w:hAnsi="Aptos" w:eastAsia="Aptos" w:cs="Aptos"/>
          <w:b w:val="1"/>
          <w:bCs w:val="1"/>
          <w:noProof w:val="0"/>
          <w:sz w:val="24"/>
          <w:szCs w:val="24"/>
          <w:lang w:val="en-US"/>
        </w:rPr>
        <w:t>highly reflective surface not in the optical sense of stellar luminosity, but in the strict domain of electrodynamic wave mechanics.</w:t>
      </w:r>
      <w:r w:rsidRPr="0DA14385" w:rsidR="32612F91">
        <w:rPr>
          <w:rFonts w:ascii="Aptos" w:hAnsi="Aptos" w:eastAsia="Aptos" w:cs="Aptos"/>
          <w:noProof w:val="0"/>
          <w:sz w:val="24"/>
          <w:szCs w:val="24"/>
          <w:lang w:val="en-US"/>
        </w:rPr>
        <w:t xml:space="preserve"> Because the surface possesses an ultra-high density of mobile charge carriers, incoming low-frequency magnetohydrodynamic (MHD) waves, plasma pressures, and rotating magnetic field lines induce immediate, localized surface currents.</w:t>
      </w:r>
    </w:p>
    <w:p w:rsidR="32612F91" w:rsidP="0DA14385" w:rsidRDefault="32612F91" w14:paraId="2300B623" w14:textId="4389A369">
      <w:pPr>
        <w:spacing w:before="0" w:beforeAutospacing="off" w:after="240" w:afterAutospacing="off"/>
      </w:pPr>
      <w:r w:rsidRPr="0DA14385" w:rsidR="32612F91">
        <w:rPr>
          <w:rFonts w:ascii="Aptos" w:hAnsi="Aptos" w:eastAsia="Aptos" w:cs="Aptos"/>
          <w:noProof w:val="0"/>
          <w:sz w:val="24"/>
          <w:szCs w:val="24"/>
          <w:lang w:val="en-US"/>
        </w:rPr>
        <w:t xml:space="preserve">According to fundamental electrodynamic boundary conditions, these induced currents generate a counter-propagating field that perfectly cancels penetration into the core interior. Consequently, the boundary acts as an </w:t>
      </w:r>
      <w:r w:rsidRPr="0DA14385" w:rsidR="32612F91">
        <w:rPr>
          <w:rFonts w:ascii="Aptos" w:hAnsi="Aptos" w:eastAsia="Aptos" w:cs="Aptos"/>
          <w:b w:val="1"/>
          <w:bCs w:val="1"/>
          <w:noProof w:val="0"/>
          <w:sz w:val="24"/>
          <w:szCs w:val="24"/>
          <w:lang w:val="en-US"/>
        </w:rPr>
        <w:t>electromagnetic mirror</w:t>
      </w:r>
      <w:r w:rsidRPr="0DA14385" w:rsidR="32612F91">
        <w:rPr>
          <w:rFonts w:ascii="Aptos" w:hAnsi="Aptos" w:eastAsia="Aptos" w:cs="Aptos"/>
          <w:noProof w:val="0"/>
          <w:sz w:val="24"/>
          <w:szCs w:val="24"/>
          <w:lang w:val="en-US"/>
        </w:rPr>
        <w:t>, deflecting the incoming toroidal plasma energy. Because the energy cannot penetrate the solid core boundary, it is mechanically forced to deflect and channel strictly along the star's rotational axis. This continuous electrodynamic deflection serves as the primary driver for the highly collimated vertical polar exhaust streams.</w:t>
      </w:r>
    </w:p>
    <w:p w:rsidR="32612F91" w:rsidP="0DA14385" w:rsidRDefault="32612F91" w14:paraId="193A19BD" w14:textId="0FEFF341">
      <w:pPr>
        <w:pStyle w:val="Heading3"/>
        <w:spacing w:before="0" w:beforeAutospacing="off" w:after="281" w:afterAutospacing="off"/>
      </w:pPr>
      <w:r w:rsidRPr="0DA14385" w:rsidR="32612F91">
        <w:rPr>
          <w:rFonts w:ascii="Aptos" w:hAnsi="Aptos" w:eastAsia="Aptos" w:cs="Aptos"/>
          <w:b w:val="1"/>
          <w:bCs w:val="1"/>
          <w:noProof w:val="0"/>
          <w:sz w:val="28"/>
          <w:szCs w:val="28"/>
          <w:lang w:val="en-US"/>
        </w:rPr>
        <w:t>7.3 Confinement Mechanics and Torque Equations</w:t>
      </w:r>
    </w:p>
    <w:p w:rsidR="32612F91" w:rsidP="0DA14385" w:rsidRDefault="32612F91" w14:paraId="407D3307" w14:textId="37E4E85D">
      <w:pPr>
        <w:spacing w:before="0" w:beforeAutospacing="off" w:after="240" w:afterAutospacing="off"/>
      </w:pPr>
      <w:r w:rsidRPr="0DA14385" w:rsidR="32612F91">
        <w:rPr>
          <w:rFonts w:ascii="Aptos" w:hAnsi="Aptos" w:eastAsia="Aptos" w:cs="Aptos"/>
          <w:noProof w:val="0"/>
          <w:sz w:val="24"/>
          <w:szCs w:val="24"/>
          <w:lang w:val="en-US"/>
        </w:rPr>
        <w:t>The horizontal accretion disk and equatorial plasma torus are governed by localized fluid dynamics operating in perfect equilibrium with the rotating core. The physical orientation and confinement of this system are described by classical electromechanical principles.</w:t>
      </w:r>
    </w:p>
    <w:p w:rsidR="32612F91" w:rsidP="0DA14385" w:rsidRDefault="32612F91" w14:paraId="0103A368" w14:textId="03FB3F05">
      <w:pPr>
        <w:spacing w:before="0" w:beforeAutospacing="off" w:after="240" w:afterAutospacing="off"/>
      </w:pPr>
      <w:r w:rsidRPr="0DA14385" w:rsidR="32612F91">
        <w:rPr>
          <w:rFonts w:ascii="Aptos" w:hAnsi="Aptos" w:eastAsia="Aptos" w:cs="Aptos"/>
          <w:noProof w:val="0"/>
          <w:sz w:val="24"/>
          <w:szCs w:val="24"/>
          <w:lang w:val="en-US"/>
        </w:rPr>
        <w:t xml:space="preserve">When the plasma flows counterclockwise within the equatorial plane, it establishes a physical charge-carrier vector. Mechanically, this counterclockwise negative electron propagation dictates a </w:t>
      </w:r>
      <w:r w:rsidRPr="0DA14385" w:rsidR="32612F91">
        <w:rPr>
          <w:rFonts w:ascii="Aptos" w:hAnsi="Aptos" w:eastAsia="Aptos" w:cs="Aptos"/>
          <w:b w:val="1"/>
          <w:bCs w:val="1"/>
          <w:noProof w:val="0"/>
          <w:sz w:val="24"/>
          <w:szCs w:val="24"/>
          <w:lang w:val="en-US"/>
        </w:rPr>
        <w:t>clockwise conventional current ($I$)</w:t>
      </w:r>
      <w:r w:rsidRPr="0DA14385" w:rsidR="32612F91">
        <w:rPr>
          <w:rFonts w:ascii="Aptos" w:hAnsi="Aptos" w:eastAsia="Aptos" w:cs="Aptos"/>
          <w:noProof w:val="0"/>
          <w:sz w:val="24"/>
          <w:szCs w:val="24"/>
          <w:lang w:val="en-US"/>
        </w:rPr>
        <w:t xml:space="preserve">. Applying the </w:t>
      </w:r>
      <w:r w:rsidRPr="0DA14385" w:rsidR="32612F91">
        <w:rPr>
          <w:rFonts w:ascii="Aptos" w:hAnsi="Aptos" w:eastAsia="Aptos" w:cs="Aptos"/>
          <w:b w:val="1"/>
          <w:bCs w:val="1"/>
          <w:noProof w:val="0"/>
          <w:sz w:val="24"/>
          <w:szCs w:val="24"/>
          <w:lang w:val="en-US"/>
        </w:rPr>
        <w:t>Right-Hand Rule</w:t>
      </w:r>
      <w:r w:rsidRPr="0DA14385" w:rsidR="32612F91">
        <w:rPr>
          <w:rFonts w:ascii="Aptos" w:hAnsi="Aptos" w:eastAsia="Aptos" w:cs="Aptos"/>
          <w:noProof w:val="0"/>
          <w:sz w:val="24"/>
          <w:szCs w:val="24"/>
          <w:lang w:val="en-US"/>
        </w:rPr>
        <w:t xml:space="preserve"> to this clockwise conventional current deterministically generates a tight, helical magnetic confinement field wrapping around the torus.</w:t>
      </w:r>
    </w:p>
    <w:p w:rsidR="32612F91" w:rsidP="0DA14385" w:rsidRDefault="32612F91" w14:paraId="7D60C2A7" w14:textId="64DB0AE9">
      <w:pPr>
        <w:spacing w:before="0" w:beforeAutospacing="off" w:after="240" w:afterAutospacing="off"/>
      </w:pPr>
      <w:r w:rsidRPr="0DA14385" w:rsidR="32612F91">
        <w:rPr>
          <w:rFonts w:ascii="Aptos" w:hAnsi="Aptos" w:eastAsia="Aptos" w:cs="Aptos"/>
          <w:noProof w:val="0"/>
          <w:sz w:val="24"/>
          <w:szCs w:val="24"/>
          <w:lang w:val="en-US"/>
        </w:rPr>
        <w:t>This electromechanical framework ensures that the horizontal plasma torus remains perfectly stable and confined under local medium pressures. The fast $700\text{ Hz}$ core rotation acts as a macro-scale induction dynamo, continuously spinning the anchored magnetic field lines and maintaining a steady-state potential difference between the equator and the poles. Because particle velocity cleanly decouples from source kinematics at the $10.2\text{ km}$ boundary layer, the intense rotational kinetic energy is transferred smoothly into the surrounding medium without causing chaotic field tearing or relativistic distortions.</w:t>
      </w:r>
    </w:p>
    <w:p w:rsidR="0DA14385" w:rsidRDefault="0DA14385" w14:paraId="5991E8FD" w14:textId="0790853F"/>
    <w:p w:rsidR="32612F91" w:rsidP="0DA14385" w:rsidRDefault="32612F91" w14:paraId="199F694F" w14:textId="18925594">
      <w:pPr>
        <w:pStyle w:val="Heading3"/>
        <w:spacing w:before="0" w:beforeAutospacing="off" w:after="281" w:afterAutospacing="off"/>
      </w:pPr>
      <w:r w:rsidRPr="0DA14385" w:rsidR="32612F91">
        <w:rPr>
          <w:rFonts w:ascii="Aptos" w:hAnsi="Aptos" w:eastAsia="Aptos" w:cs="Aptos"/>
          <w:b w:val="1"/>
          <w:bCs w:val="1"/>
          <w:noProof w:val="0"/>
          <w:sz w:val="28"/>
          <w:szCs w:val="28"/>
          <w:lang w:val="en-US"/>
        </w:rPr>
        <w:t>7.4 Comparative Analysis: Coalition Model vs. General Relativity</w:t>
      </w:r>
    </w:p>
    <w:p w:rsidR="32612F91" w:rsidP="0DA14385" w:rsidRDefault="32612F91" w14:paraId="36D10CE1" w14:textId="12E04279">
      <w:pPr>
        <w:spacing w:before="0" w:beforeAutospacing="off" w:after="240" w:afterAutospacing="off"/>
      </w:pPr>
      <w:r w:rsidRPr="0DA14385" w:rsidR="32612F91">
        <w:rPr>
          <w:rFonts w:ascii="Aptos" w:hAnsi="Aptos" w:eastAsia="Aptos" w:cs="Aptos"/>
          <w:noProof w:val="0"/>
          <w:sz w:val="24"/>
          <w:szCs w:val="24"/>
          <w:lang w:val="en-US"/>
        </w:rPr>
        <w:t>To establish the predictive power of this framework, it is valuable to contrast the Coalition Model's mechanics with mainstream General Relativity (GR) definitions across identical high-energy systems.</w:t>
      </w:r>
    </w:p>
    <w:tbl>
      <w:tblPr>
        <w:tblStyle w:val="TableNormal"/>
        <w:bidiVisual w:val="0"/>
        <w:tblW w:w="0" w:type="auto"/>
        <w:tblLook w:val="06A0" w:firstRow="1" w:lastRow="0" w:firstColumn="1" w:lastColumn="0" w:noHBand="1" w:noVBand="1"/>
      </w:tblPr>
      <w:tblGrid>
        <w:gridCol w:w="1872"/>
        <w:gridCol w:w="3981"/>
        <w:gridCol w:w="4947"/>
      </w:tblGrid>
      <w:tr w:rsidR="0DA14385" w:rsidTr="0DA14385" w14:paraId="6175A1CA">
        <w:trPr>
          <w:trHeight w:val="300"/>
        </w:trPr>
        <w:tc>
          <w:tcPr>
            <w:tcW w:w="1872" w:type="dxa"/>
            <w:tcBorders>
              <w:top w:val="single" w:sz="6"/>
              <w:left w:val="single" w:sz="6"/>
              <w:bottom w:val="single" w:sz="6"/>
              <w:right w:val="single" w:sz="6"/>
            </w:tcBorders>
            <w:tcMar/>
            <w:vAlign w:val="center"/>
          </w:tcPr>
          <w:p w:rsidR="0DA14385" w:rsidP="0DA14385" w:rsidRDefault="0DA14385" w14:paraId="307B2115" w14:textId="66D9FC83">
            <w:pPr>
              <w:spacing w:before="0" w:beforeAutospacing="off" w:after="0" w:afterAutospacing="off"/>
            </w:pPr>
            <w:r w:rsidRPr="0DA14385" w:rsidR="0DA14385">
              <w:rPr>
                <w:b w:val="1"/>
                <w:bCs w:val="1"/>
              </w:rPr>
              <w:t>Physical Boundary &amp; Mechanism</w:t>
            </w:r>
          </w:p>
        </w:tc>
        <w:tc>
          <w:tcPr>
            <w:tcW w:w="3981" w:type="dxa"/>
            <w:tcBorders>
              <w:top w:val="single" w:sz="6"/>
              <w:left w:val="single" w:sz="6"/>
              <w:bottom w:val="single" w:sz="6"/>
              <w:right w:val="single" w:sz="6"/>
            </w:tcBorders>
            <w:tcMar/>
            <w:vAlign w:val="center"/>
          </w:tcPr>
          <w:p w:rsidR="0DA14385" w:rsidP="0DA14385" w:rsidRDefault="0DA14385" w14:paraId="302B7E86" w14:textId="3BD15B70">
            <w:pPr>
              <w:spacing w:before="0" w:beforeAutospacing="off" w:after="0" w:afterAutospacing="off"/>
            </w:pPr>
            <w:r w:rsidRPr="0DA14385" w:rsidR="0DA14385">
              <w:rPr>
                <w:b w:val="1"/>
                <w:bCs w:val="1"/>
              </w:rPr>
              <w:t>Standard GR Framework</w:t>
            </w:r>
          </w:p>
        </w:tc>
        <w:tc>
          <w:tcPr>
            <w:tcW w:w="4947" w:type="dxa"/>
            <w:tcBorders>
              <w:top w:val="single" w:sz="6"/>
              <w:left w:val="single" w:sz="6"/>
              <w:bottom w:val="single" w:sz="6"/>
              <w:right w:val="single" w:sz="6"/>
            </w:tcBorders>
            <w:tcMar/>
            <w:vAlign w:val="center"/>
          </w:tcPr>
          <w:p w:rsidR="0DA14385" w:rsidP="0DA14385" w:rsidRDefault="0DA14385" w14:paraId="6E7CA011" w14:textId="3620D9BE">
            <w:pPr>
              <w:spacing w:before="0" w:beforeAutospacing="off" w:after="0" w:afterAutospacing="off"/>
            </w:pPr>
            <w:r w:rsidRPr="0DA14385" w:rsidR="0DA14385">
              <w:rPr>
                <w:b w:val="1"/>
                <w:bCs w:val="1"/>
              </w:rPr>
              <w:t>Coalition Theory Framework</w:t>
            </w:r>
          </w:p>
        </w:tc>
      </w:tr>
      <w:tr w:rsidR="0DA14385" w:rsidTr="0DA14385" w14:paraId="5AE32C7E">
        <w:trPr>
          <w:trHeight w:val="300"/>
        </w:trPr>
        <w:tc>
          <w:tcPr>
            <w:tcW w:w="1872" w:type="dxa"/>
            <w:tcBorders>
              <w:top w:val="single" w:sz="6"/>
              <w:left w:val="single" w:sz="6"/>
              <w:bottom w:val="single" w:sz="6"/>
              <w:right w:val="single" w:sz="6"/>
            </w:tcBorders>
            <w:tcMar/>
            <w:vAlign w:val="center"/>
          </w:tcPr>
          <w:p w:rsidR="0DA14385" w:rsidP="0DA14385" w:rsidRDefault="0DA14385" w14:paraId="00DCF1D5" w14:textId="4DF98A6B">
            <w:pPr>
              <w:spacing w:before="0" w:beforeAutospacing="off" w:after="0" w:afterAutospacing="off"/>
            </w:pPr>
            <w:r w:rsidRPr="0DA14385" w:rsidR="0DA14385">
              <w:rPr>
                <w:b w:val="1"/>
                <w:bCs w:val="1"/>
              </w:rPr>
              <w:t>Boundary Classification</w:t>
            </w:r>
          </w:p>
        </w:tc>
        <w:tc>
          <w:tcPr>
            <w:tcW w:w="3981" w:type="dxa"/>
            <w:tcBorders>
              <w:top w:val="single" w:sz="6"/>
              <w:left w:val="single" w:sz="6"/>
              <w:bottom w:val="single" w:sz="6"/>
              <w:right w:val="single" w:sz="6"/>
            </w:tcBorders>
            <w:tcMar/>
            <w:vAlign w:val="center"/>
          </w:tcPr>
          <w:p w:rsidR="0DA14385" w:rsidP="0DA14385" w:rsidRDefault="0DA14385" w14:paraId="60F433F9" w14:textId="4906D04F">
            <w:pPr>
              <w:spacing w:before="0" w:beforeAutospacing="off" w:after="0" w:afterAutospacing="off"/>
            </w:pPr>
            <w:r w:rsidR="0DA14385">
              <w:rPr/>
              <w:t>Event Horizon (Abstract, non-physical mathematical boundary).</w:t>
            </w:r>
          </w:p>
        </w:tc>
        <w:tc>
          <w:tcPr>
            <w:tcW w:w="4947" w:type="dxa"/>
            <w:tcBorders>
              <w:top w:val="single" w:sz="6"/>
              <w:left w:val="single" w:sz="6"/>
              <w:bottom w:val="single" w:sz="6"/>
              <w:right w:val="single" w:sz="6"/>
            </w:tcBorders>
            <w:tcMar/>
            <w:vAlign w:val="center"/>
          </w:tcPr>
          <w:p w:rsidR="0DA14385" w:rsidP="0DA14385" w:rsidRDefault="0DA14385" w14:paraId="19318063" w14:textId="111D947F">
            <w:pPr>
              <w:spacing w:before="0" w:beforeAutospacing="off" w:after="0" w:afterAutospacing="off"/>
            </w:pPr>
            <w:r w:rsidR="0DA14385">
              <w:rPr/>
              <w:t xml:space="preserve">Hard, highly conductive </w:t>
            </w:r>
            <w:r w:rsidRPr="0DA14385" w:rsidR="0DA14385">
              <w:rPr>
                <w:b w:val="1"/>
                <w:bCs w:val="1"/>
              </w:rPr>
              <w:t>physical boundary layer</w:t>
            </w:r>
            <w:r w:rsidR="0DA14385">
              <w:rPr/>
              <w:t xml:space="preserve"> ($R_{\text{cloak}} = 10.2\text{ km}$).</w:t>
            </w:r>
          </w:p>
        </w:tc>
      </w:tr>
      <w:tr w:rsidR="0DA14385" w:rsidTr="0DA14385" w14:paraId="5496E781">
        <w:trPr>
          <w:trHeight w:val="300"/>
        </w:trPr>
        <w:tc>
          <w:tcPr>
            <w:tcW w:w="1872" w:type="dxa"/>
            <w:tcBorders>
              <w:top w:val="single" w:sz="6"/>
              <w:left w:val="single" w:sz="6"/>
              <w:bottom w:val="single" w:sz="6"/>
              <w:right w:val="single" w:sz="6"/>
            </w:tcBorders>
            <w:tcMar/>
            <w:vAlign w:val="center"/>
          </w:tcPr>
          <w:p w:rsidR="0DA14385" w:rsidP="0DA14385" w:rsidRDefault="0DA14385" w14:paraId="53B71C4F" w14:textId="29FE42ED">
            <w:pPr>
              <w:spacing w:before="0" w:beforeAutospacing="off" w:after="0" w:afterAutospacing="off"/>
            </w:pPr>
            <w:r w:rsidRPr="0DA14385" w:rsidR="0DA14385">
              <w:rPr>
                <w:b w:val="1"/>
                <w:bCs w:val="1"/>
              </w:rPr>
              <w:t>Internal Mass Density</w:t>
            </w:r>
          </w:p>
        </w:tc>
        <w:tc>
          <w:tcPr>
            <w:tcW w:w="3981" w:type="dxa"/>
            <w:tcBorders>
              <w:top w:val="single" w:sz="6"/>
              <w:left w:val="single" w:sz="6"/>
              <w:bottom w:val="single" w:sz="6"/>
              <w:right w:val="single" w:sz="6"/>
            </w:tcBorders>
            <w:tcMar/>
            <w:vAlign w:val="center"/>
          </w:tcPr>
          <w:p w:rsidR="0DA14385" w:rsidP="0DA14385" w:rsidRDefault="0DA14385" w14:paraId="7FF15C78" w14:textId="1F886ECF">
            <w:pPr>
              <w:spacing w:before="0" w:beforeAutospacing="off" w:after="0" w:afterAutospacing="off"/>
            </w:pPr>
            <w:r w:rsidR="0DA14385">
              <w:rPr/>
              <w:t>Collapses to an infinite mathematical singularity; standard physics fails.</w:t>
            </w:r>
          </w:p>
        </w:tc>
        <w:tc>
          <w:tcPr>
            <w:tcW w:w="4947" w:type="dxa"/>
            <w:tcBorders>
              <w:top w:val="single" w:sz="6"/>
              <w:left w:val="single" w:sz="6"/>
              <w:bottom w:val="single" w:sz="6"/>
              <w:right w:val="single" w:sz="6"/>
            </w:tcBorders>
            <w:tcMar/>
            <w:vAlign w:val="center"/>
          </w:tcPr>
          <w:p w:rsidR="0DA14385" w:rsidP="0DA14385" w:rsidRDefault="0DA14385" w14:paraId="33A001F2" w14:textId="03C35866">
            <w:pPr>
              <w:spacing w:before="0" w:beforeAutospacing="off" w:after="0" w:afterAutospacing="off"/>
            </w:pPr>
            <w:r w:rsidR="0DA14385">
              <w:rPr/>
              <w:t xml:space="preserve">Finite, stable mass density ($1.44 M_\odot$) balanced by </w:t>
            </w:r>
            <w:r w:rsidRPr="0DA14385" w:rsidR="0DA14385">
              <w:rPr>
                <w:b w:val="1"/>
                <w:bCs w:val="1"/>
              </w:rPr>
              <w:t>local medium pressure equilibrium</w:t>
            </w:r>
            <w:r w:rsidR="0DA14385">
              <w:rPr/>
              <w:t>.</w:t>
            </w:r>
          </w:p>
        </w:tc>
      </w:tr>
      <w:tr w:rsidR="0DA14385" w:rsidTr="0DA14385" w14:paraId="163EB9B7">
        <w:trPr>
          <w:trHeight w:val="300"/>
        </w:trPr>
        <w:tc>
          <w:tcPr>
            <w:tcW w:w="1872" w:type="dxa"/>
            <w:tcBorders>
              <w:top w:val="single" w:sz="6"/>
              <w:left w:val="single" w:sz="6"/>
              <w:bottom w:val="single" w:sz="6"/>
              <w:right w:val="single" w:sz="6"/>
            </w:tcBorders>
            <w:tcMar/>
            <w:vAlign w:val="center"/>
          </w:tcPr>
          <w:p w:rsidR="0DA14385" w:rsidP="0DA14385" w:rsidRDefault="0DA14385" w14:paraId="53BD9642" w14:textId="74B544D3">
            <w:pPr>
              <w:spacing w:before="0" w:beforeAutospacing="off" w:after="0" w:afterAutospacing="off"/>
            </w:pPr>
            <w:r w:rsidRPr="0DA14385" w:rsidR="0DA14385">
              <w:rPr>
                <w:b w:val="1"/>
                <w:bCs w:val="1"/>
              </w:rPr>
              <w:t>Jet Production Mechanism</w:t>
            </w:r>
          </w:p>
        </w:tc>
        <w:tc>
          <w:tcPr>
            <w:tcW w:w="3981" w:type="dxa"/>
            <w:tcBorders>
              <w:top w:val="single" w:sz="6"/>
              <w:left w:val="single" w:sz="6"/>
              <w:bottom w:val="single" w:sz="6"/>
              <w:right w:val="single" w:sz="6"/>
            </w:tcBorders>
            <w:tcMar/>
            <w:vAlign w:val="center"/>
          </w:tcPr>
          <w:p w:rsidR="0DA14385" w:rsidP="0DA14385" w:rsidRDefault="0DA14385" w14:paraId="48BD8740" w14:textId="7CDFCF9D">
            <w:pPr>
              <w:spacing w:before="0" w:beforeAutospacing="off" w:after="0" w:afterAutospacing="off"/>
            </w:pPr>
            <w:r w:rsidR="0DA14385">
              <w:rPr/>
              <w:t>Relies on spacetime geometry extensions (Blandford-Znajek frame-dragging).</w:t>
            </w:r>
          </w:p>
        </w:tc>
        <w:tc>
          <w:tcPr>
            <w:tcW w:w="4947" w:type="dxa"/>
            <w:tcBorders>
              <w:top w:val="single" w:sz="6"/>
              <w:left w:val="single" w:sz="6"/>
              <w:bottom w:val="single" w:sz="6"/>
              <w:right w:val="single" w:sz="6"/>
            </w:tcBorders>
            <w:tcMar/>
            <w:vAlign w:val="center"/>
          </w:tcPr>
          <w:p w:rsidR="0DA14385" w:rsidP="0DA14385" w:rsidRDefault="0DA14385" w14:paraId="4831AFE7" w14:textId="3D08A2A7">
            <w:pPr>
              <w:spacing w:before="0" w:beforeAutospacing="off" w:after="0" w:afterAutospacing="off"/>
            </w:pPr>
            <w:r w:rsidR="0DA14385">
              <w:rPr/>
              <w:t xml:space="preserve">Retains classical </w:t>
            </w:r>
            <w:r w:rsidRPr="0DA14385" w:rsidR="0DA14385">
              <w:rPr>
                <w:b w:val="1"/>
                <w:bCs w:val="1"/>
              </w:rPr>
              <w:t>electrodynamic wave reflection</w:t>
            </w:r>
            <w:r w:rsidR="0DA14385">
              <w:rPr/>
              <w:t xml:space="preserve"> and fluid deflection.</w:t>
            </w:r>
          </w:p>
        </w:tc>
      </w:tr>
      <w:tr w:rsidR="0DA14385" w:rsidTr="0DA14385" w14:paraId="3C34A5F2">
        <w:trPr>
          <w:trHeight w:val="300"/>
        </w:trPr>
        <w:tc>
          <w:tcPr>
            <w:tcW w:w="1872" w:type="dxa"/>
            <w:tcBorders>
              <w:top w:val="single" w:sz="6"/>
              <w:left w:val="single" w:sz="6"/>
              <w:bottom w:val="single" w:sz="6"/>
              <w:right w:val="single" w:sz="6"/>
            </w:tcBorders>
            <w:tcMar/>
            <w:vAlign w:val="center"/>
          </w:tcPr>
          <w:p w:rsidR="0DA14385" w:rsidP="0DA14385" w:rsidRDefault="0DA14385" w14:paraId="22A52DBC" w14:textId="7CFC5700">
            <w:pPr>
              <w:spacing w:before="0" w:beforeAutospacing="off" w:after="0" w:afterAutospacing="off"/>
            </w:pPr>
            <w:r w:rsidRPr="0DA14385" w:rsidR="0DA14385">
              <w:rPr>
                <w:b w:val="1"/>
                <w:bCs w:val="1"/>
              </w:rPr>
              <w:t>Mathematical Continuity</w:t>
            </w:r>
          </w:p>
        </w:tc>
        <w:tc>
          <w:tcPr>
            <w:tcW w:w="3981" w:type="dxa"/>
            <w:tcBorders>
              <w:top w:val="single" w:sz="6"/>
              <w:left w:val="single" w:sz="6"/>
              <w:bottom w:val="single" w:sz="6"/>
              <w:right w:val="single" w:sz="6"/>
            </w:tcBorders>
            <w:tcMar/>
            <w:vAlign w:val="center"/>
          </w:tcPr>
          <w:p w:rsidR="0DA14385" w:rsidP="0DA14385" w:rsidRDefault="0DA14385" w14:paraId="5CAAFAAB" w14:textId="13B3C88A">
            <w:pPr>
              <w:spacing w:before="0" w:beforeAutospacing="off" w:after="0" w:afterAutospacing="off"/>
            </w:pPr>
            <w:r w:rsidRPr="0DA14385" w:rsidR="0DA14385">
              <w:rPr>
                <w:b w:val="1"/>
                <w:bCs w:val="1"/>
              </w:rPr>
              <w:t>Discontinuous.</w:t>
            </w:r>
            <w:r w:rsidR="0DA14385">
              <w:rPr/>
              <w:t xml:space="preserve"> Equations suffer from infinity errors at the boundary.</w:t>
            </w:r>
          </w:p>
        </w:tc>
        <w:tc>
          <w:tcPr>
            <w:tcW w:w="4947" w:type="dxa"/>
            <w:tcBorders>
              <w:top w:val="single" w:sz="6"/>
              <w:left w:val="single" w:sz="6"/>
              <w:bottom w:val="single" w:sz="6"/>
              <w:right w:val="single" w:sz="6"/>
            </w:tcBorders>
            <w:tcMar/>
            <w:vAlign w:val="center"/>
          </w:tcPr>
          <w:p w:rsidR="0DA14385" w:rsidP="0DA14385" w:rsidRDefault="0DA14385" w14:paraId="012E89F9" w14:textId="29E16445">
            <w:pPr>
              <w:spacing w:before="0" w:beforeAutospacing="off" w:after="0" w:afterAutospacing="off"/>
            </w:pPr>
            <w:r w:rsidRPr="0DA14385" w:rsidR="0DA14385">
              <w:rPr>
                <w:b w:val="1"/>
                <w:bCs w:val="1"/>
              </w:rPr>
              <w:t>Continuous.</w:t>
            </w:r>
            <w:r w:rsidR="0DA14385">
              <w:rPr/>
              <w:t xml:space="preserve"> Driven by localized, boundary-driven PDEs that scale uniformly.</w:t>
            </w:r>
          </w:p>
        </w:tc>
      </w:tr>
    </w:tbl>
    <w:p w:rsidR="2F3C1994" w:rsidP="0DA14385" w:rsidRDefault="2F3C1994" w14:paraId="21514F63" w14:textId="26E83AC5">
      <w:pPr>
        <w:pStyle w:val="Heading4"/>
        <w:bidi w:val="0"/>
        <w:spacing w:before="0" w:beforeAutospacing="off" w:after="319" w:afterAutospacing="off"/>
      </w:pPr>
      <w:r w:rsidRPr="0DA14385" w:rsidR="2F3C1994">
        <w:rPr>
          <w:rFonts w:ascii="Aptos" w:hAnsi="Aptos" w:eastAsia="Aptos" w:cs="Aptos"/>
          <w:b w:val="1"/>
          <w:bCs w:val="1"/>
          <w:noProof w:val="0"/>
          <w:sz w:val="24"/>
          <w:szCs w:val="24"/>
          <w:lang w:val="en-US"/>
        </w:rPr>
        <w:t>1. Resolution of the Mathematical Singularity</w:t>
      </w:r>
    </w:p>
    <w:p w:rsidR="2F3C1994" w:rsidP="0DA14385" w:rsidRDefault="2F3C1994" w14:paraId="2B475B74" w14:textId="76AD9DCB">
      <w:pPr>
        <w:bidi w:val="0"/>
        <w:spacing w:before="0" w:beforeAutospacing="off" w:after="240" w:afterAutospacing="off"/>
      </w:pPr>
      <w:r w:rsidRPr="0DA14385" w:rsidR="2F3C1994">
        <w:rPr>
          <w:rFonts w:ascii="Aptos" w:hAnsi="Aptos" w:eastAsia="Aptos" w:cs="Aptos"/>
          <w:noProof w:val="0"/>
          <w:sz w:val="24"/>
          <w:szCs w:val="24"/>
          <w:lang w:val="en-US"/>
        </w:rPr>
        <w:t>The standard GR framework suffers from a critical structural breakdown at the core boundary: its equations dictate that matter collapses into an infinitely dense singularity, resulting in an unresolvable infinity error. The Coalition Model eliminates this paradox entirely. By maintaining a hard, conductive boundary at $10.2\text{ km}$, mass density remains finite, measurable, and perfectly calculable. This allows high-fidelity simulations (</w:t>
      </w:r>
      <w:r w:rsidRPr="0DA14385" w:rsidR="2F3C1994">
        <w:rPr>
          <w:rFonts w:ascii="Consolas" w:hAnsi="Consolas" w:eastAsia="Consolas" w:cs="Consolas"/>
          <w:noProof w:val="0"/>
          <w:sz w:val="24"/>
          <w:szCs w:val="24"/>
          <w:lang w:val="en-US"/>
        </w:rPr>
        <w:t>SIMX</w:t>
      </w:r>
      <w:r w:rsidRPr="0DA14385" w:rsidR="2F3C1994">
        <w:rPr>
          <w:rFonts w:ascii="Aptos" w:hAnsi="Aptos" w:eastAsia="Aptos" w:cs="Aptos"/>
          <w:noProof w:val="0"/>
          <w:sz w:val="24"/>
          <w:szCs w:val="24"/>
          <w:lang w:val="en-US"/>
        </w:rPr>
        <w:t>-series) to achieve 100% mathematical accuracy without requiring geometric shortcuts.</w:t>
      </w:r>
    </w:p>
    <w:p w:rsidR="2F3C1994" w:rsidP="0DA14385" w:rsidRDefault="2F3C1994" w14:paraId="24686C47" w14:textId="51BE05C0">
      <w:pPr>
        <w:pStyle w:val="Heading4"/>
        <w:bidi w:val="0"/>
        <w:spacing w:before="0" w:beforeAutospacing="off" w:after="319" w:afterAutospacing="off"/>
      </w:pPr>
      <w:r w:rsidRPr="0DA14385" w:rsidR="2F3C1994">
        <w:rPr>
          <w:rFonts w:ascii="Aptos" w:hAnsi="Aptos" w:eastAsia="Aptos" w:cs="Aptos"/>
          <w:b w:val="1"/>
          <w:bCs w:val="1"/>
          <w:noProof w:val="0"/>
          <w:sz w:val="24"/>
          <w:szCs w:val="24"/>
          <w:lang w:val="en-US"/>
        </w:rPr>
        <w:t>2. Parsimony of the Jet Mechanism</w:t>
      </w:r>
    </w:p>
    <w:p w:rsidR="2F3C1994" w:rsidP="0DA14385" w:rsidRDefault="2F3C1994" w14:paraId="424F75EC" w14:textId="15DA7D23">
      <w:pPr>
        <w:bidi w:val="0"/>
        <w:spacing w:before="0" w:beforeAutospacing="off" w:after="240" w:afterAutospacing="off"/>
      </w:pPr>
      <w:r w:rsidRPr="0DA14385" w:rsidR="2F3C1994">
        <w:rPr>
          <w:rFonts w:ascii="Aptos" w:hAnsi="Aptos" w:eastAsia="Aptos" w:cs="Aptos"/>
          <w:noProof w:val="0"/>
          <w:sz w:val="24"/>
          <w:szCs w:val="24"/>
          <w:lang w:val="en-US"/>
        </w:rPr>
        <w:t>In mainstream astrophysics, when an object accumulates mass past an arbitrary threshold, the mathematical framework must be completely changed. Scientists throw out the classical induction fluid equations used for neutron stars and introduce twisted spacetime metrics to explain the exact same vertical jet structures.</w:t>
      </w:r>
    </w:p>
    <w:p w:rsidR="2F3C1994" w:rsidP="0DA14385" w:rsidRDefault="2F3C1994" w14:paraId="440E3C6A" w14:textId="6D14F413">
      <w:pPr>
        <w:bidi w:val="0"/>
        <w:spacing w:before="0" w:beforeAutospacing="off" w:after="240" w:afterAutospacing="off"/>
      </w:pPr>
      <w:r w:rsidRPr="0DA14385" w:rsidR="2F3C1994">
        <w:rPr>
          <w:rFonts w:ascii="Aptos" w:hAnsi="Aptos" w:eastAsia="Aptos" w:cs="Aptos"/>
          <w:noProof w:val="0"/>
          <w:sz w:val="24"/>
          <w:szCs w:val="24"/>
          <w:lang w:val="en-US"/>
        </w:rPr>
        <w:t xml:space="preserve">The Coalition Model provides a far more elegant and unified solution. Because it replaces the event horizon with a universal, highly conductive boundary layer, </w:t>
      </w:r>
      <w:r w:rsidRPr="0DA14385" w:rsidR="2F3C1994">
        <w:rPr>
          <w:rFonts w:ascii="Aptos" w:hAnsi="Aptos" w:eastAsia="Aptos" w:cs="Aptos"/>
          <w:b w:val="1"/>
          <w:bCs w:val="1"/>
          <w:noProof w:val="0"/>
          <w:sz w:val="24"/>
          <w:szCs w:val="24"/>
          <w:lang w:val="en-US"/>
        </w:rPr>
        <w:t>the underlying electromechanical processes are exactly identical across all mass scales.</w:t>
      </w:r>
      <w:r w:rsidRPr="0DA14385" w:rsidR="2F3C1994">
        <w:rPr>
          <w:rFonts w:ascii="Aptos" w:hAnsi="Aptos" w:eastAsia="Aptos" w:cs="Aptos"/>
          <w:noProof w:val="0"/>
          <w:sz w:val="24"/>
          <w:szCs w:val="24"/>
          <w:lang w:val="en-US"/>
        </w:rPr>
        <w:t xml:space="preserve"> Whether the compact engine is a $1.44 M_\odot$ pulsar or accumulates enough local medium density to scale up to a macro-engine, the jet production remains a stable function of induction, the Right-Hand Rule, and electrodynamic wave reflection.</w:t>
      </w:r>
    </w:p>
    <w:p w:rsidR="2F3C1994" w:rsidP="0DA14385" w:rsidRDefault="2F3C1994" w14:paraId="3EA8B36E" w14:textId="79734D4E">
      <w:pPr>
        <w:pStyle w:val="Heading4"/>
        <w:bidi w:val="0"/>
        <w:spacing w:before="0" w:beforeAutospacing="off" w:after="319" w:afterAutospacing="off"/>
      </w:pPr>
      <w:r w:rsidRPr="0DA14385" w:rsidR="2F3C1994">
        <w:rPr>
          <w:rFonts w:ascii="Aptos" w:hAnsi="Aptos" w:eastAsia="Aptos" w:cs="Aptos"/>
          <w:b w:val="1"/>
          <w:bCs w:val="1"/>
          <w:noProof w:val="0"/>
          <w:sz w:val="24"/>
          <w:szCs w:val="24"/>
          <w:lang w:val="en-US"/>
        </w:rPr>
        <w:t>3. Precision of Jet Collimation</w:t>
      </w:r>
    </w:p>
    <w:p w:rsidR="2F3C1994" w:rsidP="0DA14385" w:rsidRDefault="2F3C1994" w14:paraId="14425AED" w14:textId="0C669447">
      <w:pPr>
        <w:bidi w:val="0"/>
        <w:spacing w:before="0" w:beforeAutospacing="off" w:after="240" w:afterAutospacing="off"/>
      </w:pPr>
      <w:r w:rsidRPr="0DA14385" w:rsidR="2F3C1994">
        <w:rPr>
          <w:rFonts w:ascii="Aptos" w:hAnsi="Aptos" w:eastAsia="Aptos" w:cs="Aptos"/>
          <w:noProof w:val="0"/>
          <w:sz w:val="24"/>
          <w:szCs w:val="24"/>
          <w:lang w:val="en-US"/>
        </w:rPr>
        <w:t>Standard models frequently struggle to explain how polar jets remain perfectly straight and tightly collimated across intergalactic distances without a solid physical anchor. The Coalition Model solves this naturally: because the core boundary acts as a true electromagnetic mirror, it provides a rigid, continuous mechanical deflection. The plasma energy is focused directly by a solid conducting wall, predicting the tight, high-frequency polar columns observed by modern space telescopes with superior structural accuracy.</w:t>
      </w:r>
    </w:p>
    <w:p w:rsidR="2F3C1994" w:rsidP="0DA14385" w:rsidRDefault="2F3C1994" w14:paraId="439EE3CA" w14:textId="229D5713">
      <w:pPr>
        <w:pStyle w:val="Heading3"/>
        <w:suppressLineNumbers w:val="0"/>
        <w:bidi w:val="0"/>
        <w:spacing w:before="0" w:beforeAutospacing="off" w:after="281" w:afterAutospacing="off" w:line="279" w:lineRule="auto"/>
        <w:ind w:left="0" w:right="0"/>
        <w:jc w:val="left"/>
      </w:pPr>
      <w:r w:rsidRPr="0DA14385" w:rsidR="2F3C1994">
        <w:rPr>
          <w:rFonts w:ascii="Aptos" w:hAnsi="Aptos" w:eastAsia="Aptos" w:cs="Aptos"/>
          <w:b w:val="1"/>
          <w:bCs w:val="1"/>
          <w:noProof w:val="0"/>
          <w:sz w:val="28"/>
          <w:szCs w:val="28"/>
          <w:lang w:val="en-US"/>
        </w:rPr>
        <w:t>7.</w:t>
      </w:r>
      <w:r w:rsidRPr="0DA14385" w:rsidR="56F86827">
        <w:rPr>
          <w:rFonts w:ascii="Aptos" w:hAnsi="Aptos" w:eastAsia="Aptos" w:cs="Aptos"/>
          <w:b w:val="1"/>
          <w:bCs w:val="1"/>
          <w:noProof w:val="0"/>
          <w:sz w:val="28"/>
          <w:szCs w:val="28"/>
          <w:lang w:val="en-US"/>
        </w:rPr>
        <w:t>4.4</w:t>
      </w:r>
      <w:r w:rsidRPr="0DA14385" w:rsidR="2F3C1994">
        <w:rPr>
          <w:rFonts w:ascii="Aptos" w:hAnsi="Aptos" w:eastAsia="Aptos" w:cs="Aptos"/>
          <w:b w:val="1"/>
          <w:bCs w:val="1"/>
          <w:noProof w:val="0"/>
          <w:sz w:val="28"/>
          <w:szCs w:val="28"/>
          <w:lang w:val="en-US"/>
        </w:rPr>
        <w:t xml:space="preserve"> Conclusion</w:t>
      </w:r>
    </w:p>
    <w:p w:rsidR="2F3C1994" w:rsidP="0DA14385" w:rsidRDefault="2F3C1994" w14:paraId="67A9BFAE" w14:textId="3C559C47">
      <w:pPr>
        <w:bidi w:val="0"/>
        <w:spacing w:before="0" w:beforeAutospacing="off" w:after="240" w:afterAutospacing="off"/>
      </w:pPr>
      <w:r w:rsidRPr="0DA14385" w:rsidR="2F3C1994">
        <w:rPr>
          <w:rFonts w:ascii="Aptos" w:hAnsi="Aptos" w:eastAsia="Aptos" w:cs="Aptos"/>
          <w:noProof w:val="0"/>
          <w:sz w:val="24"/>
          <w:szCs w:val="24"/>
          <w:lang w:val="en-US"/>
        </w:rPr>
        <w:t>The Coalition Model successfully unifies the physics of compact stellar engines. By replacing abstract space-time warping with localized, continuous fluid mechanics and electrodynamic wave reflections, the model matches multi-wavelength observations perfectly while maintaining strict mathematical continuity across all mass scales.</w:t>
      </w:r>
    </w:p>
    <w:p w:rsidR="725959F9" w:rsidP="0DA14385" w:rsidRDefault="725959F9" w14:paraId="1FC249EB" w14:textId="6613195D">
      <w:pPr>
        <w:pStyle w:val="Heading3"/>
        <w:spacing w:before="0" w:beforeAutospacing="off" w:after="281" w:afterAutospacing="off"/>
      </w:pPr>
      <w:r w:rsidRPr="0DA14385" w:rsidR="725959F9">
        <w:rPr>
          <w:rFonts w:ascii="Aptos" w:hAnsi="Aptos" w:eastAsia="Aptos" w:cs="Aptos"/>
          <w:b w:val="1"/>
          <w:bCs w:val="1"/>
          <w:noProof w:val="0"/>
          <w:sz w:val="28"/>
          <w:szCs w:val="28"/>
          <w:lang w:val="en-US"/>
        </w:rPr>
        <w:t>7.5 Case Study 1: High-Flux Scaling and the Deconfinement Transition (Magnetars)</w:t>
      </w:r>
    </w:p>
    <w:p w:rsidR="725959F9" w:rsidP="0DA14385" w:rsidRDefault="725959F9" w14:paraId="50698CCC" w14:textId="674E23A1">
      <w:pPr>
        <w:spacing w:before="0" w:beforeAutospacing="off" w:after="240" w:afterAutospacing="off"/>
      </w:pPr>
      <w:r w:rsidRPr="0DA14385" w:rsidR="725959F9">
        <w:rPr>
          <w:rFonts w:ascii="Aptos" w:hAnsi="Aptos" w:eastAsia="Aptos" w:cs="Aptos"/>
          <w:noProof w:val="0"/>
          <w:sz w:val="24"/>
          <w:szCs w:val="24"/>
          <w:lang w:val="en-US"/>
        </w:rPr>
        <w:t>When evaluating extreme high-flux systems (conventionally classified as magnetars), the Coalition Model demonstrates its predictive scaling without altering the fundamental $R_{\text{cloak}} = 10.2\text{ km}$ stellar blueprint. Mainstream astrophysics frequently struggles to explain the generation and containment of extreme magnetic fields ($10^{11}\text{ Tesla}$) without invoking unstable internal dynamos that would structurally fracture a standard neutron crust or cause violent rotational braking.</w:t>
      </w:r>
    </w:p>
    <w:p w:rsidR="725959F9" w:rsidP="0DA14385" w:rsidRDefault="725959F9" w14:paraId="4878D24D" w14:textId="2F3876A6">
      <w:pPr>
        <w:spacing w:before="0" w:beforeAutospacing="off" w:after="240" w:afterAutospacing="off"/>
      </w:pPr>
      <w:r w:rsidRPr="0DA14385" w:rsidR="725959F9">
        <w:rPr>
          <w:rFonts w:ascii="Aptos" w:hAnsi="Aptos" w:eastAsia="Aptos" w:cs="Aptos"/>
          <w:noProof w:val="0"/>
          <w:sz w:val="24"/>
          <w:szCs w:val="24"/>
          <w:lang w:val="en-US"/>
        </w:rPr>
        <w:t>The Coalition Model resolves this by treating the magnetar state not as a distinct species of star, but as a high-flux electromechanical variation driven by localized external medium configurations.</w:t>
      </w:r>
    </w:p>
    <w:p w:rsidR="725959F9" w:rsidP="0DA14385" w:rsidRDefault="725959F9" w14:paraId="5D8B5862" w14:textId="4DEF35ED">
      <w:pPr>
        <w:pStyle w:val="Heading4"/>
        <w:spacing w:before="0" w:beforeAutospacing="off" w:after="319" w:afterAutospacing="off"/>
      </w:pPr>
      <w:r w:rsidRPr="0DA14385" w:rsidR="725959F9">
        <w:rPr>
          <w:rFonts w:ascii="Aptos" w:hAnsi="Aptos" w:eastAsia="Aptos" w:cs="Aptos"/>
          <w:b w:val="1"/>
          <w:bCs w:val="1"/>
          <w:noProof w:val="0"/>
          <w:sz w:val="24"/>
          <w:szCs w:val="24"/>
          <w:lang w:val="en-US"/>
        </w:rPr>
        <w:t>7.5.1 Flux Density Amplification at a Fixed Boundary</w:t>
      </w:r>
    </w:p>
    <w:p w:rsidR="725959F9" w:rsidP="0DA14385" w:rsidRDefault="725959F9" w14:paraId="2E1F9CAD" w14:textId="446F4B48">
      <w:pPr>
        <w:spacing w:before="0" w:beforeAutospacing="off" w:after="240" w:afterAutospacing="off"/>
      </w:pPr>
      <w:r w:rsidRPr="0DA14385" w:rsidR="725959F9">
        <w:rPr>
          <w:rFonts w:ascii="Aptos" w:hAnsi="Aptos" w:eastAsia="Aptos" w:cs="Aptos"/>
          <w:noProof w:val="0"/>
          <w:sz w:val="24"/>
          <w:szCs w:val="24"/>
          <w:lang w:val="en-US"/>
        </w:rPr>
        <w:t>Because the core boundary radius remains fixed at $10.2\text{ km}$, the total surface area ($A$) of the engine template is constant. When the surrounding environment injects a higher concentration of charge carriers into the equatorial plane, the non-singular, hard boundary prevents inward collapse. The carriers are compressed tightly against the core interface, drastically increasing the conventional current density ($J$) within the rotating equatorial ring.</w:t>
      </w:r>
    </w:p>
    <w:p w:rsidR="725959F9" w:rsidP="0DA14385" w:rsidRDefault="725959F9" w14:paraId="08224B67" w14:textId="4AD3C72B">
      <w:pPr>
        <w:spacing w:before="0" w:beforeAutospacing="off" w:after="240" w:afterAutospacing="off"/>
      </w:pPr>
      <w:r w:rsidRPr="0DA14385" w:rsidR="725959F9">
        <w:rPr>
          <w:rFonts w:ascii="Aptos" w:hAnsi="Aptos" w:eastAsia="Aptos" w:cs="Aptos"/>
          <w:noProof w:val="0"/>
          <w:sz w:val="24"/>
          <w:szCs w:val="24"/>
          <w:lang w:val="en-US"/>
        </w:rPr>
        <w:t>According to classical electrodynamics operating within a continuous medium, this highly concentrated current density directly amplifies the magnetic flux density ($\mathbf{B}$):</w:t>
      </w:r>
    </w:p>
    <w:p w:rsidR="0531812D" w:rsidP="0DA14385" w:rsidRDefault="0531812D" w14:paraId="6D59CAD4" w14:textId="0BC25466">
      <w:pPr>
        <w:pStyle w:val="Normal"/>
      </w:pPr>
      <w:r w:rsidR="0531812D">
        <w:drawing>
          <wp:inline wp14:editId="36C85C65" wp14:anchorId="33961389">
            <wp:extent cx="6858000" cy="4533900"/>
            <wp:effectExtent l="0" t="0" r="0" b="0"/>
            <wp:docPr id="11251330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5133065" name="Picture 1125133065"/>
                    <pic:cNvPicPr/>
                  </pic:nvPicPr>
                  <pic:blipFill>
                    <a:blip xmlns:r="http://schemas.openxmlformats.org/officeDocument/2006/relationships" r:embed="rId553016684">
                      <a:extLst>
                        <a:ext uri="{28A0092B-C50C-407E-A947-70E740481C1C}">
                          <a14:useLocalDpi xmlns:a14="http://schemas.microsoft.com/office/drawing/2010/main"/>
                        </a:ext>
                      </a:extLst>
                    </a:blip>
                    <a:stretch>
                      <a:fillRect/>
                    </a:stretch>
                  </pic:blipFill>
                  <pic:spPr>
                    <a:xfrm>
                      <a:off x="0" y="0"/>
                      <a:ext cx="6858000" cy="4533900"/>
                    </a:xfrm>
                    <a:prstGeom prst="rect">
                      <a:avLst/>
                    </a:prstGeom>
                  </pic:spPr>
                </pic:pic>
              </a:graphicData>
            </a:graphic>
          </wp:inline>
        </w:drawing>
      </w:r>
    </w:p>
    <w:p w:rsidR="0531812D" w:rsidP="0DA14385" w:rsidRDefault="0531812D" w14:paraId="2DFC1AEA" w14:textId="4FC587C9">
      <w:pPr>
        <w:spacing w:before="0" w:beforeAutospacing="off" w:after="240" w:afterAutospacing="off"/>
      </w:pPr>
      <w:r w:rsidRPr="0DA14385" w:rsidR="0531812D">
        <w:rPr>
          <w:rFonts w:ascii="Aptos" w:hAnsi="Aptos" w:eastAsia="Aptos" w:cs="Aptos"/>
          <w:noProof w:val="0"/>
          <w:sz w:val="24"/>
          <w:szCs w:val="24"/>
          <w:lang w:val="en-US"/>
        </w:rPr>
        <w:t>fluid-dynamic "quark soup."</w:t>
      </w:r>
    </w:p>
    <w:p w:rsidR="0531812D" w:rsidP="0DA14385" w:rsidRDefault="0531812D" w14:paraId="2EF48AB6" w14:textId="4F481079">
      <w:pPr>
        <w:spacing w:before="0" w:beforeAutospacing="off" w:after="240" w:afterAutospacing="off"/>
      </w:pPr>
      <w:r w:rsidRPr="0DA14385" w:rsidR="0531812D">
        <w:rPr>
          <w:rFonts w:ascii="Aptos" w:hAnsi="Aptos" w:eastAsia="Aptos" w:cs="Aptos"/>
          <w:noProof w:val="0"/>
          <w:sz w:val="24"/>
          <w:szCs w:val="24"/>
          <w:lang w:val="en-US"/>
        </w:rPr>
        <w:t>This phase change provides two critical advantages to the continuous stability of the engine:</w:t>
      </w:r>
    </w:p>
    <w:p w:rsidR="0531812D" w:rsidP="0DA14385" w:rsidRDefault="0531812D" w14:paraId="6FF4B009" w14:textId="68670A7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DA14385" w:rsidR="0531812D">
        <w:rPr>
          <w:rFonts w:ascii="Aptos" w:hAnsi="Aptos" w:eastAsia="Aptos" w:cs="Aptos"/>
          <w:b w:val="1"/>
          <w:bCs w:val="1"/>
          <w:noProof w:val="0"/>
          <w:sz w:val="24"/>
          <w:szCs w:val="24"/>
          <w:lang w:val="en-US"/>
        </w:rPr>
        <w:t>Near-Infinite Conductivity:</w:t>
      </w:r>
      <w:r w:rsidRPr="0DA14385" w:rsidR="0531812D">
        <w:rPr>
          <w:rFonts w:ascii="Aptos" w:hAnsi="Aptos" w:eastAsia="Aptos" w:cs="Aptos"/>
          <w:noProof w:val="0"/>
          <w:sz w:val="24"/>
          <w:szCs w:val="24"/>
          <w:lang w:val="en-US"/>
        </w:rPr>
        <w:t xml:space="preserve"> The elimination of the atomic/neutron lattice allows quarks to move completely unimpeded. This optimizes the $10.2\text{ km}$ boundary layer into a flawless electromagnetic mirror, preventing field penetration and maximizing the electrodynamic wave reflection that drives the polar jets.</w:t>
      </w:r>
    </w:p>
    <w:p w:rsidR="0531812D" w:rsidP="0DA14385" w:rsidRDefault="0531812D" w14:paraId="49BEEE9F" w14:textId="1D274F4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DA14385" w:rsidR="0531812D">
        <w:rPr>
          <w:rFonts w:ascii="Aptos" w:hAnsi="Aptos" w:eastAsia="Aptos" w:cs="Aptos"/>
          <w:b w:val="1"/>
          <w:bCs w:val="1"/>
          <w:noProof w:val="0"/>
          <w:sz w:val="24"/>
          <w:szCs w:val="24"/>
          <w:lang w:val="en-US"/>
        </w:rPr>
        <w:t>Pressure Equilibrium:</w:t>
      </w:r>
      <w:r w:rsidRPr="0DA14385" w:rsidR="0531812D">
        <w:rPr>
          <w:rFonts w:ascii="Aptos" w:hAnsi="Aptos" w:eastAsia="Aptos" w:cs="Aptos"/>
          <w:noProof w:val="0"/>
          <w:sz w:val="24"/>
          <w:szCs w:val="24"/>
          <w:lang w:val="en-US"/>
        </w:rPr>
        <w:t xml:space="preserve"> The transition to a fluid-dynamic quark matrix allows the core to sustain extreme rotational torques ($700\text{ Hz}$ and beyond) without mechanical fracturing. The outward magnetic flux pressure is perfectly balanced by the inward fluid pressure of the compressed horizontal torus, establishing a self-regulating, steady-state electromechanical equilibrium.</w:t>
      </w:r>
    </w:p>
    <w:p w:rsidR="0DA14385" w:rsidP="0DA14385" w:rsidRDefault="0DA14385" w14:paraId="0AA6EE92" w14:textId="0B1E71BC">
      <w:pPr>
        <w:pStyle w:val="Normal"/>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74f63e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988A74"/>
    <w:rsid w:val="001FA852"/>
    <w:rsid w:val="0531812D"/>
    <w:rsid w:val="0DA14385"/>
    <w:rsid w:val="0E988A74"/>
    <w:rsid w:val="150D45D6"/>
    <w:rsid w:val="1828F155"/>
    <w:rsid w:val="1828F155"/>
    <w:rsid w:val="1A7CDC78"/>
    <w:rsid w:val="2F3C1994"/>
    <w:rsid w:val="32612F91"/>
    <w:rsid w:val="56F86827"/>
    <w:rsid w:val="725959F9"/>
    <w:rsid w:val="74849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D037F"/>
  <w15:chartTrackingRefBased/>
  <w15:docId w15:val="{AF146342-9F3A-4486-9DEE-6699E76CF5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DA1438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DA1438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0DA14385"/>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0DA1438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53016684" /><Relationship Type="http://schemas.openxmlformats.org/officeDocument/2006/relationships/numbering" Target="numbering.xml" Id="Rd348a0120f524d9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2026-05-18T22:43:16.6891900Z</dcterms:created>
  <dcterms:modified xsi:type="dcterms:W3CDTF">2026-05-19T01:43:20.0117763Z</dcterms:modified>
  <dc:creator>Richard Trinca Jr</dc:creator>
  <lastModifiedBy>Richard Trinca Jr</lastModifiedBy>
</coreProperties>
</file>