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0"/>
        <w:rPr>
          <w:rFonts w:ascii="Aptos" w:cs="Aptos" w:hAnsi="Aptos" w:eastAsia="Aptos"/>
          <w:b w:val="1"/>
          <w:bCs w:val="1"/>
        </w:rPr>
      </w:pPr>
      <w:r>
        <w:rPr>
          <w:rFonts w:ascii="Aptos" w:cs="Aptos" w:hAnsi="Aptos" w:eastAsia="Aptos"/>
          <w:b w:val="1"/>
          <w:bCs w:val="1"/>
          <w:rtl w:val="0"/>
          <w:lang w:val="en-US"/>
        </w:rPr>
        <w:t xml:space="preserve">Task 1: </w:t>
      </w:r>
    </w:p>
    <w:p>
      <w:pPr>
        <w:pStyle w:val="Normal.0"/>
      </w:pPr>
      <w:r>
        <w:rPr>
          <w:rFonts w:ascii="Aptos" w:cs="Aptos" w:hAnsi="Aptos" w:eastAsia="Aptos"/>
          <w:b w:val="1"/>
          <w:bCs w:val="1"/>
          <w:rtl w:val="0"/>
          <w:lang w:val="en-US"/>
        </w:rPr>
        <w:t>1. Experimental Results</w:t>
      </w:r>
    </w:p>
    <w:p>
      <w:pPr>
        <w:pStyle w:val="Normal.0"/>
        <w:numPr>
          <w:ilvl w:val="0"/>
          <w:numId w:val="2"/>
        </w:numPr>
        <w:rPr>
          <w:lang w:val="en-US"/>
        </w:rPr>
      </w:pPr>
      <w:r>
        <w:rPr>
          <w:rFonts w:ascii="Aptos" w:cs="Aptos" w:hAnsi="Aptos" w:eastAsia="Aptos"/>
          <w:b w:val="1"/>
          <w:bCs w:val="1"/>
          <w:rtl w:val="0"/>
          <w:lang w:val="en-US"/>
        </w:rPr>
        <w:t>Test Environment Configuration:</w:t>
      </w:r>
    </w:p>
    <w:p>
      <w:pPr>
        <w:pStyle w:val="Normal.0"/>
        <w:numPr>
          <w:ilvl w:val="1"/>
          <w:numId w:val="2"/>
        </w:numPr>
        <w:rPr>
          <w:lang w:val="en-US"/>
        </w:rPr>
      </w:pPr>
      <w:r>
        <w:rPr>
          <w:rtl w:val="0"/>
          <w:lang w:val="en-US"/>
        </w:rPr>
        <w:t xml:space="preserve">Dataset Size: 128 MB </w:t>
      </w:r>
    </w:p>
    <w:p>
      <w:pPr>
        <w:pStyle w:val="Normal.0"/>
        <w:numPr>
          <w:ilvl w:val="1"/>
          <w:numId w:val="2"/>
        </w:numPr>
        <w:rPr>
          <w:lang w:val="en-US"/>
        </w:rPr>
      </w:pPr>
      <w:r>
        <w:rPr>
          <w:rtl w:val="0"/>
          <w:lang w:val="en-US"/>
        </w:rPr>
        <w:t xml:space="preserve">Number of Blocks (n): 2^7 (128 blocks) </w:t>
      </w:r>
    </w:p>
    <w:p>
      <w:pPr>
        <w:pStyle w:val="Normal.0"/>
        <w:numPr>
          <w:ilvl w:val="0"/>
          <w:numId w:val="2"/>
        </w:numPr>
        <w:rPr>
          <w:lang w:val="en-US"/>
        </w:rPr>
      </w:pPr>
      <w:r>
        <w:rPr>
          <w:rFonts w:ascii="Aptos" w:cs="Aptos" w:hAnsi="Aptos" w:eastAsia="Aptos"/>
          <w:b w:val="1"/>
          <w:bCs w:val="1"/>
          <w:rtl w:val="0"/>
          <w:lang w:val="en-US"/>
        </w:rPr>
        <w:t>Single Hash (All-or-Nothing Approach):</w:t>
      </w:r>
    </w:p>
    <w:p>
      <w:pPr>
        <w:pStyle w:val="Normal.0"/>
        <w:numPr>
          <w:ilvl w:val="1"/>
          <w:numId w:val="2"/>
        </w:numPr>
        <w:rPr>
          <w:lang w:val="en-US"/>
        </w:rPr>
      </w:pPr>
      <w:r>
        <w:rPr>
          <w:rtl w:val="0"/>
          <w:lang w:val="en-US"/>
        </w:rPr>
        <w:t>Resulting SHA-256: 0c05acf58bb36284a9e73f0222f2fd0621954bb8eb5c16ee50a45341b5cd4594</w:t>
      </w:r>
    </w:p>
    <w:p>
      <w:pPr>
        <w:pStyle w:val="Normal.0"/>
        <w:numPr>
          <w:ilvl w:val="1"/>
          <w:numId w:val="2"/>
        </w:numPr>
        <w:rPr>
          <w:lang w:val="en-US"/>
        </w:rPr>
      </w:pPr>
      <w:r>
        <w:rPr>
          <w:rtl w:val="0"/>
          <w:lang w:val="en-US"/>
        </w:rPr>
        <w:t>Execution Time: 0.088621 seconds</w:t>
      </w:r>
    </w:p>
    <w:p>
      <w:pPr>
        <w:pStyle w:val="Normal.0"/>
        <w:numPr>
          <w:ilvl w:val="0"/>
          <w:numId w:val="2"/>
        </w:numPr>
        <w:rPr>
          <w:lang w:val="en-US"/>
        </w:rPr>
      </w:pPr>
      <w:r>
        <w:rPr>
          <w:rFonts w:ascii="Aptos" w:cs="Aptos" w:hAnsi="Aptos" w:eastAsia="Aptos"/>
          <w:b w:val="1"/>
          <w:bCs w:val="1"/>
          <w:rtl w:val="0"/>
          <w:lang w:val="en-US"/>
        </w:rPr>
        <w:t>Merkle Tree Construction:</w:t>
      </w:r>
    </w:p>
    <w:p>
      <w:pPr>
        <w:pStyle w:val="Normal.0"/>
        <w:numPr>
          <w:ilvl w:val="1"/>
          <w:numId w:val="2"/>
        </w:numPr>
        <w:rPr>
          <w:lang w:val="en-US"/>
        </w:rPr>
      </w:pPr>
      <w:r>
        <w:rPr>
          <w:rtl w:val="0"/>
          <w:lang w:val="en-US"/>
        </w:rPr>
        <w:t>Merkle Root: 3cd74d8d7171cce47fb900a1aca739b74286b6f84e5da9490f54559dbecc8668</w:t>
      </w:r>
    </w:p>
    <w:p>
      <w:pPr>
        <w:pStyle w:val="Normal.0"/>
        <w:numPr>
          <w:ilvl w:val="1"/>
          <w:numId w:val="2"/>
        </w:numPr>
        <w:rPr>
          <w:lang w:val="en-US"/>
        </w:rPr>
      </w:pPr>
      <w:r>
        <w:rPr>
          <w:rtl w:val="0"/>
          <w:lang w:val="en-US"/>
        </w:rPr>
        <w:t>Execution Time: 0.137790 seconds</w:t>
      </w:r>
    </w:p>
    <w:p>
      <w:pPr>
        <w:pStyle w:val="Normal.0"/>
        <w:numPr>
          <w:ilvl w:val="1"/>
          <w:numId w:val="2"/>
        </w:numPr>
        <w:rPr>
          <w:lang w:val="en-US"/>
        </w:rPr>
      </w:pPr>
      <w:r>
        <w:rPr>
          <w:rtl w:val="0"/>
          <w:lang w:val="en-US"/>
        </w:rPr>
        <w:t xml:space="preserve">Internal Node Memory Overhead: 8255 Bytes </w:t>
      </w:r>
    </w:p>
    <w:p>
      <w:pPr>
        <w:pStyle w:val="Normal.0"/>
      </w:pPr>
      <w:r>
        <w:drawing xmlns:a="http://schemas.openxmlformats.org/drawingml/2006/main">
          <wp:inline distT="0" distB="0" distL="0" distR="0">
            <wp:extent cx="5274310" cy="1785620"/>
            <wp:effectExtent l="0" t="0" r="0" b="0"/>
            <wp:docPr id="1073741825" name="officeArt object" descr="圖片 1"/>
            <wp:cNvGraphicFramePr/>
            <a:graphic xmlns:a="http://schemas.openxmlformats.org/drawingml/2006/main">
              <a:graphicData uri="http://schemas.openxmlformats.org/drawingml/2006/picture">
                <pic:pic xmlns:pic="http://schemas.openxmlformats.org/drawingml/2006/picture">
                  <pic:nvPicPr>
                    <pic:cNvPr id="1073741825" name="圖片 1" descr="圖片 1"/>
                    <pic:cNvPicPr>
                      <a:picLocks noChangeAspect="1"/>
                    </pic:cNvPicPr>
                  </pic:nvPicPr>
                  <pic:blipFill>
                    <a:blip r:embed="rId4">
                      <a:extLst/>
                    </a:blip>
                    <a:stretch>
                      <a:fillRect/>
                    </a:stretch>
                  </pic:blipFill>
                  <pic:spPr>
                    <a:xfrm>
                      <a:off x="0" y="0"/>
                      <a:ext cx="5274310" cy="1785620"/>
                    </a:xfrm>
                    <a:prstGeom prst="rect">
                      <a:avLst/>
                    </a:prstGeom>
                    <a:ln w="12700" cap="flat">
                      <a:noFill/>
                      <a:miter lim="400000"/>
                    </a:ln>
                    <a:effectLst/>
                  </pic:spPr>
                </pic:pic>
              </a:graphicData>
            </a:graphic>
          </wp:inline>
        </w:drawing>
      </w:r>
      <w:r>
        <w:rPr>
          <w:rFonts w:ascii="Aptos" w:cs="Aptos" w:hAnsi="Aptos" w:eastAsia="Aptos"/>
          <w:b w:val="1"/>
          <w:bCs w:val="1"/>
          <w:rtl w:val="0"/>
          <w:lang w:val="en-US"/>
        </w:rPr>
        <w:t>2. Discussion and Findings</w:t>
      </w:r>
    </w:p>
    <w:p>
      <w:pPr>
        <w:pStyle w:val="Normal.0"/>
        <w:numPr>
          <w:ilvl w:val="0"/>
          <w:numId w:val="4"/>
        </w:numPr>
        <w:rPr>
          <w:lang w:val="en-US"/>
        </w:rPr>
      </w:pPr>
      <w:r>
        <w:rPr>
          <w:rFonts w:ascii="Aptos" w:cs="Aptos" w:hAnsi="Aptos" w:eastAsia="Aptos"/>
          <w:b w:val="1"/>
          <w:bCs w:val="1"/>
          <w:rtl w:val="0"/>
          <w:lang w:val="en-US"/>
        </w:rPr>
        <w:t>Execution Time Comparison:</w:t>
      </w:r>
    </w:p>
    <w:p>
      <w:pPr>
        <w:pStyle w:val="Normal.0"/>
        <w:ind w:left="720" w:firstLine="0"/>
      </w:pPr>
      <w:r>
        <w:rPr>
          <w:rtl w:val="0"/>
          <w:lang w:val="en-US"/>
        </w:rPr>
        <w:t>The Single Hash method completed in approximately 0.088 seconds, while the Merkle Tree construction took 0.137 seconds. The Single Hash approach is inherently faster because it sequentially processes the continuous 128 MB data stream in a single pass. In contrast, the Merkle Tree incurs a slight time penalty. This delay is expected, as the algorithm must slice the file into 128 distinct blocks, compute 128 individual leaf hashes, and then execute iterative loops to concatenate and hash the internal nodes upward to the root.</w:t>
      </w:r>
    </w:p>
    <w:p>
      <w:pPr>
        <w:pStyle w:val="Normal.0"/>
        <w:numPr>
          <w:ilvl w:val="0"/>
          <w:numId w:val="4"/>
        </w:numPr>
        <w:rPr>
          <w:lang w:val="en-US"/>
        </w:rPr>
      </w:pPr>
      <w:r>
        <w:rPr>
          <w:rFonts w:ascii="Aptos" w:cs="Aptos" w:hAnsi="Aptos" w:eastAsia="Aptos"/>
          <w:b w:val="1"/>
          <w:bCs w:val="1"/>
          <w:rtl w:val="0"/>
          <w:lang w:val="en-US"/>
        </w:rPr>
        <w:t>Memory Overhead Analysis:</w:t>
      </w:r>
      <w:r>
        <w:rPr>
          <w:rtl w:val="0"/>
          <w:lang w:val="en-US"/>
        </w:rPr>
        <w:t xml:space="preserve"> To fulfill the requirement of analyzing the memory overhead of the tree's internal nodes, the measured overhead is 8255 Bytes. Mathematically, a binary Merkle Tree with n = 128 leaf nodes requires n - 1 = 127 internal parent nodes. Storing 127 SHA-256 hash objects in Python perfectly aligns with this </w:t>
      </w:r>
      <w:r>
        <w:rPr>
          <w:rFonts w:ascii="Cambria Math" w:cs="Cambria Math" w:hAnsi="Cambria Math" w:eastAsia="Cambria Math"/>
          <w:rtl w:val="0"/>
          <w:lang w:val="en-US"/>
        </w:rPr>
        <w:t>∼</w:t>
      </w:r>
      <w:r>
        <w:rPr>
          <w:rtl w:val="0"/>
          <w:lang w:val="en-US"/>
        </w:rPr>
        <w:t xml:space="preserve">8 KB footprint. </w:t>
      </w:r>
    </w:p>
    <w:p>
      <w:pPr>
        <w:pStyle w:val="Normal.0"/>
        <w:tabs>
          <w:tab w:val="left" w:pos="720"/>
        </w:tabs>
      </w:pPr>
    </w:p>
    <w:p>
      <w:pPr>
        <w:pStyle w:val="Normal.0"/>
        <w:tabs>
          <w:tab w:val="left" w:pos="720"/>
        </w:tabs>
      </w:pPr>
      <w:r>
        <w:rPr>
          <w:rtl w:val="0"/>
          <w:lang w:val="zh-TW" w:eastAsia="zh-TW"/>
        </w:rPr>
        <w:t>Task2</w:t>
      </w:r>
    </w:p>
    <w:p>
      <w:pPr>
        <w:pStyle w:val="Normal.0"/>
        <w:numPr>
          <w:ilvl w:val="0"/>
          <w:numId w:val="6"/>
        </w:numPr>
        <w:rPr>
          <w:lang w:val="en-US"/>
        </w:rPr>
      </w:pPr>
      <w:r>
        <w:rPr>
          <w:rtl w:val="0"/>
          <w:lang w:val="en-US"/>
        </w:rPr>
        <w:t>Implementation and Experiment Results</w:t>
      </w:r>
    </w:p>
    <w:p>
      <w:pPr>
        <w:pStyle w:val="Normal.0"/>
        <w:tabs>
          <w:tab w:val="left" w:pos="720"/>
        </w:tabs>
      </w:pPr>
      <w:r>
        <w:rPr>
          <w:rtl w:val="0"/>
          <w:lang w:val="en-US"/>
        </w:rPr>
        <w:t>top-down search algorithm:</w:t>
      </w:r>
    </w:p>
    <w:p>
      <w:pPr>
        <w:pStyle w:val="Normal.0"/>
        <w:tabs>
          <w:tab w:val="left" w:pos="720"/>
        </w:tabs>
      </w:pPr>
      <w:r>
        <w:rPr>
          <w:rtl w:val="0"/>
          <w:lang w:val="en-US"/>
        </w:rPr>
        <w:t xml:space="preserve">in order to find the corrupted block, we need to compare the Merkle tree from original correct data and Merlkle tree from corrupted data. Start from root node, at each level of traversal, because there are only one corrupted block, by only </w:t>
      </w:r>
      <w:r>
        <w:rPr>
          <w:rtl w:val="0"/>
          <w:lang w:val="en-US"/>
        </w:rPr>
        <w:t>comparing the hash value of left child we can know that i</w:t>
      </w:r>
      <w:r>
        <w:rPr>
          <w:rtl w:val="0"/>
          <w:lang w:val="en-US"/>
        </w:rPr>
        <w:t xml:space="preserve">f the hash does not match the trusted tree, it indicates the corruption </w:t>
      </w:r>
      <w:r>
        <w:rPr>
          <w:rtl w:val="0"/>
          <w:lang w:val="en-US"/>
        </w:rPr>
        <w:t>is</w:t>
      </w:r>
      <w:r>
        <w:rPr>
          <w:rtl w:val="0"/>
          <w:lang w:val="en-US"/>
        </w:rPr>
        <w:t xml:space="preserve"> in the left subtree, and we traverse down the left path. If the hash matches, it guarantees the left subtree is intact, meaning the corruption must be located in the right subtree, so we directly traverse down the right path.</w:t>
      </w:r>
      <w:r>
        <w:rPr>
          <w:rtl w:val="0"/>
          <w:lang w:val="en-US"/>
        </w:rPr>
        <w:t xml:space="preserve"> </w:t>
      </w:r>
      <w:r>
        <w:rPr>
          <w:rtl w:val="0"/>
          <w:lang w:val="en-US"/>
        </w:rPr>
        <w:t>This process continues iteratively until we reach the affected leaf node.</w:t>
      </w:r>
      <w:r>
        <w:drawing xmlns:a="http://schemas.openxmlformats.org/drawingml/2006/main">
          <wp:anchor distT="152400" distB="152400" distL="152400" distR="152400" simplePos="0" relativeHeight="251659264" behindDoc="0" locked="0" layoutInCell="1" allowOverlap="1">
            <wp:simplePos x="0" y="0"/>
            <wp:positionH relativeFrom="margin">
              <wp:posOffset>108902</wp:posOffset>
            </wp:positionH>
            <wp:positionV relativeFrom="line">
              <wp:posOffset>197070</wp:posOffset>
            </wp:positionV>
            <wp:extent cx="5270500" cy="1526337"/>
            <wp:effectExtent l="0" t="0" r="0" b="0"/>
            <wp:wrapThrough wrapText="bothSides" distL="152400" distR="152400">
              <wp:wrapPolygon edited="1">
                <wp:start x="0" y="0"/>
                <wp:lineTo x="21600" y="0"/>
                <wp:lineTo x="21600" y="21633"/>
                <wp:lineTo x="0" y="21633"/>
                <wp:lineTo x="0" y="0"/>
              </wp:wrapPolygon>
            </wp:wrapThrough>
            <wp:docPr id="1073741826" name="officeArt object" descr="截圖 2026-05-12 21.39.11.png"/>
            <wp:cNvGraphicFramePr/>
            <a:graphic xmlns:a="http://schemas.openxmlformats.org/drawingml/2006/main">
              <a:graphicData uri="http://schemas.openxmlformats.org/drawingml/2006/picture">
                <pic:pic xmlns:pic="http://schemas.openxmlformats.org/drawingml/2006/picture">
                  <pic:nvPicPr>
                    <pic:cNvPr id="1073741826" name="截圖 2026-05-12 21.39.11.png" descr="截圖 2026-05-12 21.39.11.png"/>
                    <pic:cNvPicPr>
                      <a:picLocks noChangeAspect="1"/>
                    </pic:cNvPicPr>
                  </pic:nvPicPr>
                  <pic:blipFill>
                    <a:blip r:embed="rId5">
                      <a:extLst/>
                    </a:blip>
                    <a:stretch>
                      <a:fillRect/>
                    </a:stretch>
                  </pic:blipFill>
                  <pic:spPr>
                    <a:xfrm>
                      <a:off x="0" y="0"/>
                      <a:ext cx="5270500" cy="1526337"/>
                    </a:xfrm>
                    <a:prstGeom prst="rect">
                      <a:avLst/>
                    </a:prstGeom>
                    <a:ln w="12700" cap="flat">
                      <a:noFill/>
                      <a:miter lim="400000"/>
                    </a:ln>
                    <a:effectLst/>
                  </pic:spPr>
                </pic:pic>
              </a:graphicData>
            </a:graphic>
          </wp:anchor>
        </w:drawing>
      </w:r>
    </w:p>
    <w:p>
      <w:pPr>
        <w:pStyle w:val="Normal.0"/>
        <w:tabs>
          <w:tab w:val="left" w:pos="720"/>
        </w:tabs>
      </w:pPr>
      <w:r>
        <w:tab/>
      </w:r>
    </w:p>
    <w:p>
      <w:pPr>
        <w:pStyle w:val="Normal.0"/>
        <w:tabs>
          <w:tab w:val="left" w:pos="720"/>
        </w:tabs>
      </w:pPr>
      <w:r>
        <w:rPr>
          <w:rtl w:val="0"/>
          <w:lang w:val="en-US"/>
        </w:rPr>
        <w:t>2. Discussion</w:t>
      </w:r>
    </w:p>
    <w:p>
      <w:pPr>
        <w:pStyle w:val="Normal.0"/>
        <w:tabs>
          <w:tab w:val="left" w:pos="720"/>
        </w:tabs>
      </w:pPr>
      <w:r>
        <w:rPr>
          <w:rtl w:val="0"/>
          <w:lang w:val="en-US"/>
        </w:rPr>
        <w:t>In this experiment, t</w:t>
      </w:r>
      <w:r>
        <w:rPr>
          <w:rtl w:val="0"/>
          <w:lang w:val="en-US"/>
        </w:rPr>
        <w:t>he 128MB file is divided into n = 128 blocks, which are used to construct a Complete Binary Tree. The height H of this tree is log</w:t>
      </w:r>
      <w:r>
        <w:rPr>
          <w:sz w:val="20"/>
          <w:szCs w:val="20"/>
          <w:rtl w:val="0"/>
          <w:lang w:val="en-US"/>
        </w:rPr>
        <w:t>2</w:t>
      </w:r>
      <w:r>
        <w:rPr>
          <w:rtl w:val="0"/>
          <w:lang w:val="en-US"/>
        </w:rPr>
        <w:t>(128) = 7.</w:t>
      </w:r>
    </w:p>
    <w:p>
      <w:pPr>
        <w:pStyle w:val="預設值"/>
        <w:tabs>
          <w:tab w:val="left" w:pos="720"/>
          <w:tab w:val="left" w:pos="1440"/>
          <w:tab w:val="left" w:pos="2160"/>
          <w:tab w:val="left" w:pos="2880"/>
          <w:tab w:val="left" w:pos="3600"/>
          <w:tab w:val="left" w:pos="4320"/>
          <w:tab w:val="left" w:pos="5040"/>
          <w:tab w:val="left" w:pos="5760"/>
          <w:tab w:val="left" w:pos="6480"/>
          <w:tab w:val="left" w:pos="7200"/>
          <w:tab w:val="left" w:pos="7920"/>
        </w:tabs>
        <w:bidi w:val="0"/>
        <w:spacing w:before="0" w:after="240" w:line="240" w:lineRule="auto"/>
        <w:ind w:left="0" w:right="0" w:firstLine="0"/>
        <w:jc w:val="left"/>
        <w:rPr>
          <w:rFonts w:ascii="Helvetica" w:cs="Helvetica" w:hAnsi="Helvetica" w:eastAsia="Helvetica"/>
          <w:rtl w:val="0"/>
        </w:rPr>
      </w:pPr>
      <w:r>
        <w:rPr>
          <w:rFonts w:ascii="Helvetica" w:hAnsi="Helvetica"/>
          <w:b w:val="1"/>
          <w:bCs w:val="1"/>
          <w:rtl w:val="0"/>
          <w:lang w:val="en-US"/>
        </w:rPr>
        <w:t>Traversal Strategy:</w:t>
      </w:r>
      <w:r>
        <w:rPr>
          <w:rFonts w:ascii="Helvetica" w:hAnsi="Helvetica"/>
          <w:rtl w:val="0"/>
          <w:lang w:val="en-US"/>
        </w:rPr>
        <w:t xml:space="preserve"> During the top-down traversal, because we know there is only a single bit error (single bit flip) in the entire dataset, it is sufficient to check only one of the child nodes (specifically, the left child) at each level to make a routing decision.</w:t>
      </w:r>
    </w:p>
    <w:p>
      <w:pPr>
        <w:pStyle w:val="預設值"/>
        <w:tabs>
          <w:tab w:val="left" w:pos="720"/>
          <w:tab w:val="left" w:pos="1440"/>
          <w:tab w:val="left" w:pos="2160"/>
          <w:tab w:val="left" w:pos="2880"/>
          <w:tab w:val="left" w:pos="3600"/>
          <w:tab w:val="left" w:pos="4320"/>
          <w:tab w:val="left" w:pos="5040"/>
          <w:tab w:val="left" w:pos="5760"/>
          <w:tab w:val="left" w:pos="6480"/>
          <w:tab w:val="left" w:pos="7200"/>
          <w:tab w:val="left" w:pos="7920"/>
        </w:tabs>
        <w:bidi w:val="0"/>
        <w:spacing w:before="0" w:after="240" w:line="240" w:lineRule="auto"/>
        <w:ind w:left="0" w:right="0" w:firstLine="0"/>
        <w:jc w:val="left"/>
        <w:rPr>
          <w:rFonts w:ascii="Helvetica" w:cs="Helvetica" w:hAnsi="Helvetica" w:eastAsia="Helvetica"/>
          <w:rtl w:val="0"/>
        </w:rPr>
      </w:pPr>
      <w:r>
        <w:rPr>
          <w:rFonts w:ascii="Helvetica" w:hAnsi="Helvetica"/>
          <w:b w:val="1"/>
          <w:bCs w:val="1"/>
          <w:rtl w:val="0"/>
          <w:lang w:val="en-US"/>
        </w:rPr>
        <w:t>Comparison Count Proof:</w:t>
      </w:r>
      <w:r>
        <w:rPr>
          <w:rFonts w:ascii="Helvetica" w:hAnsi="Helvetica"/>
          <w:rtl w:val="0"/>
          <w:lang w:val="en-US"/>
        </w:rPr>
        <w:t xml:space="preserve"> Each hash comparison effectively eliminates half of the remaining search space. Traversing from the Root (Level 7) down to the Leaf (Level 0) requires descending exactly 7 levels. Because we strictly execute exactly 1 hash comparison per level to determine our path, the total number of comparisons performed is exactly 7. This perfectly aligns with the theoretical constraint of </w:t>
      </w:r>
      <w:r>
        <w:rPr>
          <w:rFonts w:ascii="Helvetica" w:hAnsi="Helvetica"/>
          <w:rtl w:val="0"/>
          <w:lang w:val="en-US"/>
        </w:rPr>
        <w:t>l</w:t>
      </w:r>
      <w:r>
        <w:rPr>
          <w:rFonts w:ascii="Helvetica" w:hAnsi="Helvetica"/>
          <w:rtl w:val="0"/>
        </w:rPr>
        <w:t>o</w:t>
      </w:r>
      <w:r>
        <w:rPr>
          <w:rFonts w:ascii="Helvetica" w:hAnsi="Helvetica"/>
          <w:rtl w:val="0"/>
          <w:lang w:val="en-US"/>
        </w:rPr>
        <w:t>g</w:t>
      </w:r>
      <w:r>
        <w:rPr>
          <w:rFonts w:ascii="Helvetica" w:hAnsi="Helvetica"/>
          <w:sz w:val="22"/>
          <w:szCs w:val="22"/>
          <w:rtl w:val="0"/>
          <w:lang w:val="en-US"/>
        </w:rPr>
        <w:t>2(</w:t>
      </w:r>
      <w:r>
        <w:rPr>
          <w:rFonts w:ascii="Helvetica" w:hAnsi="Helvetica"/>
          <w:rtl w:val="0"/>
          <w:lang w:val="fr-FR"/>
        </w:rPr>
        <w:t>n) comparisons.</w:t>
      </w:r>
    </w:p>
    <w:p>
      <w:pPr>
        <w:pStyle w:val="Normal.0"/>
        <w:tabs>
          <w:tab w:val="left" w:pos="720"/>
        </w:tabs>
      </w:pPr>
    </w:p>
    <w:p>
      <w:pPr>
        <w:pStyle w:val="Normal.0"/>
        <w:tabs>
          <w:tab w:val="left" w:pos="720"/>
        </w:tabs>
      </w:pPr>
      <w:r>
        <w:tab/>
      </w:r>
    </w:p>
    <w:sectPr>
      <w:headerReference w:type="default" r:id="rId6"/>
      <w:footerReference w:type="default" r:id="rId7"/>
      <w:pgSz w:w="11900" w:h="16840" w:orient="portrait"/>
      <w:pgMar w:top="1440" w:right="1800" w:bottom="1440" w:left="1800" w:header="851" w:footer="992"/>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PingFang TC Regular">
    <w:charset w:val="00"/>
    <w:family w:val="roman"/>
    <w:pitch w:val="default"/>
  </w:font>
  <w:font w:name="Aptos">
    <w:charset w:val="00"/>
    <w:family w:val="roman"/>
    <w:pitch w:val="default"/>
  </w:font>
  <w:font w:name="Courier New">
    <w:charset w:val="00"/>
    <w:family w:val="roman"/>
    <w:pitch w:val="default"/>
  </w:font>
  <w:font w:name="Cambria Math">
    <w:charset w:val="00"/>
    <w:family w:val="roman"/>
    <w:pitch w:val="default"/>
  </w:font>
  <w:font w:name="Helvetic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頁首與頁尾"/>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頁首與頁尾"/>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已輸入樣式 1"/>
  </w:abstractNum>
  <w:abstractNum w:abstractNumId="1">
    <w:multiLevelType w:val="hybridMultilevel"/>
    <w:styleLink w:val="已輸入樣式 1"/>
    <w:lvl w:ilvl="0">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start w:val="1"/>
      <w:numFmt w:val="bullet"/>
      <w:suff w:val="tab"/>
      <w:lvlText w:val="o"/>
      <w:lvlJc w:val="left"/>
      <w:pPr>
        <w:ind w:left="144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start w:val="1"/>
      <w:numFmt w:val="bullet"/>
      <w:suff w:val="tab"/>
      <w:lvlText w:val="▪"/>
      <w:lvlJc w:val="left"/>
      <w:pPr>
        <w:tabs>
          <w:tab w:val="left" w:pos="1440"/>
        </w:tabs>
        <w:ind w:left="216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start w:val="1"/>
      <w:numFmt w:val="bullet"/>
      <w:suff w:val="tab"/>
      <w:lvlText w:val="▪"/>
      <w:lvlJc w:val="left"/>
      <w:pPr>
        <w:tabs>
          <w:tab w:val="left" w:pos="1440"/>
        </w:tabs>
        <w:ind w:left="288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start w:val="1"/>
      <w:numFmt w:val="bullet"/>
      <w:suff w:val="tab"/>
      <w:lvlText w:val="▪"/>
      <w:lvlJc w:val="left"/>
      <w:pPr>
        <w:tabs>
          <w:tab w:val="left" w:pos="1440"/>
        </w:tabs>
        <w:ind w:left="360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start w:val="1"/>
      <w:numFmt w:val="bullet"/>
      <w:suff w:val="tab"/>
      <w:lvlText w:val="▪"/>
      <w:lvlJc w:val="left"/>
      <w:pPr>
        <w:tabs>
          <w:tab w:val="left" w:pos="1440"/>
        </w:tabs>
        <w:ind w:left="432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start w:val="1"/>
      <w:numFmt w:val="bullet"/>
      <w:suff w:val="tab"/>
      <w:lvlText w:val="▪"/>
      <w:lvlJc w:val="left"/>
      <w:pPr>
        <w:tabs>
          <w:tab w:val="left" w:pos="1440"/>
        </w:tabs>
        <w:ind w:left="504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start w:val="1"/>
      <w:numFmt w:val="bullet"/>
      <w:suff w:val="tab"/>
      <w:lvlText w:val="▪"/>
      <w:lvlJc w:val="left"/>
      <w:pPr>
        <w:tabs>
          <w:tab w:val="left" w:pos="1440"/>
        </w:tabs>
        <w:ind w:left="576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start w:val="1"/>
      <w:numFmt w:val="bullet"/>
      <w:suff w:val="tab"/>
      <w:lvlText w:val="▪"/>
      <w:lvlJc w:val="left"/>
      <w:pPr>
        <w:tabs>
          <w:tab w:val="left" w:pos="1440"/>
        </w:tabs>
        <w:ind w:left="648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2">
    <w:multiLevelType w:val="hybridMultilevel"/>
    <w:numStyleLink w:val="已輸入樣式 2"/>
  </w:abstractNum>
  <w:abstractNum w:abstractNumId="3">
    <w:multiLevelType w:val="hybridMultilevel"/>
    <w:styleLink w:val="已輸入樣式 2"/>
    <w:lvl w:ilvl="0">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start w:val="1"/>
      <w:numFmt w:val="bullet"/>
      <w:suff w:val="tab"/>
      <w:lvlText w:val="o"/>
      <w:lvlJc w:val="left"/>
      <w:pPr>
        <w:tabs>
          <w:tab w:val="left" w:pos="720"/>
        </w:tabs>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start w:val="1"/>
      <w:numFmt w:val="bullet"/>
      <w:suff w:val="tab"/>
      <w:lvlText w:val="▪"/>
      <w:lvlJc w:val="left"/>
      <w:pPr>
        <w:tabs>
          <w:tab w:val="left" w:pos="720"/>
        </w:tabs>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start w:val="1"/>
      <w:numFmt w:val="bullet"/>
      <w:suff w:val="tab"/>
      <w:lvlText w:val="▪"/>
      <w:lvlJc w:val="left"/>
      <w:pPr>
        <w:tabs>
          <w:tab w:val="left" w:pos="720"/>
        </w:tabs>
        <w:ind w:left="28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start w:val="1"/>
      <w:numFmt w:val="bullet"/>
      <w:suff w:val="tab"/>
      <w:lvlText w:val="▪"/>
      <w:lvlJc w:val="left"/>
      <w:pPr>
        <w:tabs>
          <w:tab w:val="left" w:pos="720"/>
        </w:tabs>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start w:val="1"/>
      <w:numFmt w:val="bullet"/>
      <w:suff w:val="tab"/>
      <w:lvlText w:val="▪"/>
      <w:lvlJc w:val="left"/>
      <w:pPr>
        <w:tabs>
          <w:tab w:val="left" w:pos="720"/>
        </w:tabs>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start w:val="1"/>
      <w:numFmt w:val="bullet"/>
      <w:suff w:val="tab"/>
      <w:lvlText w:val="▪"/>
      <w:lvlJc w:val="left"/>
      <w:pPr>
        <w:tabs>
          <w:tab w:val="left" w:pos="720"/>
        </w:tabs>
        <w:ind w:left="50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start w:val="1"/>
      <w:numFmt w:val="bullet"/>
      <w:suff w:val="tab"/>
      <w:lvlText w:val="▪"/>
      <w:lvlJc w:val="left"/>
      <w:pPr>
        <w:tabs>
          <w:tab w:val="left" w:pos="720"/>
        </w:tabs>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start w:val="1"/>
      <w:numFmt w:val="bullet"/>
      <w:suff w:val="tab"/>
      <w:lvlText w:val="▪"/>
      <w:lvlJc w:val="left"/>
      <w:pPr>
        <w:tabs>
          <w:tab w:val="left" w:pos="720"/>
        </w:tabs>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4">
    <w:multiLevelType w:val="hybridMultilevel"/>
    <w:numStyleLink w:val="編號"/>
  </w:abstractNum>
  <w:abstractNum w:abstractNumId="5">
    <w:multiLevelType w:val="hybridMultilevel"/>
    <w:styleLink w:val="編號"/>
    <w:lvl w:ilvl="0">
      <w:start w:val="1"/>
      <w:numFmt w:val="decimal"/>
      <w:suff w:val="tab"/>
      <w:lvlText w:val="%1."/>
      <w:lvlJc w:val="left"/>
      <w:pPr>
        <w:tabs>
          <w:tab w:val="left" w:pos="720"/>
        </w:tabs>
        <w:ind w:left="253" w:hanging="253"/>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720"/>
        </w:tabs>
        <w:ind w:left="1053" w:hanging="253"/>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720"/>
        </w:tabs>
        <w:ind w:left="1853" w:hanging="253"/>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720"/>
        </w:tabs>
        <w:ind w:left="2653" w:hanging="253"/>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720"/>
        </w:tabs>
        <w:ind w:left="3453" w:hanging="253"/>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720"/>
        </w:tabs>
        <w:ind w:left="4253" w:hanging="253"/>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720"/>
        </w:tabs>
        <w:ind w:left="5053" w:hanging="253"/>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720"/>
        </w:tabs>
        <w:ind w:left="5853" w:hanging="253"/>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720"/>
        </w:tabs>
        <w:ind w:left="6653" w:hanging="253"/>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5"/>
  </w:num>
  <w:num w:numId="6">
    <w:abstractNumId w:val="4"/>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480"/>
  <w:autoHyphenation w:val="0"/>
  <w:evenAndOddHeaders w:val="0"/>
  <w:bookFoldPrinting w:val="0"/>
  <w:noLineBreaksAfter w:lang="中文" w:val="‘“(〔[{〈《「『【⦅〘〖«〝︵︷︹︻︽︿﹁﹃﹇﹙﹛﹝｢"/>
  <w:noLineBreaksBefore w:lang="中文"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頁首與頁尾">
    <w:name w:val="頁首與頁尾"/>
    <w:next w:val="頁首與頁尾"/>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PingFang TC Regular" w:cs="Arial Unicode MS" w:hAnsi="PingFang TC Regular"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0">
    <w:name w:val="Normal"/>
    <w:next w:val="Normal.0"/>
    <w:pPr>
      <w:keepNext w:val="0"/>
      <w:keepLines w:val="0"/>
      <w:pageBreakBefore w:val="0"/>
      <w:widowControl w:val="0"/>
      <w:shd w:val="clear" w:color="auto" w:fill="auto"/>
      <w:suppressAutoHyphens w:val="0"/>
      <w:bidi w:val="0"/>
      <w:spacing w:before="0" w:after="160" w:line="278"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2"/>
      <w:position w:val="0"/>
      <w:sz w:val="24"/>
      <w:szCs w:val="24"/>
      <w:u w:val="none" w:color="000000"/>
      <w:shd w:val="nil" w:color="auto" w:fill="auto"/>
      <w:vertAlign w:val="baseline"/>
      <w:lang w:val="en-US"/>
      <w14:textFill>
        <w14:solidFill>
          <w14:srgbClr w14:val="000000"/>
        </w14:solidFill>
      </w14:textFill>
    </w:rPr>
  </w:style>
  <w:style w:type="numbering" w:styleId="已輸入樣式 1">
    <w:name w:val="已輸入樣式 1"/>
    <w:pPr>
      <w:numPr>
        <w:numId w:val="1"/>
      </w:numPr>
    </w:pPr>
  </w:style>
  <w:style w:type="numbering" w:styleId="已輸入樣式 2">
    <w:name w:val="已輸入樣式 2"/>
    <w:pPr>
      <w:numPr>
        <w:numId w:val="3"/>
      </w:numPr>
    </w:pPr>
  </w:style>
  <w:style w:type="numbering" w:styleId="編號">
    <w:name w:val="編號"/>
    <w:pPr>
      <w:numPr>
        <w:numId w:val="5"/>
      </w:numPr>
    </w:pPr>
  </w:style>
  <w:style w:type="paragraph" w:styleId="預設值">
    <w:name w:val="預設值"/>
    <w:next w:val="預設值"/>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PingFang TC Regular" w:cs="Arial Unicode MS" w:hAnsi="PingFang TC Regular"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lang w:val="en-US"/>
      <w14:textOutline>
        <w14:noFill/>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佈景主題">
  <a:themeElements>
    <a:clrScheme name="Office 佈景主題">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佈景主題">
      <a:majorFont>
        <a:latin typeface="PingFang TC Semibold"/>
        <a:ea typeface="PingFang TC Semibold"/>
        <a:cs typeface="PingFang TC Semibold"/>
      </a:majorFont>
      <a:minorFont>
        <a:latin typeface="PingFang TC Regular"/>
        <a:ea typeface="PingFang TC Regular"/>
        <a:cs typeface="PingFang TC Regular"/>
      </a:minorFont>
    </a:fontScheme>
    <a:fmtScheme name="Office 佈景主題">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