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Drug and Substance Abuse Policy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Kamwenda Engineering Associates and logistics Consultants Ltd recognizes alcohol and drug abuse in the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workplace can cause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accidents, poor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performance and negatively affect the health and safety of not only the user but other employees as well.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</w:t>
      </w:r>
      <w:r>
        <w:rPr>
          <w:rFonts w:hint="default"/>
          <w:sz w:val="24"/>
          <w:szCs w:val="24"/>
        </w:rPr>
        <w:t>t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impacts negatively on the quality of service delivery and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undermines client confidence in the company.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Use of illegal drugs and other substance abuse, advertisement and promotion of the same is prohibited in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the place of work.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Reporting to work while intoxicated is strictly prohibited. Contrary to this may result in immediate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disciplinary action and may include termination of employment.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The company shall endeavor to coordinate the prevention, early detection and management of drug abuse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through education, advocacy empowerment and enforcement liaison for a productive workplace.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Employees who have problems with alcohol and drug abuse will be treated as persons suffering from</w:t>
      </w:r>
      <w:r>
        <w:rPr>
          <w:rFonts w:hint="default"/>
          <w:sz w:val="24"/>
          <w:szCs w:val="24"/>
        </w:rPr>
        <w:t xml:space="preserve"> </w:t>
      </w:r>
      <w:bookmarkStart w:id="0" w:name="_GoBack"/>
      <w:bookmarkEnd w:id="0"/>
      <w:r>
        <w:rPr>
          <w:rFonts w:hint="default"/>
          <w:sz w:val="24"/>
          <w:szCs w:val="24"/>
        </w:rPr>
        <w:t>normal health problems. Therefore, in such circumstances, the employer though having the authority to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discipline will offer counseling, treatment and rehabilitation alternatives before consideration is given to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imposition of disciplinary measures.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Bitstream Vera San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FF6C52"/>
    <w:rsid w:val="FBFF6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2021-04-04T12:08:00Z</dcterms:created>
  <dc:creator>richie</dc:creator>
  <cp:lastModifiedBy>richie</cp:lastModifiedBy>
  <dcterms:modified xsi:type="dcterms:W3CDTF">2021-04-04T12:13:33Z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1033-11.1.0.9615</vt:lpwstr>
  </property>
</Properties>
</file>