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Compact"/>
        <w:pStyle w:val="Abstract"/>
      </w:pPr>
      <w:r>
        <w:t xml:space="preserve">Publishing</w:t>
      </w:r>
      <w:r>
        <w:t xml:space="preserve"> </w:t>
      </w:r>
      <w:r>
        <w:t xml:space="preserve">Contracts.</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book-contracts"/>
      <w:r>
        <w:t xml:space="preserve">Book Contracts</w:t>
      </w:r>
      <w:bookmarkEnd w:id="24"/>
    </w:p>
    <w:p>
      <w:pPr>
        <w:pStyle w:val="Heading3"/>
      </w:pPr>
      <w:bookmarkStart w:id="25" w:name="source-materials"/>
      <w:r>
        <w:t xml:space="preserve">Source Materials</w:t>
      </w:r>
      <w:bookmarkEnd w:id="25"/>
    </w:p>
    <w:p>
      <w:pPr>
        <w:pStyle w:val="Compact"/>
        <w:numPr>
          <w:numId w:val="1001"/>
          <w:ilvl w:val="0"/>
        </w:numPr>
      </w:pPr>
      <w:hyperlink r:id="rId26">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7">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9">
        <w:r>
          <w:rPr>
            <w:i/>
            <w:rStyle w:val="Hyperlink"/>
          </w:rPr>
          <w:t xml:space="preserve">Negotiating A Book Contract,</w:t>
        </w:r>
      </w:hyperlink>
      <w:r>
        <w:t xml:space="preserve"> </w:t>
      </w:r>
      <w:r>
        <w:t xml:space="preserve">by Mark L. Levine, Asphodel Press, 2009.</w:t>
      </w:r>
    </w:p>
    <w:p>
      <w:pPr>
        <w:pStyle w:val="Compact"/>
        <w:numPr>
          <w:numId w:val="1001"/>
          <w:ilvl w:val="0"/>
        </w:numPr>
      </w:pPr>
      <w:hyperlink r:id="rId30">
        <w:r>
          <w:rPr>
            <w:i/>
            <w:rStyle w:val="Hyperlink"/>
          </w:rPr>
          <w:t xml:space="preserve">10 Common Pitfalls Every Author Should Know about Self-Publishing,</w:t>
        </w:r>
      </w:hyperlink>
      <w:r>
        <w:t xml:space="preserve">.</w:t>
      </w:r>
    </w:p>
    <w:p>
      <w:pPr>
        <w:pStyle w:val="Heading2"/>
      </w:pPr>
      <w:bookmarkStart w:id="31" w:name="introduction"/>
      <w:r>
        <w:t xml:space="preserve">Introduction</w:t>
      </w:r>
      <w:bookmarkEnd w:id="31"/>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w:t>
      </w:r>
      <w:r>
        <w:t xml:space="preserve"> </w:t>
      </w:r>
      <w:r>
        <w:t xml:space="preserve">“</w:t>
      </w:r>
      <w:r>
        <w:t xml:space="preserve">satisfactory</w:t>
      </w:r>
      <w:r>
        <w:t xml:space="preserve">”</w:t>
      </w:r>
      <w:r>
        <w:t xml:space="preserve"> </w:t>
      </w:r>
      <w:r>
        <w:t xml:space="preserve">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w:t>
      </w:r>
      <w:r>
        <w:t xml:space="preserve"> </w:t>
      </w:r>
      <w:r>
        <w:t xml:space="preserve">“</w:t>
      </w:r>
      <w:r>
        <w:t xml:space="preserve">Out of Print</w:t>
      </w:r>
      <w:r>
        <w:t xml:space="preserve">”</w:t>
      </w:r>
      <w:r>
        <w:t xml:space="preserve"> </w:t>
      </w:r>
      <w:r>
        <w:t xml:space="preserve">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2" w:name="standard-publishing-agreements"/>
      <w:r>
        <w:t xml:space="preserve">Standard Publishing Agreements</w:t>
      </w:r>
      <w:bookmarkEnd w:id="32"/>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3" w:name="representation-book-contracts"/>
      <w:r>
        <w:t xml:space="preserve">Representation &amp; Book Contracts</w:t>
      </w:r>
      <w:bookmarkEnd w:id="33"/>
    </w:p>
    <w:p>
      <w:pPr>
        <w:pStyle w:val="Heading3"/>
      </w:pPr>
      <w:bookmarkStart w:id="34" w:name="agents-book-contracts"/>
      <w:r>
        <w:t xml:space="preserve">Agents &amp; Book Contracts</w:t>
      </w:r>
      <w:bookmarkEnd w:id="34"/>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w:t>
      </w:r>
      <w:r>
        <w:t xml:space="preserve"> </w:t>
      </w:r>
      <w:r>
        <w:t xml:space="preserve">“</w:t>
      </w:r>
      <w:r>
        <w:t xml:space="preserve">handle</w:t>
      </w:r>
      <w:r>
        <w:t xml:space="preserve">”</w:t>
      </w:r>
      <w:r>
        <w:t xml:space="preserve"> </w:t>
      </w:r>
      <w:r>
        <w:t xml:space="preserve">book contracts for their author clients</w:t>
      </w:r>
      <w:r>
        <w:t xml:space="preserve"> </w:t>
      </w:r>
      <w:r>
        <w:t xml:space="preserve">the way real estate agents</w:t>
      </w:r>
      <w:r>
        <w:t xml:space="preserve"> </w:t>
      </w:r>
      <w:r>
        <w:t xml:space="preserve">“</w:t>
      </w:r>
      <w:r>
        <w:t xml:space="preserve">handle</w:t>
      </w:r>
      <w:r>
        <w:t xml:space="preserve">”</w:t>
      </w:r>
      <w:r>
        <w:t xml:space="preserve"> </w:t>
      </w:r>
      <w:r>
        <w:t xml:space="preserve">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5" w:name="lawyers-book-contracts"/>
      <w:r>
        <w:t xml:space="preserve">Lawyers &amp; Book Contracts</w:t>
      </w:r>
      <w:bookmarkEnd w:id="35"/>
    </w:p>
    <w:p>
      <w:pPr>
        <w:pStyle w:val="FirstParagraph"/>
      </w:pPr>
      <w:r>
        <w:t xml:space="preserve">Most agents will insist</w:t>
      </w:r>
      <w:r>
        <w:t xml:space="preserve"> </w:t>
      </w:r>
      <w:r>
        <w:t xml:space="preserve">that the authors they represent do NOT 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w:t>
      </w:r>
      <w:r>
        <w:t xml:space="preserve"> </w:t>
      </w:r>
      <w:r>
        <w:t xml:space="preserve">“</w:t>
      </w:r>
      <w:r>
        <w:t xml:space="preserve">get an agent,</w:t>
      </w:r>
      <w:r>
        <w:t xml:space="preserve">”</w:t>
      </w:r>
      <w:r>
        <w:t xml:space="preserve"> </w:t>
      </w:r>
      <w:r>
        <w:t xml:space="preserve">or they must fend for themselves by self-publishing</w:t>
      </w:r>
      <w:r>
        <w:t xml:space="preserve"> </w:t>
      </w:r>
      <w:r>
        <w:t xml:space="preserve">or by dealing with small or academic publishers.</w:t>
      </w:r>
    </w:p>
    <w:p>
      <w:pPr>
        <w:pStyle w:val="Heading3"/>
      </w:pPr>
      <w:bookmarkStart w:id="36" w:name="the-authors-guild"/>
      <w:r>
        <w:t xml:space="preserve">The Authors Guild</w:t>
      </w:r>
      <w:bookmarkEnd w:id="36"/>
    </w:p>
    <w:p>
      <w:pPr>
        <w:pStyle w:val="FirstParagraph"/>
      </w:pPr>
      <w:r>
        <w:t xml:space="preserve">Despite its name, the Authors Guild is more an</w:t>
      </w:r>
      <w:r>
        <w:t xml:space="preserve"> </w:t>
      </w:r>
      <w:r>
        <w:t xml:space="preserve">“</w:t>
      </w:r>
      <w:r>
        <w:t xml:space="preserve">association</w:t>
      </w:r>
      <w:r>
        <w:t xml:space="preserve">”</w:t>
      </w:r>
      <w:r>
        <w:t xml:space="preserve"> </w:t>
      </w:r>
      <w:r>
        <w:t xml:space="preserve">than a true union or guild.</w:t>
      </w:r>
      <w:r>
        <w:t xml:space="preserve"> </w:t>
      </w:r>
      <w:r>
        <w:t xml:space="preserve">It</w:t>
      </w:r>
      <w:r>
        <w:t xml:space="preserve"> </w:t>
      </w:r>
      <w:hyperlink r:id="rId37">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8" w:name="membership-eligibility"/>
      <w:r>
        <w:t xml:space="preserve">Membership Eligibility</w:t>
      </w:r>
      <w:bookmarkEnd w:id="38"/>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9">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w:t>
      </w:r>
      <w:r>
        <w:t xml:space="preserve"> </w:t>
      </w:r>
      <w:r>
        <w:t xml:space="preserve">“</w:t>
      </w:r>
      <w:r>
        <w:t xml:space="preserve">an established U.S. book publisher,</w:t>
      </w:r>
      <w:r>
        <w:t xml:space="preserve">”</w:t>
      </w:r>
      <w:r>
        <w:t xml:space="preserve"> </w:t>
      </w:r>
      <w:r>
        <w:t xml:space="preserve">for writers published by</w:t>
      </w:r>
      <w:r>
        <w:t xml:space="preserve"> </w:t>
      </w:r>
      <w:r>
        <w:t xml:space="preserve">“</w:t>
      </w:r>
      <w:r>
        <w:t xml:space="preserve">periodicals of general circulation in the U.S.,</w:t>
      </w:r>
      <w:r>
        <w:t xml:space="preserve">”</w:t>
      </w:r>
      <w:r>
        <w:t xml:space="preserve"> </w:t>
      </w:r>
      <w:r>
        <w:t xml:space="preserve">or authors and writers who have earned</w:t>
      </w:r>
      <w:r>
        <w:t xml:space="preserve"> </w:t>
      </w:r>
      <w:r>
        <w:t xml:space="preserve">“</w:t>
      </w:r>
      <w:r>
        <w:t xml:space="preserve">writing income</w:t>
      </w:r>
      <w:r>
        <w:t xml:space="preserve">”</w:t>
      </w:r>
      <w:r>
        <w:t xml:space="preserve"> </w:t>
      </w:r>
      <w:r>
        <w:t xml:space="preserve">(including from self-published works) of at least $5,000 in an 18-month period.</w:t>
      </w:r>
    </w:p>
    <w:p>
      <w:pPr>
        <w:numPr>
          <w:numId w:val="1004"/>
          <w:ilvl w:val="0"/>
        </w:numPr>
      </w:pPr>
      <w:r>
        <w:rPr>
          <w:b/>
        </w:rPr>
        <w:t xml:space="preserve">Associate Membership:</w:t>
      </w:r>
      <w:r>
        <w:t xml:space="preserve"> </w:t>
      </w:r>
      <w:r>
        <w:t xml:space="preserve">For authors who have been</w:t>
      </w:r>
      <w:r>
        <w:t xml:space="preserve"> </w:t>
      </w:r>
      <w:r>
        <w:t xml:space="preserve">“</w:t>
      </w:r>
      <w:r>
        <w:t xml:space="preserve">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r>
        <w:t xml:space="preserve">”</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40">
        <w:r>
          <w:rPr>
            <w:rStyle w:val="Hyperlink"/>
          </w:rPr>
          <w:t xml:space="preserve">Application Form</w:t>
        </w:r>
      </w:hyperlink>
      <w:r>
        <w:t xml:space="preserve">.</w:t>
      </w:r>
    </w:p>
    <w:p>
      <w:pPr>
        <w:pStyle w:val="Heading4"/>
      </w:pPr>
      <w:bookmarkStart w:id="41" w:name="contract-reviews"/>
      <w:r>
        <w:t xml:space="preserve">Contract Reviews</w:t>
      </w:r>
      <w:bookmarkEnd w:id="41"/>
    </w:p>
    <w:p>
      <w:pPr>
        <w:pStyle w:val="FirstParagraph"/>
      </w:pPr>
      <w:r>
        <w:t xml:space="preserve">The Authors Guild offers</w:t>
      </w:r>
      <w:r>
        <w:t xml:space="preserve"> </w:t>
      </w:r>
      <w:hyperlink r:id="rId42">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6">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3" w:name="important-book-contract-provisions"/>
      <w:r>
        <w:t xml:space="preserve">Important Book Contract Provisions</w:t>
      </w:r>
      <w:bookmarkEnd w:id="43"/>
    </w:p>
    <w:p>
      <w:pPr>
        <w:pStyle w:val="Heading3"/>
      </w:pPr>
      <w:bookmarkStart w:id="44" w:name="the-grant-of-rights"/>
      <w:r>
        <w:t xml:space="preserve">The Grant of Rights</w:t>
      </w:r>
      <w:bookmarkEnd w:id="44"/>
    </w:p>
    <w:p>
      <w:pPr>
        <w:pStyle w:val="Heading4"/>
      </w:pPr>
      <w:bookmarkStart w:id="45" w:name="two-fair-examples"/>
      <w:r>
        <w:t xml:space="preserve">Two Fair Examples</w:t>
      </w:r>
      <w:bookmarkEnd w:id="45"/>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w:t>
      </w:r>
      <w:r>
        <w:t xml:space="preserve"> </w:t>
      </w:r>
      <w:r>
        <w:t xml:space="preserve">“</w:t>
      </w:r>
      <w:r>
        <w:t xml:space="preserve">Territory</w:t>
      </w:r>
      <w:r>
        <w:t xml:space="preserve">”</w:t>
      </w:r>
      <w:r>
        <w:t xml:space="preserve">)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6" w:name="an-unfair-example"/>
      <w:r>
        <w:t xml:space="preserve">An Unfair Example</w:t>
      </w:r>
      <w:bookmarkEnd w:id="46"/>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7" w:name="notes-on-grant-of-rights"/>
      <w:r>
        <w:t xml:space="preserve">Notes on Grant of Rights</w:t>
      </w:r>
      <w:bookmarkEnd w:id="47"/>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w:t>
      </w:r>
      <w:r>
        <w:t xml:space="preserve"> </w:t>
      </w:r>
      <w:r>
        <w:t xml:space="preserve">“</w:t>
      </w:r>
      <w:r>
        <w:t xml:space="preserve">all rights</w:t>
      </w:r>
      <w:r>
        <w:t xml:space="preserve">”</w:t>
      </w:r>
      <w:r>
        <w:t xml:space="preserve"> </w:t>
      </w:r>
      <w:r>
        <w:t xml:space="preserve">or</w:t>
      </w:r>
      <w:r>
        <w:t xml:space="preserve"> </w:t>
      </w:r>
      <w:r>
        <w:t xml:space="preserve">“</w:t>
      </w:r>
      <w:r>
        <w:t xml:space="preserve">world rights</w:t>
      </w:r>
      <w:r>
        <w:t xml:space="preserve">”</w:t>
      </w:r>
      <w:r>
        <w:t xml:space="preserve">.</w:t>
      </w:r>
      <w:r>
        <w:t xml:space="preserve"> </w:t>
      </w:r>
      <w:r>
        <w:t xml:space="preserve">Worse is an actual transfer of the copyright, which we see in the bad example above.</w:t>
      </w:r>
      <w:r>
        <w:t xml:space="preserve"> </w:t>
      </w:r>
      <w:r>
        <w:t xml:space="preserve">Notice how in the good examples above the language clearly grants only the right to</w:t>
      </w:r>
      <w:r>
        <w:t xml:space="preserve"> </w:t>
      </w:r>
      <w:r>
        <w:t xml:space="preserve">“</w:t>
      </w:r>
      <w:r>
        <w:t xml:space="preserve">print, publish, reproduce, distribute</w:t>
      </w:r>
      <w:r>
        <w:t xml:space="preserve">”</w:t>
      </w:r>
      <w:r>
        <w:t xml:space="preserve"> </w:t>
      </w:r>
      <w:r>
        <w:t xml:space="preserve">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w:t>
      </w:r>
      <w:r>
        <w:t xml:space="preserve"> </w:t>
      </w:r>
      <w:r>
        <w:t xml:space="preserve">“</w:t>
      </w:r>
      <w:r>
        <w:t xml:space="preserve">for the full term of the copyright available to the Work,</w:t>
      </w:r>
      <w:r>
        <w:t xml:space="preserve">”</w:t>
      </w:r>
      <w:r>
        <w:t xml:space="preserve"> </w:t>
      </w:r>
      <w:r>
        <w:t xml:space="preserve">but in fact this period of time is usually limited by the</w:t>
      </w:r>
      <w:r>
        <w:t xml:space="preserve"> </w:t>
      </w:r>
      <w:r>
        <w:t xml:space="preserve">“</w:t>
      </w:r>
      <w:r>
        <w:t xml:space="preserve">Out of Print</w:t>
      </w:r>
      <w:r>
        <w:t xml:space="preserve">”</w:t>
      </w:r>
      <w:r>
        <w:t xml:space="preserve"> </w:t>
      </w:r>
      <w:r>
        <w:t xml:space="preserve">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w:t>
      </w:r>
      <w:r>
        <w:t xml:space="preserve"> </w:t>
      </w:r>
      <w:r>
        <w:t xml:space="preserve">“</w:t>
      </w:r>
      <w:r>
        <w:t xml:space="preserve">copyright,</w:t>
      </w:r>
      <w:r>
        <w:t xml:space="preserve">”</w:t>
      </w:r>
      <w:r>
        <w:t xml:space="preserve"> </w:t>
      </w:r>
      <w:r>
        <w:t xml:space="preserve">“</w:t>
      </w:r>
      <w:r>
        <w:t xml:space="preserve">ownership of copyright</w:t>
      </w:r>
      <w:r>
        <w:t xml:space="preserve">”</w:t>
      </w:r>
      <w:r>
        <w:t xml:space="preserve"> </w:t>
      </w:r>
      <w:r>
        <w:t xml:space="preserve">or</w:t>
      </w:r>
      <w:r>
        <w:t xml:space="preserve"> </w:t>
      </w:r>
      <w:r>
        <w:t xml:space="preserve">“</w:t>
      </w:r>
      <w:r>
        <w:t xml:space="preserve">all rights.</w:t>
      </w:r>
      <w:r>
        <w:t xml:space="preserve">”</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8" w:name="delivery-of-the-manuscript"/>
      <w:r>
        <w:t xml:space="preserve">Delivery of the Manuscript</w:t>
      </w:r>
      <w:bookmarkEnd w:id="48"/>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49" w:name="satisfactory-manuscript"/>
      <w:r>
        <w:t xml:space="preserve">Satisfactory Manuscript</w:t>
      </w:r>
      <w:bookmarkEnd w:id="49"/>
    </w:p>
    <w:p>
      <w:pPr>
        <w:pStyle w:val="FirstParagraph"/>
      </w:pPr>
      <w:r>
        <w:t xml:space="preserve">Most publishing contracts will contain a clause specifying that</w:t>
      </w:r>
      <w:r>
        <w:t xml:space="preserve"> </w:t>
      </w:r>
      <w:r>
        <w:t xml:space="preserve">“</w:t>
      </w:r>
      <w:r>
        <w:t xml:space="preserve">the manuscript must be satisfactory to the publisher in form and content.</w:t>
      </w:r>
      <w:r>
        <w:t xml:space="preserve">”</w:t>
      </w:r>
      <w:r>
        <w:t xml:space="preserve"> </w:t>
      </w:r>
      <w:r>
        <w:t xml:space="preserve">The Authors Guild recommends that authors or their representatives</w:t>
      </w:r>
      <w:r>
        <w:t xml:space="preserve"> </w:t>
      </w:r>
      <w:r>
        <w:t xml:space="preserve">try to change this language from</w:t>
      </w:r>
      <w:r>
        <w:t xml:space="preserve"> </w:t>
      </w:r>
      <w:r>
        <w:t xml:space="preserve">“</w:t>
      </w:r>
      <w:r>
        <w:t xml:space="preserve">satisfactory</w:t>
      </w:r>
      <w:r>
        <w:t xml:space="preserve">”</w:t>
      </w:r>
      <w:r>
        <w:t xml:space="preserve"> </w:t>
      </w:r>
      <w:r>
        <w:t xml:space="preserve">to a</w:t>
      </w:r>
      <w:r>
        <w:t xml:space="preserve"> </w:t>
      </w:r>
      <w:r>
        <w:t xml:space="preserve">“</w:t>
      </w:r>
      <w:r>
        <w:t xml:space="preserve">complete manuscript,</w:t>
      </w:r>
      <w:r>
        <w:t xml:space="preserve">”</w:t>
      </w:r>
      <w:r>
        <w:t xml:space="preserve"> </w:t>
      </w:r>
      <w:r>
        <w:t xml:space="preserve">or use objective standards such as:</w:t>
      </w:r>
      <w:r>
        <w:t xml:space="preserve"> </w:t>
      </w:r>
      <w:r>
        <w:t xml:space="preserve">“</w:t>
      </w:r>
      <w:r>
        <w:t xml:space="preserve">professional</w:t>
      </w:r>
      <w:r>
        <w:t xml:space="preserve">”</w:t>
      </w:r>
      <w:r>
        <w:t xml:space="preserve"> </w:t>
      </w:r>
      <w:r>
        <w:t xml:space="preserve">or</w:t>
      </w:r>
      <w:r>
        <w:t xml:space="preserve"> </w:t>
      </w:r>
      <w:r>
        <w:t xml:space="preserve">“</w:t>
      </w:r>
      <w:r>
        <w:t xml:space="preserve">fit for publication</w:t>
      </w:r>
      <w:r>
        <w:t xml:space="preserve">”</w:t>
      </w:r>
      <w:r>
        <w:t xml:space="preserve"> </w:t>
      </w:r>
      <w:r>
        <w:t xml:space="preserve">or</w:t>
      </w:r>
      <w:r>
        <w:t xml:space="preserve"> </w:t>
      </w:r>
      <w:r>
        <w:t xml:space="preserve">“</w:t>
      </w:r>
      <w:r>
        <w:t xml:space="preserve">of publishable quality.</w:t>
      </w:r>
      <w:r>
        <w:t xml:space="preserve">”</w:t>
      </w:r>
      <w:r>
        <w:t xml:space="preserve"> </w:t>
      </w:r>
      <w:r>
        <w:t xml:space="preserve">If the publisher is not</w:t>
      </w:r>
      <w:r>
        <w:t xml:space="preserve"> </w:t>
      </w:r>
      <w:r>
        <w:t xml:space="preserve">“</w:t>
      </w:r>
      <w:r>
        <w:t xml:space="preserve">satisfied</w:t>
      </w:r>
      <w:r>
        <w:t xml:space="preserve">”</w:t>
      </w:r>
      <w:r>
        <w:t xml:space="preserve"> </w:t>
      </w:r>
      <w:r>
        <w:t xml:space="preserve">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w:t>
      </w:r>
      <w:r>
        <w:t xml:space="preserve"> </w:t>
      </w:r>
      <w:r>
        <w:t xml:space="preserve">“</w:t>
      </w:r>
      <w:r>
        <w:t xml:space="preserve">professional</w:t>
      </w:r>
      <w:r>
        <w:t xml:space="preserve">”</w:t>
      </w:r>
      <w:r>
        <w:t xml:space="preserve"> </w:t>
      </w:r>
      <w:r>
        <w:t xml:space="preserve">and</w:t>
      </w:r>
      <w:r>
        <w:t xml:space="preserve"> </w:t>
      </w:r>
      <w:r>
        <w:t xml:space="preserve">“</w:t>
      </w:r>
      <w:r>
        <w:t xml:space="preserve">fit for publication.</w:t>
      </w:r>
      <w:r>
        <w:t xml:space="preserve">”</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50" w:name="publication"/>
      <w:r>
        <w:t xml:space="preserve">Publication</w:t>
      </w:r>
      <w:bookmarkEnd w:id="50"/>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w:t>
      </w:r>
      <w:r>
        <w:t xml:space="preserve"> </w:t>
      </w:r>
      <w:r>
        <w:t xml:space="preserve">“</w:t>
      </w:r>
      <w:r>
        <w:t xml:space="preserve">pushing</w:t>
      </w:r>
      <w:r>
        <w:t xml:space="preserve">”</w:t>
      </w:r>
      <w:r>
        <w:t xml:space="preserve"> </w:t>
      </w:r>
      <w:r>
        <w:t xml:space="preserve">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1" w:name="option-clauses"/>
      <w:r>
        <w:t xml:space="preserve">Option Clauses</w:t>
      </w:r>
      <w:bookmarkEnd w:id="51"/>
    </w:p>
    <w:p>
      <w:pPr>
        <w:pStyle w:val="Heading4"/>
      </w:pPr>
      <w:bookmarkStart w:id="52" w:name="a-sample-option-clause"/>
      <w:r>
        <w:t xml:space="preserve">A Sample Option Clause</w:t>
      </w:r>
      <w:bookmarkEnd w:id="52"/>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3" w:name="another-sample-option-clause"/>
      <w:r>
        <w:t xml:space="preserve">Another Sample Option Clause</w:t>
      </w:r>
      <w:bookmarkEnd w:id="53"/>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w:t>
      </w:r>
      <w:r>
        <w:t xml:space="preserve"> </w:t>
      </w:r>
      <w:r>
        <w:t xml:space="preserve">“</w:t>
      </w:r>
      <w:r>
        <w:t xml:space="preserve">Author,</w:t>
      </w:r>
      <w:r>
        <w:t xml:space="preserve">”</w:t>
      </w:r>
      <w:r>
        <w:t xml:space="preserve"> </w:t>
      </w:r>
      <w:r>
        <w:t xml:space="preserve">whether such manuscript is written alone or together with another co-author.</w:t>
      </w:r>
    </w:p>
    <w:p>
      <w:pPr>
        <w:pStyle w:val="Heading4"/>
      </w:pPr>
      <w:bookmarkStart w:id="54" w:name="authors-guild-on-option-clauses"/>
      <w:r>
        <w:t xml:space="preserve">Authors Guild on Option Clauses</w:t>
      </w:r>
      <w:bookmarkEnd w:id="54"/>
    </w:p>
    <w:p>
      <w:pPr>
        <w:pStyle w:val="FirstParagraph"/>
      </w:pPr>
      <w:r>
        <w:t xml:space="preserve">To the Authors Guild, option clauses are</w:t>
      </w:r>
      <w:r>
        <w:t xml:space="preserve"> </w:t>
      </w:r>
      <w:r>
        <w:t xml:space="preserve">“</w:t>
      </w:r>
      <w:r>
        <w:t xml:space="preserve">Unacceptable Provisions</w:t>
      </w:r>
      <w:r>
        <w:t xml:space="preserve">”</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w:t>
      </w:r>
    </w:p>
    <w:p>
      <w:pPr>
        <w:pStyle w:val="Compact"/>
        <w:numPr>
          <w:numId w:val="1008"/>
          <w:ilvl w:val="0"/>
        </w:numPr>
      </w:pPr>
      <w:r>
        <w:t xml:space="preserve">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Compact"/>
        <w:numPr>
          <w:numId w:val="1008"/>
          <w:ilvl w:val="0"/>
        </w:numPr>
      </w:pPr>
      <w:r>
        <w:t xml:space="preserve">Rather than agreeing to submit</w:t>
      </w:r>
      <w:r>
        <w:t xml:space="preserve"> </w:t>
      </w:r>
      <w:r>
        <w:t xml:space="preserve">“</w:t>
      </w:r>
      <w:r>
        <w:t xml:space="preserve">the manuscript,</w:t>
      </w:r>
      <w:r>
        <w:t xml:space="preserve">”</w:t>
      </w:r>
      <w:r>
        <w:t xml:space="preserve"> </w:t>
      </w:r>
      <w:r>
        <w:t xml:space="preserve">agree to submit a</w:t>
      </w:r>
      <w:r>
        <w:t xml:space="preserve"> </w:t>
      </w:r>
      <w:r>
        <w:t xml:space="preserve">“</w:t>
      </w:r>
      <w:r>
        <w:t xml:space="preserve">detailed proposal and sample chapters.</w:t>
      </w:r>
      <w:r>
        <w:t xml:space="preserve">”</w:t>
      </w:r>
      <w:r>
        <w:t xml:space="preserve"> </w:t>
      </w:r>
      <w:r>
        <w:t xml:space="preserve">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27">
        <w:r>
          <w:rPr>
            <w:rStyle w:val="Hyperlink"/>
          </w:rPr>
          <w:t xml:space="preserve">Authors Guild: Improving Your Book Contract</w:t>
        </w:r>
      </w:hyperlink>
    </w:p>
    <w:p>
      <w:pPr>
        <w:pStyle w:val="Heading3"/>
      </w:pPr>
      <w:bookmarkStart w:id="55" w:name="copyright"/>
      <w:r>
        <w:t xml:space="preserve">Copyright</w:t>
      </w:r>
      <w:bookmarkEnd w:id="55"/>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6" w:name="advance"/>
      <w:r>
        <w:t xml:space="preserve">Advance</w:t>
      </w:r>
      <w:bookmarkEnd w:id="56"/>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57" w:name="how-book-advances-work"/>
      <w:r>
        <w:t xml:space="preserve">How Book Advances Work</w:t>
      </w:r>
      <w:bookmarkEnd w:id="57"/>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8" w:name="out-of-print"/>
      <w:r>
        <w:t xml:space="preserve">Out of Print</w:t>
      </w:r>
      <w:bookmarkEnd w:id="58"/>
    </w:p>
    <w:p>
      <w:pPr>
        <w:pStyle w:val="FirstParagraph"/>
      </w:pPr>
      <w:r>
        <w:t xml:space="preserve">Traditionally, a work goes</w:t>
      </w:r>
      <w:r>
        <w:t xml:space="preserve"> </w:t>
      </w:r>
      <w:r>
        <w:t xml:space="preserve">“</w:t>
      </w:r>
      <w:r>
        <w:t xml:space="preserve">out of print</w:t>
      </w:r>
      <w:r>
        <w:t xml:space="preserve">”</w:t>
      </w:r>
      <w:r>
        <w:t xml:space="preserve"> </w:t>
      </w:r>
      <w:r>
        <w:t xml:space="preserve">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w:t>
      </w:r>
      <w:r>
        <w:t xml:space="preserve"> </w:t>
      </w:r>
      <w:r>
        <w:t xml:space="preserve">“</w:t>
      </w:r>
      <w:r>
        <w:t xml:space="preserve">in print.</w:t>
      </w:r>
      <w:r>
        <w:t xml:space="preserve">”</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7">
        <w:r>
          <w:rPr>
            <w:rStyle w:val="Hyperlink"/>
          </w:rPr>
          <w:t xml:space="preserve">Authors Guild: Improving Your Book Contract - Negotiation Tips For Nine Typical Clauses</w:t>
        </w:r>
      </w:hyperlink>
      <w:r>
        <w:t xml:space="preserve">.</w:t>
      </w:r>
    </w:p>
    <w:p>
      <w:pPr>
        <w:pStyle w:val="Heading3"/>
      </w:pPr>
      <w:bookmarkStart w:id="59" w:name="subsidiary-rights"/>
      <w:r>
        <w:t xml:space="preserve">Subsidiary Rights</w:t>
      </w:r>
      <w:bookmarkEnd w:id="59"/>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9">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w:t>
      </w:r>
      <w:r>
        <w:rPr>
          <w:b/>
        </w:rPr>
        <w:t xml:space="preserve">in any format now known or hereafter developed,</w:t>
      </w:r>
      <w:r>
        <w:rPr>
          <w:b/>
        </w:rPr>
        <w:t xml:space="preserve">”</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0">
        <w:r>
          <w:rPr>
            <w:rStyle w:val="Hyperlink"/>
          </w:rPr>
          <w:t xml:space="preserve">Authors Guild: Improving Your Book Contract</w:t>
        </w:r>
      </w:hyperlink>
    </w:p>
    <w:p>
      <w:pPr>
        <w:pStyle w:val="Heading4"/>
      </w:pPr>
      <w:bookmarkStart w:id="61" w:name="when-literary-agent-sells-sub-rights"/>
      <w:r>
        <w:t xml:space="preserve">When Literary Agent Sells Sub Rights</w:t>
      </w:r>
      <w:bookmarkEnd w:id="61"/>
    </w:p>
    <w:p>
      <w:pPr>
        <w:pStyle w:val="FirstParagraph"/>
      </w:pPr>
      <w:r>
        <w:t xml:space="preserve">Hanser, a German publisher, agrees to purchase the right to publish German language rights for $100k. If Author’s literary agent sells those rights, the payments look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w:t>
      </w:r>
      <w:r>
        <w:t xml:space="preserve"> </w:t>
      </w:r>
      <w:r>
        <w:t xml:space="preserve">“</w:t>
      </w:r>
      <w:r>
        <w:t xml:space="preserve">world rights</w:t>
      </w:r>
      <w:r>
        <w:t xml:space="preserve">”</w:t>
      </w:r>
      <w:r>
        <w:t xml:space="preserve"> </w:t>
      </w:r>
      <w:r>
        <w:t xml:space="preserve">instead of letting the Author’s literary agent do it, the commissions usually go up, resulting in less money for Author.</w:t>
      </w:r>
    </w:p>
    <w:p>
      <w:pPr>
        <w:pStyle w:val="Heading4"/>
      </w:pPr>
      <w:bookmarkStart w:id="62" w:name="when-publisher-sells-sub-rights"/>
      <w:r>
        <w:t xml:space="preserve">When Publisher Sells Sub Rights</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3" w:name="e-book-rights"/>
      <w:r>
        <w:t xml:space="preserve">E-Book Rights</w:t>
      </w:r>
      <w:bookmarkEnd w:id="63"/>
    </w:p>
    <w:p>
      <w:pPr>
        <w:pStyle w:val="FirstParagraph"/>
      </w:pPr>
      <w:r>
        <w:t xml:space="preserve">Obviously e-book rights are becoming as important as, if not more important than, traditional print rights. Also, the definition of an</w:t>
      </w:r>
      <w:r>
        <w:t xml:space="preserve"> </w:t>
      </w:r>
      <w:r>
        <w:t xml:space="preserve">“</w:t>
      </w:r>
      <w:r>
        <w:t xml:space="preserve">e-book</w:t>
      </w:r>
      <w:r>
        <w:t xml:space="preserve">”</w:t>
      </w:r>
      <w:r>
        <w:t xml:space="preserve"> </w:t>
      </w:r>
      <w:r>
        <w:t xml:space="preserve">is subject to change as publishers experiment with so-called</w:t>
      </w:r>
      <w:r>
        <w:t xml:space="preserve"> </w:t>
      </w:r>
      <w:r>
        <w:t xml:space="preserve">“</w:t>
      </w:r>
      <w:r>
        <w:t xml:space="preserve">enhanced books,</w:t>
      </w:r>
      <w:r>
        <w:t xml:space="preserve">”</w:t>
      </w:r>
      <w:r>
        <w:t xml:space="preserve"> </w:t>
      </w:r>
      <w:r>
        <w:t xml:space="preserve">books featuring audio, animation, artwork, and the like.</w:t>
      </w:r>
    </w:p>
    <w:p>
      <w:pPr>
        <w:pStyle w:val="BodyText"/>
      </w:pPr>
      <w:r>
        <w:t xml:space="preserve">The author and her reps need to be certain that the definition of e-book rights includes a</w:t>
      </w:r>
      <w:r>
        <w:t xml:space="preserve"> </w:t>
      </w:r>
      <w:r>
        <w:t xml:space="preserve">“</w:t>
      </w:r>
      <w:r>
        <w:t xml:space="preserve">text verbatim only</w:t>
      </w:r>
      <w:r>
        <w:t xml:space="preserve">”</w:t>
      </w:r>
      <w:r>
        <w:t xml:space="preserve"> </w:t>
      </w:r>
      <w:r>
        <w:t xml:space="preserve">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w:t>
      </w:r>
      <w:r>
        <w:t xml:space="preserve"> </w:t>
      </w:r>
      <w:r>
        <w:t xml:space="preserve">“</w:t>
      </w:r>
      <w:r>
        <w:t xml:space="preserve">in print</w:t>
      </w:r>
      <w:r>
        <w:t xml:space="preserve">”</w:t>
      </w:r>
      <w:r>
        <w:t xml:space="preserve"> </w:t>
      </w:r>
      <w:r>
        <w:t xml:space="preserve">under the contract.</w:t>
      </w:r>
    </w:p>
    <w:p>
      <w:pPr>
        <w:pStyle w:val="BodyText"/>
      </w:pPr>
      <w:r>
        <w:t xml:space="preserve">If possible obtain a</w:t>
      </w:r>
      <w:r>
        <w:t xml:space="preserve"> </w:t>
      </w:r>
      <w:r>
        <w:t xml:space="preserve">“</w:t>
      </w:r>
      <w:r>
        <w:t xml:space="preserve">renegotiation clause,</w:t>
      </w:r>
      <w:r>
        <w:t xml:space="preserve">”</w:t>
      </w:r>
      <w:r>
        <w:t xml:space="preserve"> </w:t>
      </w:r>
      <w:r>
        <w:t xml:space="preserve">which gives the author and the publisher the ability to renegotiate if the industry standard royalty amounts change in the future or the media used to transmit books changes.</w:t>
      </w:r>
    </w:p>
    <w:p>
      <w:pPr>
        <w:pStyle w:val="Heading2"/>
      </w:pPr>
      <w:bookmarkStart w:id="64" w:name="definiteness"/>
      <w:r>
        <w:t xml:space="preserve">Definiteness</w:t>
      </w:r>
      <w:bookmarkEnd w:id="64"/>
    </w:p>
    <w:p>
      <w:pPr>
        <w:pStyle w:val="Heading3"/>
      </w:pPr>
      <w:bookmarkStart w:id="65" w:name="pinnacle-books-v.-harlequin"/>
      <w:r>
        <w:rPr>
          <w:i/>
        </w:rPr>
        <w:t xml:space="preserve">Pinnacle Books v. Harlequin,</w:t>
      </w:r>
      <w:bookmarkEnd w:id="65"/>
    </w:p>
    <w:p>
      <w:pPr>
        <w:pStyle w:val="Heading6"/>
      </w:pPr>
      <w:bookmarkStart w:id="66" w:name="united-states-district-court-sdny-1981."/>
      <w:r>
        <w:t xml:space="preserve">United States District Court SDNY (1981).</w:t>
      </w:r>
      <w:bookmarkEnd w:id="66"/>
    </w:p>
    <w:p>
      <w:pPr>
        <w:pStyle w:val="Compact"/>
        <w:numPr>
          <w:numId w:val="1012"/>
          <w:ilvl w:val="0"/>
        </w:numPr>
      </w:pPr>
      <w:hyperlink r:id="rId67">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w:t>
      </w:r>
      <w:r>
        <w:t xml:space="preserve"> </w:t>
      </w:r>
      <w:r>
        <w:t xml:space="preserve">“</w:t>
      </w:r>
      <w:r>
        <w:t xml:space="preserve">best efforts</w:t>
      </w:r>
      <w:r>
        <w:t xml:space="preserve">”</w:t>
      </w:r>
      <w:r>
        <w:t xml:space="preserve"> </w:t>
      </w:r>
      <w:r>
        <w:t xml:space="preserve">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w:t>
      </w:r>
      <w:r>
        <w:t xml:space="preserve">Best efforts</w:t>
      </w:r>
      <w:r>
        <w:t xml:space="preserve">”</w:t>
      </w:r>
      <w:r>
        <w:t xml:space="preserve"> </w:t>
      </w:r>
      <w:r>
        <w:t xml:space="preserve">or similar clauses, like any other contractual agreement, must set forth in definite and certain terms every material element of the contemplated bargain. It is hornbook law that courts cannot and will not supply the material terms of a contract. Essential to the enforcement of a</w:t>
      </w:r>
      <w:r>
        <w:t xml:space="preserve"> </w:t>
      </w:r>
      <w:r>
        <w:t xml:space="preserve">“</w:t>
      </w:r>
      <w:r>
        <w:t xml:space="preserve">best efforts</w:t>
      </w:r>
      <w:r>
        <w:t xml:space="preserve">”</w:t>
      </w:r>
      <w:r>
        <w:t xml:space="preserve"> </w:t>
      </w:r>
      <w:r>
        <w:t xml:space="preserve">clause is a clear set of guidelines against which the parties’</w:t>
      </w:r>
      <w:r>
        <w:t xml:space="preserve"> </w:t>
      </w:r>
      <w:r>
        <w:t xml:space="preserve">“</w:t>
      </w:r>
      <w:r>
        <w:t xml:space="preserve">best efforts</w:t>
      </w:r>
      <w:r>
        <w:t xml:space="preserve">”</w:t>
      </w:r>
      <w:r>
        <w:t xml:space="preserve"> </w:t>
      </w:r>
      <w:r>
        <w:t xml:space="preserve">may be measured.</w:t>
      </w:r>
    </w:p>
    <w:p>
      <w:pPr>
        <w:pStyle w:val="FirstParagraph"/>
      </w:pPr>
      <w:r>
        <w:t xml:space="preserve">What Pinnacle really needed (and apparently was unable to bargain for) was an</w:t>
      </w:r>
      <w:r>
        <w:t xml:space="preserve"> </w:t>
      </w:r>
      <w:r>
        <w:t xml:space="preserve">“</w:t>
      </w:r>
      <w:r>
        <w:t xml:space="preserve">option clause.</w:t>
      </w:r>
      <w:r>
        <w:t xml:space="preserve">”</w:t>
      </w:r>
    </w:p>
    <w:p>
      <w:pPr>
        <w:pStyle w:val="Heading4"/>
      </w:pPr>
      <w:bookmarkStart w:id="68" w:name="authors-guild-on-option-clauses-1"/>
      <w:r>
        <w:t xml:space="preserve">Authors Guild on Option Clauses</w:t>
      </w:r>
      <w:bookmarkEnd w:id="68"/>
    </w:p>
    <w:p>
      <w:pPr>
        <w:pStyle w:val="FirstParagraph"/>
      </w:pPr>
      <w:r>
        <w:t xml:space="preserve">To the Authors Guild, Option clauses are</w:t>
      </w:r>
      <w:r>
        <w:t xml:space="preserve"> </w:t>
      </w:r>
      <w:r>
        <w:t xml:space="preserve">“</w:t>
      </w:r>
      <w:r>
        <w:t xml:space="preserve">Unacceptable Provisions.</w:t>
      </w:r>
      <w:r>
        <w:t xml:space="preserve">”</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69">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 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69">
        <w:r>
          <w:rPr>
            <w:rStyle w:val="Hyperlink"/>
          </w:rPr>
          <w:t xml:space="preserve">Dooling Book Contract</w:t>
        </w:r>
      </w:hyperlink>
      <w:r>
        <w:t xml:space="preserve"> </w:t>
      </w:r>
      <w:r>
        <w:t xml:space="preserve">at ¶ 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fead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b48b0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f03b9b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7" Target="http://www.authorsguild.org/about/" TargetMode="External" /><Relationship Type="http://schemas.openxmlformats.org/officeDocument/2006/relationships/hyperlink" Id="rId42" Target="http://www.authorsguild.org/member-benefits/legal-services/contract-reviews/" TargetMode="External" /><Relationship Type="http://schemas.openxmlformats.org/officeDocument/2006/relationships/hyperlink" Id="rId60" Target="http://www.authorsguild.org/member-benefits/legal-services/improving-your-book-contract/" TargetMode="External" /><Relationship Type="http://schemas.openxmlformats.org/officeDocument/2006/relationships/hyperlink" Id="rId39"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69"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40" Target="https://www.authorsguild.net/services/join/" TargetMode="External" /><Relationship Type="http://schemas.openxmlformats.org/officeDocument/2006/relationships/hyperlink" Id="rId26" Target="https://www.authorsguild.org/member-benefits/legal-services/model-book-contract/" TargetMode="External" /><Relationship Type="http://schemas.openxmlformats.org/officeDocument/2006/relationships/hyperlink" Id="rId30" Target="https://www.linkedin.com/pulse/10-common-pitfalls-every-author-should-know-deborah-e-johnson-esq-/" TargetMode="External" /></Relationships>
</file>

<file path=word/_rels/footnotes.xml.rels><?xml version="1.0" encoding="UTF-8"?>
<Relationships xmlns="http://schemas.openxmlformats.org/package/2006/relationships"><Relationship Type="http://schemas.openxmlformats.org/officeDocument/2006/relationships/hyperlink" Id="rId67"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7" Target="http://www.authorsguild.org/about/" TargetMode="External" /><Relationship Type="http://schemas.openxmlformats.org/officeDocument/2006/relationships/hyperlink" Id="rId42" Target="http://www.authorsguild.org/member-benefits/legal-services/contract-reviews/" TargetMode="External" /><Relationship Type="http://schemas.openxmlformats.org/officeDocument/2006/relationships/hyperlink" Id="rId60" Target="http://www.authorsguild.org/member-benefits/legal-services/improving-your-book-contract/" TargetMode="External" /><Relationship Type="http://schemas.openxmlformats.org/officeDocument/2006/relationships/hyperlink" Id="rId39"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69"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40" Target="https://www.authorsguild.net/services/join/" TargetMode="External" /><Relationship Type="http://schemas.openxmlformats.org/officeDocument/2006/relationships/hyperlink" Id="rId26" Target="https://www.authorsguild.org/member-benefits/legal-services/model-book-contract/" TargetMode="External" /><Relationship Type="http://schemas.openxmlformats.org/officeDocument/2006/relationships/hyperlink" Id="rId30" Target="https://www.linkedin.com/pulse/10-common-pitfalls-every-author-should-know-deborah-e-johnson-e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2018-01-20T16:55:42Z</dcterms:created>
  <dcterms:modified xsi:type="dcterms:W3CDTF">2018-01-20T16:55:42Z</dcterms:modified>
</cp:coreProperties>
</file>