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The</w:t>
      </w:r>
      <w:r>
        <w:t xml:space="preserve"> </w:t>
      </w:r>
      <w:r>
        <w:t xml:space="preserve">Right</w:t>
      </w:r>
      <w:r>
        <w:t xml:space="preserve"> </w:t>
      </w:r>
      <w:r>
        <w:t xml:space="preserve">of</w:t>
      </w:r>
      <w:r>
        <w:t xml:space="preserve"> </w:t>
      </w:r>
      <w:r>
        <w:t xml:space="preserve">Publicity</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elebritypublicity-rights"/>
      <w:bookmarkEnd w:id="24"/>
      <w:r>
        <w:t xml:space="preserve">Celebrity/Publicity Rights</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 "Right Of Privacy" article</w:t>
        </w:r>
      </w:hyperlink>
      <w:r>
        <w:t xml:space="preserve">,</w:t>
      </w:r>
      <w:r>
        <w:t xml:space="preserve"> </w:t>
      </w:r>
      <w:r>
        <w:t xml:space="preserve">which spoke of compensating "injury to the feelings."</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 "never has had a policy of life insurance</w:t>
      </w:r>
      <w:r>
        <w:t xml:space="preserve"> </w:t>
      </w:r>
      <w:r>
        <w:t xml:space="preserve">with the defendant company,"</w:t>
      </w:r>
      <w:r>
        <w:t xml:space="preserve"> </w:t>
      </w:r>
      <w:r>
        <w:t xml:space="preserve">and that the publication</w:t>
      </w:r>
      <w:r>
        <w:t xml:space="preserve"> </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 "likeness" branch of the "right of privacy" was refined.</w:t>
      </w:r>
      <w:r>
        <w:t xml:space="preserve"> </w:t>
      </w:r>
      <w:r>
        <w:t xml:space="preserve">The notion of "hurt feelings"</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 "right of publicity" as akin to a property interest,</w:t>
      </w:r>
      <w:r>
        <w:t xml:space="preserve"> </w:t>
      </w:r>
      <w:r>
        <w:t xml:space="preserve">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 bars people</w:t>
      </w:r>
      <w:r>
        <w:t xml:space="preserve"> </w:t>
      </w:r>
      <w:r>
        <w:t xml:space="preserve">from "appropriating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 </w:t>
      </w:r>
      <w:r>
        <w:t xml:space="preserve">Similarly, statutes such as California Civil Code section 3344 bar</w:t>
      </w:r>
      <w:r>
        <w:t xml:space="preserve"> </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 "product"</w:t>
      </w:r>
      <w:r>
        <w:t xml:space="preserve"> </w:t>
      </w:r>
      <w:r>
        <w:t xml:space="preserve">and an item in "trade"</w:t>
      </w:r>
      <w:r>
        <w:t xml:space="preserve"> </w:t>
      </w:r>
      <w:r>
        <w:t xml:space="preserve">that benefits from the "commercial value of [its subject's] identity";</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("King Center")</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 "an exclusive memorial"</w:t>
      </w:r>
      <w:r>
        <w:t xml:space="preserve"> </w:t>
      </w:r>
      <w:r>
        <w:t xml:space="preserve">and "an opportunity to support the Martin Luther King, Jr., Center for Social Change."</w:t>
      </w:r>
      <w:r>
        <w:t xml:space="preserve"> </w:t>
      </w:r>
      <w:r>
        <w:t xml:space="preserve">The advertisement stated that</w:t>
      </w:r>
      <w:r>
        <w:t xml:space="preserve"> </w:t>
      </w:r>
      <w:r>
        <w:t xml:space="preserve">"a contribution from your order goes to the King Center for Social Change."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 "free"</w:t>
      </w:r>
      <w:r>
        <w:t xml:space="preserve"> </w:t>
      </w:r>
      <w:r>
        <w:t xml:space="preserve">with the purchase of the bust</w:t>
      </w:r>
      <w:r>
        <w:t xml:space="preserve"> </w:t>
      </w:r>
      <w:r>
        <w:t xml:space="preserve">a booklet about the life of Dr. King</w:t>
      </w:r>
      <w:r>
        <w:t xml:space="preserve"> </w:t>
      </w:r>
      <w:r>
        <w:t xml:space="preserve">entitled "A Tribute to Dr. Martin Luther King, Jr."</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5"/>
      </w:pPr>
      <w:bookmarkStart w:id="41" w:name="who-owns-martin-luther-kings-publicity-rights"/>
      <w:bookmarkEnd w:id="41"/>
      <w:r>
        <w:t xml:space="preserve">Who Owns Martin Luther King's Publicity Rights?</w:t>
      </w:r>
    </w:p>
    <w:p>
      <w:pPr>
        <w:pStyle w:val="FirstParagraph"/>
      </w:pPr>
      <w:r>
        <w:t xml:space="preserve">Pause here and consider who is likely to win this lawsuit?</w:t>
      </w:r>
      <w:r>
        <w:t xml:space="preserve"> </w:t>
      </w:r>
      <w:r>
        <w:t xml:space="preserve">Is it lawful for a sculptor to create and sell an image of Dr. King?</w:t>
      </w:r>
      <w:r>
        <w:t xml:space="preserve"> </w:t>
      </w:r>
      <w:r>
        <w:t xml:space="preserve">Would it be lawful for an author to write a book about Dr. King?</w:t>
      </w:r>
      <w:r>
        <w:t xml:space="preserve"> </w:t>
      </w:r>
      <w:r>
        <w:t xml:space="preserve">As you read excerpts from the case,</w:t>
      </w:r>
      <w:r>
        <w:t xml:space="preserve"> </w:t>
      </w:r>
      <w:r>
        <w:t xml:space="preserve">keep in mind that the right of PUBLICITY</w:t>
      </w:r>
      <w:r>
        <w:t xml:space="preserve"> </w:t>
      </w:r>
      <w:r>
        <w:t xml:space="preserve">is a subspecies of the right of PRIVACY.</w:t>
      </w:r>
      <w:r>
        <w:t xml:space="preserve"> </w:t>
      </w:r>
      <w:r>
        <w:t xml:space="preserve">It's the privacy right that is most like a property right,</w:t>
      </w:r>
      <w:r>
        <w:t xml:space="preserve"> </w:t>
      </w:r>
      <w:r>
        <w:t xml:space="preserve">like intellectual property.</w:t>
      </w:r>
    </w:p>
    <w:p>
      <w:pPr>
        <w:pStyle w:val="Heading4"/>
      </w:pPr>
      <w:bookmarkStart w:id="42" w:name="excerpts-from-the-case"/>
      <w:bookmarkEnd w:id="42"/>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w:t>
      </w:r>
      <w:r>
        <w:t xml:space="preserve"> </w:t>
      </w:r>
      <w:r>
        <w:t xml:space="preserve">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w:t>
      </w:r>
      <w:r>
        <w:t xml:space="preserve"> </w:t>
      </w:r>
      <w:r>
        <w:t xml:space="preserve">by any rule of law is</w:t>
      </w:r>
      <w:r>
        <w:t xml:space="preserve"> </w:t>
      </w:r>
      <w:r>
        <w:t xml:space="preserve">also embraced within the right of personal liberty.</w:t>
      </w:r>
      <w:r>
        <w:t xml:space="preserve"> </w:t>
      </w:r>
      <w:r>
        <w:t xml:space="preserve">Publicity in one instance</w:t>
      </w:r>
      <w:r>
        <w:t xml:space="preserve"> </w:t>
      </w:r>
      <w:r>
        <w:t xml:space="preserve">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w:t>
      </w:r>
    </w:p>
    <w:p>
      <w:pPr>
        <w:pStyle w:val="BlockText"/>
      </w:pPr>
      <w:hyperlink r:id="rId31">
        <w:r>
          <w:rPr>
            <w:i/>
            <w:rStyle w:val="Hyperlink"/>
          </w:rPr>
          <w:t xml:space="preserve">Pavesich</w:t>
        </w:r>
      </w:hyperlink>
      <w:r>
        <w:t xml:space="preserve">.</w:t>
      </w:r>
    </w:p>
    <w:p>
      <w:pPr>
        <w:pStyle w:val="FirstParagraph"/>
      </w:pPr>
      <w:r>
        <w:t xml:space="preserve">Recognizing the possibility of a conflict</w:t>
      </w:r>
      <w:r>
        <w:t xml:space="preserve"> </w:t>
      </w:r>
      <w:r>
        <w:t xml:space="preserve">between the right of privacy and the freedoms of speech and press,</w:t>
      </w:r>
      <w:r>
        <w:t xml:space="preserve"> </w:t>
      </w:r>
      <w:r>
        <w:t xml:space="preserve">this court said:</w:t>
      </w:r>
    </w:p>
    <w:p>
      <w:pPr>
        <w:pStyle w:val="BlockText"/>
      </w:pPr>
      <w:r>
        <w:t xml:space="preserve">There is in the publication of one's picture</w:t>
      </w:r>
      <w:r>
        <w:t xml:space="preserve"> </w:t>
      </w:r>
      <w:r>
        <w:t xml:space="preserve">for advertising purposes not the slightest semblance</w:t>
      </w:r>
      <w:r>
        <w:t xml:space="preserve"> </w:t>
      </w:r>
      <w:r>
        <w:t xml:space="preserve">of an expression of an idea, a thought, or an opinion,</w:t>
      </w:r>
      <w:r>
        <w:t xml:space="preserve"> </w:t>
      </w:r>
      <w:r>
        <w:t xml:space="preserve">within the meaning of the constitutional provision</w:t>
      </w:r>
      <w:r>
        <w:t xml:space="preserve"> </w:t>
      </w:r>
      <w:r>
        <w:t xml:space="preserve">which guarantees to a person</w:t>
      </w:r>
      <w:r>
        <w:t xml:space="preserve"> </w:t>
      </w:r>
      <w:r>
        <w:t xml:space="preserve">the right to publish his sentiments on any subject.</w:t>
      </w:r>
      <w:r>
        <w:t xml:space="preserve"> </w:t>
      </w:r>
      <w:hyperlink r:id="rId31">
        <w:r>
          <w:rPr>
            <w:i/>
            <w:rStyle w:val="Hyperlink"/>
          </w:rPr>
          <w:t xml:space="preserve">Id.</w:t>
        </w:r>
      </w:hyperlink>
      <w:r>
        <w:t xml:space="preserve">.</w:t>
      </w:r>
    </w:p>
    <w:p>
      <w:pPr>
        <w:pStyle w:val="FirstParagraph"/>
      </w:pPr>
      <w:r>
        <w:t xml:space="preserve">The defendants in the case now before us make no claim under these freedoms and we find no violation thereof.</w:t>
      </w:r>
    </w:p>
    <w:p>
      <w:pPr>
        <w:pStyle w:val="BodyText"/>
      </w:pPr>
      <w:r>
        <w:t xml:space="preserve">Observing … that the right of privacy in general</w:t>
      </w:r>
      <w:r>
        <w:t xml:space="preserve"> </w:t>
      </w:r>
      <w:r>
        <w:t xml:space="preserve">does not survive the death of the person whose privacy is invaded,</w:t>
      </w:r>
      <w:r>
        <w:t xml:space="preserve"> </w:t>
      </w:r>
      <w:r>
        <w:t xml:space="preserve">the</w:t>
      </w:r>
      <w:r>
        <w:t xml:space="preserve"> </w:t>
      </w:r>
      <w:r>
        <w:rPr>
          <w:i/>
        </w:rPr>
        <w:t xml:space="preserve">Pavesich</w:t>
      </w:r>
      <w:r>
        <w:t xml:space="preserve"> </w:t>
      </w:r>
      <w:r>
        <w:t xml:space="preserve">court said:</w:t>
      </w:r>
    </w:p>
    <w:p>
      <w:pPr>
        <w:pStyle w:val="BlockText"/>
      </w:pPr>
      <w:r>
        <w:t xml:space="preserve">While the right of privacy is personal,</w:t>
      </w:r>
      <w:r>
        <w:t xml:space="preserve"> </w:t>
      </w:r>
      <w:r>
        <w:t xml:space="preserve">and may die with the person,</w:t>
      </w:r>
      <w:r>
        <w:t xml:space="preserve"> </w:t>
      </w:r>
      <w:r>
        <w:t xml:space="preserve">we do not desire to be understood as assenting to the proposition</w:t>
      </w:r>
      <w:r>
        <w:t xml:space="preserve"> </w:t>
      </w:r>
      <w:r>
        <w:t xml:space="preserve">that the relatives of the deceased cannot, in a proper case,</w:t>
      </w:r>
      <w:r>
        <w:t xml:space="preserve"> </w:t>
      </w:r>
      <w:r>
        <w:t xml:space="preserve">protect the memory of their kinsman,</w:t>
      </w:r>
      <w:r>
        <w:t xml:space="preserve"> </w:t>
      </w:r>
      <w:r>
        <w:t xml:space="preserve">not only from defamation,</w:t>
      </w:r>
      <w:r>
        <w:t xml:space="preserve"> </w:t>
      </w:r>
      <w:r>
        <w:t xml:space="preserve">but also from an invasion into the affairs of his private life after his death.</w:t>
      </w:r>
      <w:r>
        <w:t xml:space="preserve"> </w:t>
      </w:r>
      <w:r>
        <w:t xml:space="preserve">This question is not now involved,</w:t>
      </w:r>
      <w:r>
        <w:t xml:space="preserve"> </w:t>
      </w:r>
      <w:r>
        <w:t xml:space="preserve">but we do not wish anything</w:t>
      </w:r>
      <w:r>
        <w:t xml:space="preserve"> </w:t>
      </w:r>
      <w:r>
        <w:t xml:space="preserve">said to be understood as committing us in any way</w:t>
      </w:r>
      <w:r>
        <w:t xml:space="preserve"> </w:t>
      </w:r>
      <w:r>
        <w:t xml:space="preserve">to the doctrine that against the consent of relatives</w:t>
      </w:r>
      <w:r>
        <w:t xml:space="preserve"> </w:t>
      </w:r>
      <w:r>
        <w:t xml:space="preserve">the private affairs of a deceased person may be published</w:t>
      </w:r>
      <w:r>
        <w:t xml:space="preserve"> </w:t>
      </w:r>
      <w:r>
        <w:t xml:space="preserve">and his picture or statue exhibited.</w:t>
      </w:r>
      <w:r>
        <w:t xml:space="preserve"> </w:t>
      </w:r>
      <w:hyperlink r:id="rId31">
        <w:r>
          <w:rPr>
            <w:i/>
            <w:rStyle w:val="Hyperlink"/>
          </w:rPr>
          <w:t xml:space="preserve">Id.</w:t>
        </w:r>
      </w:hyperlink>
    </w:p>
    <w:p>
      <w:pPr>
        <w:pStyle w:val="FirstParagraph"/>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4">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4">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5">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4">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6">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6">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6">
        <w:r>
          <w:rPr>
            <w:i/>
            <w:rStyle w:val="Hyperlink"/>
          </w:rPr>
          <w:t xml:space="preserve">Id.</w:t>
        </w:r>
      </w:hyperlink>
      <w:r>
        <w:t xml:space="preserve">):</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 "The interest protected (in the</w:t>
      </w:r>
      <w:r>
        <w:t xml:space="preserve"> </w:t>
      </w:r>
      <w:r>
        <w:t xml:space="preserve">'appropriation' cases) is not so much a mental as a proprietary one, in</w:t>
      </w:r>
      <w:r>
        <w:t xml:space="preserve"> </w:t>
      </w:r>
      <w:r>
        <w:t xml:space="preserve">the exclusive use of the plaintiff's name and likeness as an aspect of</w:t>
      </w:r>
      <w:r>
        <w:t xml:space="preserve"> </w:t>
      </w:r>
      <w:r>
        <w:t xml:space="preserve">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6">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7">
        <w:r>
          <w:rPr>
            <w:i/>
            <w:rStyle w:val="Hyperlink"/>
          </w:rPr>
          <w:t xml:space="preserve">McQueen v. Wilson,</w:t>
        </w:r>
      </w:hyperlink>
      <w:r>
        <w:t xml:space="preserve"> </w:t>
      </w:r>
      <w:r>
        <w:t xml:space="preserve">reversed on other grounds,</w:t>
      </w:r>
      <w:r>
        <w:t xml:space="preserve"> </w:t>
      </w:r>
      <w:hyperlink r:id="rId48">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7">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6">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9" w:name="does-the-right-of-publicity-survive-the-death-of-its-owner-i.e.-is-the-right-inheritable-and-devisable"/>
      <w:bookmarkEnd w:id="49"/>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5">
        <w:r>
          <w:rPr>
            <w:i/>
            <w:rStyle w:val="Hyperlink"/>
          </w:rPr>
          <w:t xml:space="preserve">Haelan Laboratories v. Topps Chewing Gum</w:t>
        </w:r>
        <w:r>
          <w:rPr>
            <w:rStyle w:val="Hyperlink"/>
          </w:rPr>
          <w:t xml:space="preserve">, supra</w:t>
        </w:r>
      </w:hyperlink>
      <w:r>
        <w:t xml:space="preserve">. That is, without assignability the right of publicity could hardly be called a "right." Recognizing its assignability, most commentators have</w:t>
      </w:r>
      <w:r>
        <w:t xml:space="preserve"> </w:t>
      </w:r>
      <w:r>
        <w:t xml:space="preserve">urged that the right of publicity must also be inheritable.…</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For the reasons which follow we hold that the right of publicity survives the death of its owner and is inheritable and devisable.</w:t>
      </w:r>
    </w:p>
    <w:p>
      <w:pPr>
        <w:pStyle w:val="Heading4"/>
      </w:pPr>
      <w:bookmarkStart w:id="51" w:name="weltner-justice-concurring-specially."/>
      <w:bookmarkEnd w:id="51"/>
      <w:r>
        <w:t xml:space="preserve">WELTNER, Justice, concurring specially.</w:t>
      </w:r>
    </w:p>
    <w:p>
      <w:pPr>
        <w:pStyle w:val="FirstParagraph"/>
      </w:pPr>
      <w:r>
        <w:t xml:space="preserve">In this opinion, we have taken the "right of privacy" as enumerated in</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2" w:name="zacchini-v.-scripps-howard-broadcasting-co."/>
      <w:bookmarkEnd w:id="52"/>
      <w:r>
        <w:rPr>
          <w:i/>
        </w:rPr>
        <w:t xml:space="preserve">Zacchini v. Scripps-Howard Broadcasting Co.</w:t>
      </w:r>
    </w:p>
    <w:p>
      <w:pPr>
        <w:pStyle w:val="Heading6"/>
      </w:pPr>
      <w:bookmarkStart w:id="53" w:name="united-states-supreme-court-1977"/>
      <w:bookmarkEnd w:id="53"/>
      <w:r>
        <w:t xml:space="preserve">United States Supreme Court (1977)</w:t>
      </w:r>
    </w:p>
    <w:p>
      <w:pPr>
        <w:pStyle w:val="Compact"/>
        <w:numPr>
          <w:numId w:val="1004"/>
          <w:ilvl w:val="0"/>
        </w:numPr>
      </w:pPr>
      <w:hyperlink r:id="rId54">
        <w:r>
          <w:rPr>
            <w:rStyle w:val="Hyperlink"/>
          </w:rPr>
          <w:t xml:space="preserve">Zacchini on Google Scholar</w:t>
        </w:r>
      </w:hyperlink>
    </w:p>
    <w:p>
      <w:pPr>
        <w:pStyle w:val="Compact"/>
        <w:numPr>
          <w:numId w:val="1004"/>
          <w:ilvl w:val="0"/>
        </w:numPr>
      </w:pPr>
      <w:hyperlink r:id="rId55">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6" w:name="i"/>
      <w:bookmarkEnd w:id="56"/>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59" w:name="ii"/>
      <w:bookmarkEnd w:id="59"/>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 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0">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2">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3">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 'Science and</w:t>
      </w:r>
      <w:r>
        <w:t xml:space="preserve"> </w:t>
      </w:r>
      <w:r>
        <w:t xml:space="preserve">useful Arts.' Sacrificial days devoted to such creative activities</w:t>
      </w:r>
      <w:r>
        <w:t xml:space="preserve"> </w:t>
      </w:r>
      <w:r>
        <w:t xml:space="preserve">deserve rewards commensurate with the services rendered."</w:t>
      </w:r>
      <w:r>
        <w:t xml:space="preserve"> </w:t>
      </w:r>
      <w:r>
        <w:t xml:space="preserve">These laws perhaps regard the "reward to the owner [as] a secondary</w:t>
      </w:r>
      <w:r>
        <w:t xml:space="preserve"> </w:t>
      </w:r>
      <w:r>
        <w:t xml:space="preserve">consideration,"</w:t>
      </w:r>
      <w:r>
        <w:t xml:space="preserve"> </w:t>
      </w:r>
      <w:hyperlink r:id="rId64">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 "intended definitely to grant valuable, enforceable</w:t>
      </w:r>
      <w:r>
        <w:t xml:space="preserve"> </w:t>
      </w:r>
      <w:r>
        <w:t xml:space="preserve">rights" in order to afford greater encouragement to the production of</w:t>
      </w:r>
      <w:r>
        <w:t xml:space="preserve"> </w:t>
      </w:r>
      <w:r>
        <w:t xml:space="preserve">works of benefit to the public.</w:t>
      </w:r>
      <w:r>
        <w:t xml:space="preserve"> </w:t>
      </w:r>
      <w:hyperlink r:id="rId65">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6" w:name="notes-on-zacchini"/>
      <w:bookmarkEnd w:id="66"/>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7" w:name="carson-v.-heres-johnny-portable-toilets-inc."/>
      <w:bookmarkEnd w:id="67"/>
      <w:r>
        <w:rPr>
          <w:i/>
        </w:rPr>
        <w:t xml:space="preserve">Carson v. Here's Johnny Portable Toilets, Inc.</w:t>
      </w:r>
    </w:p>
    <w:p>
      <w:pPr>
        <w:pStyle w:val="Heading6"/>
      </w:pPr>
      <w:bookmarkStart w:id="68" w:name="court-of-appeals-6th-circuit-1983"/>
      <w:bookmarkEnd w:id="68"/>
      <w:r>
        <w:t xml:space="preserve">Court of Appeals, 6th Circuit (1983)</w:t>
      </w:r>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1" w:name="right-of-publicity"/>
      <w:bookmarkEnd w:id="71"/>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2">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3">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 "right of publicity."</w:t>
      </w:r>
      <w:r>
        <w:t xml:space="preserve"> </w:t>
      </w:r>
      <w:hyperlink r:id="rId54">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 "right of publicity."</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 "to be let alone,"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4">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toilet company's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 "The famous have an exclusive legal right during life to control and profit from the commercial use of their name and personality."</w:t>
      </w:r>
    </w:p>
    <w:p>
      <w:pPr>
        <w:pStyle w:val="BodyText"/>
      </w:pPr>
      <w:r>
        <w:t xml:space="preserve">The district court dismissed Carson's claim based on the right of publicity because the toilet company does not use Carson's name or likeness. … It held that it "would not be prudent to allow recovery for a right of publicity claim which does not more specifically identify Johnny Carson." …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The district court dismissed appellants' claim based on the right of publicity because appellee does not use Carson's name or likeness.</w:t>
      </w:r>
      <w:r>
        <w:t xml:space="preserve"> </w:t>
      </w:r>
      <w:hyperlink r:id="rId74">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74">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75">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 "likeness" 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6">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77">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 "that a stage or other</w:t>
      </w:r>
      <w:r>
        <w:t xml:space="preserve"> </w:t>
      </w:r>
      <w:r>
        <w:t xml:space="preserve">fictitious name can be so identified with the plaintiff that he is</w:t>
      </w:r>
      <w:r>
        <w:t xml:space="preserve"> </w:t>
      </w:r>
      <w:r>
        <w:t xml:space="preserve">entitled to protection against its use."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 "Mark Twain." 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77">
        <w:r>
          <w:rPr>
            <w:rStyle w:val="Hyperlink"/>
          </w:rPr>
          <w:t xml:space="preserve">280 N.W.2d at 137</w:t>
        </w:r>
      </w:hyperlink>
      <w:r>
        <w:t xml:space="preserve">.</w:t>
      </w:r>
    </w:p>
    <w:p>
      <w:pPr>
        <w:pStyle w:val="BodyText"/>
      </w:pPr>
      <w:r>
        <w:t xml:space="preserve">In this case, Earl Braxton,</w:t>
      </w:r>
      <w:r>
        <w:t xml:space="preserve"> </w:t>
      </w:r>
      <w:r>
        <w:t xml:space="preserve">president and owner of Here's Johnny Portable Toilets, Inc.,</w:t>
      </w:r>
      <w:r>
        <w:t xml:space="preserve"> </w:t>
      </w:r>
      <w:r>
        <w:t xml:space="preserve">admitted that he knew that the phrase</w:t>
      </w:r>
      <w:r>
        <w:t xml:space="preserve"> </w:t>
      </w:r>
      <w:r>
        <w:t xml:space="preserve">"Here's Johnny" had been used for years to introduce Carson.</w:t>
      </w:r>
      <w:r>
        <w:t xml:space="preserve"> </w:t>
      </w:r>
      <w:r>
        <w:t xml:space="preserve">Moreover, in the opening statement in the district court,</w:t>
      </w:r>
      <w:r>
        <w:t xml:space="preserve"> </w:t>
      </w:r>
      <w:r>
        <w:t xml:space="preserve">the toilet company's counsel stated:</w:t>
      </w:r>
    </w:p>
    <w:p>
      <w:pPr>
        <w:pStyle w:val="BlockText"/>
      </w:pPr>
      <w:r>
        <w:t xml:space="preserve">Now, we've stipulated in this case that the public tends to associate</w:t>
      </w:r>
      <w:r>
        <w:t xml:space="preserve"> </w:t>
      </w:r>
      <w:r>
        <w:t xml:space="preserve">the words "Johnny Carson", the words "Here's Johnny" 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 "Here's Johnny" name was selected by Braxton</w:t>
      </w:r>
      <w:r>
        <w:t xml:space="preserve"> </w:t>
      </w:r>
      <w:r>
        <w:t xml:space="preserve">because of its identification with Carson</w:t>
      </w:r>
      <w:r>
        <w:t xml:space="preserve"> </w:t>
      </w:r>
      <w:r>
        <w:t xml:space="preserve">was the clear inference from Braxton's testimony.…</w:t>
      </w:r>
      <w:r>
        <w:t xml:space="preserve"> </w:t>
      </w:r>
      <w:r>
        <w:t xml:space="preserve">The proof showed without question</w:t>
      </w:r>
      <w:r>
        <w:t xml:space="preserve"> </w:t>
      </w:r>
      <w:r>
        <w:t xml:space="preserve">that the toilet company had appropriated Carson's identity</w:t>
      </w:r>
      <w:r>
        <w:t xml:space="preserve"> </w:t>
      </w:r>
      <w:r>
        <w:t xml:space="preserve">in connection with its corporate name and its product.…</w:t>
      </w:r>
    </w:p>
    <w:p>
      <w:pPr>
        <w:pStyle w:val="BodyText"/>
      </w:pPr>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 "Here's Johnny" 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 "Here's Johnny."</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78" w:name="policies-behind-right-of-publicity"/>
      <w:bookmarkEnd w:id="78"/>
      <w:r>
        <w:t xml:space="preserve">Policies Behind Right of Publicity</w:t>
      </w:r>
    </w:p>
    <w:p>
      <w:pPr>
        <w:pStyle w:val="FirstParagraph"/>
      </w:pPr>
      <w:r>
        <w:t xml:space="preserve">The three primary policy considerations behind the right of publicity are succinctly stated in</w:t>
      </w:r>
      <w:r>
        <w:t xml:space="preserve"> </w:t>
      </w:r>
      <w:hyperlink r:id="rId79">
        <w:r>
          <w:rPr>
            <w:rStyle w:val="Hyperlink"/>
          </w:rPr>
          <w:t xml:space="preserve">Hoffman,</w:t>
        </w:r>
        <w:r>
          <w:rPr>
            <w:rStyle w:val="Hyperlink"/>
          </w:rPr>
          <w:t xml:space="preserve"> </w:t>
        </w:r>
        <w:r>
          <w:rPr>
            <w:i/>
            <w:rStyle w:val="Hyper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4">
        <w:r>
          <w:rPr>
            <w:i/>
            <w:rStyle w:val="Hyper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4">
        <w:r>
          <w:rPr>
            <w:i/>
            <w:rStyle w:val="Hyperlink"/>
          </w:rPr>
          <w:t xml:space="preserve">Zacchini</w:t>
        </w:r>
        <w:r>
          <w:rPr>
            <w:rStyle w:val="Hyperlink"/>
          </w:rPr>
          <w:t xml:space="preserve">.</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0" w:name="countervailing-interests-and-considerations"/>
      <w:bookmarkEnd w:id="80"/>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1" w:name="federal-policy-monopolies"/>
      <w:bookmarkEnd w:id="81"/>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2">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83">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4" w:name="free-expression-and-use-of-intellectual-property"/>
      <w:bookmarkEnd w:id="84"/>
      <w:r>
        <w:t xml:space="preserve">Free Expression and Use of Intellectual Property</w:t>
      </w:r>
    </w:p>
    <w:p>
      <w:pPr>
        <w:pStyle w:val="FirstParagraph"/>
      </w:pPr>
      <w:r>
        <w:t xml:space="preserve">The first amendment protects the freedom of speech, including commercial speech.</w:t>
      </w:r>
      <w:r>
        <w:t xml:space="preserve"> </w:t>
      </w:r>
      <w:hyperlink r:id="rId85">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4">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6" w:name="white-v.-samsung-electronics-america-inc."/>
      <w:bookmarkEnd w:id="86"/>
      <w:r>
        <w:rPr>
          <w:i/>
        </w:rPr>
        <w:t xml:space="preserve">White v. Samsung Electronics America, Inc.</w:t>
      </w:r>
    </w:p>
    <w:p>
      <w:pPr>
        <w:pStyle w:val="Heading6"/>
      </w:pPr>
      <w:bookmarkStart w:id="87" w:name="us-court-of-appeals-9th-circuit-1992"/>
      <w:bookmarkEnd w:id="87"/>
      <w:r>
        <w:t xml:space="preserve">US Court of Appeals, 9th Circuit (1992)</w:t>
      </w:r>
    </w:p>
    <w:p>
      <w:pPr>
        <w:pStyle w:val="Compact"/>
        <w:numPr>
          <w:numId w:val="1007"/>
          <w:ilvl w:val="0"/>
        </w:numPr>
      </w:pPr>
      <w:hyperlink r:id="rId88">
        <w:r>
          <w:rPr>
            <w:rStyle w:val="Hyperlink"/>
          </w:rPr>
          <w:t xml:space="preserve">case on Google Scholar</w:t>
        </w:r>
      </w:hyperlink>
    </w:p>
    <w:p>
      <w:pPr>
        <w:pStyle w:val="Compact"/>
        <w:numPr>
          <w:numId w:val="1007"/>
          <w:ilvl w:val="0"/>
        </w:numPr>
      </w:pPr>
      <w:hyperlink r:id="rId89">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 "Wheel of Fortune,"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"Revealed to be health food. 2010 A.D."</w:t>
      </w:r>
      <w:r>
        <w:t xml:space="preserve"> </w:t>
      </w:r>
      <w:r>
        <w:t xml:space="preserve">Another depicted irreverent "news"-show host Morton Downey Jr.</w:t>
      </w:r>
      <w:r>
        <w:t xml:space="preserve"> </w:t>
      </w:r>
      <w:r>
        <w:t xml:space="preserve">in front of an American flag with the caption:</w:t>
      </w:r>
      <w:r>
        <w:t xml:space="preserve"> </w:t>
      </w:r>
      <w:r>
        <w:t xml:space="preserve">"Presidential candidate. 2008 A.D."</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"Longest-running game show. 2012 A.D."</w:t>
      </w:r>
      <w:r>
        <w:t xml:space="preserve"> </w:t>
      </w:r>
      <w:r>
        <w:t xml:space="preserve">Defendants referred to the ad as the "Vanna White" 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pPr>
        <w:pStyle w:val="FirstParagraph"/>
      </w:pPr>
      <w:r>
        <w:t xml:space="preserve">The district court granted summary judgment against White on each of her claims. White now appeals.</w:t>
      </w:r>
    </w:p>
    <w:p>
      <w:pPr>
        <w:pStyle w:val="Heading4"/>
      </w:pPr>
      <w:bookmarkStart w:id="90" w:name="i.-section-3344"/>
      <w:bookmarkEnd w:id="90"/>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 "[a]ny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p>
    <w:p>
      <w:pPr>
        <w:pStyle w:val="BodyText"/>
      </w:pPr>
      <w:r>
        <w:t xml:space="preserve">White argues that the Samsung advertisement used her</w:t>
      </w:r>
      <w:r>
        <w:t xml:space="preserve"> </w:t>
      </w:r>
      <w:r>
        <w:t xml:space="preserve">"likeness" in contravention of section 3344.…</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 "likeness,"</w:t>
      </w:r>
      <w:r>
        <w:t xml:space="preserve"> </w:t>
      </w:r>
      <w:r>
        <w:t xml:space="preserve">we agree with the district court</w:t>
      </w:r>
      <w:r>
        <w:t xml:space="preserve"> </w:t>
      </w:r>
      <w:r>
        <w:t xml:space="preserve">that the robot at issue here was not White's "likeness"</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1" w:name="ii.-right-of-publicity"/>
      <w:bookmarkEnd w:id="91"/>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pPr>
        <w:pStyle w:val="FirstParagraph"/>
      </w:pPr>
      <w:r>
        <w:t xml:space="preserve">The district court dismissed White's claim</w:t>
      </w:r>
      <w:r>
        <w:t xml:space="preserve"> </w:t>
      </w:r>
      <w:r>
        <w:t xml:space="preserve">for failure to satisfy the second prong,</w:t>
      </w:r>
      <w:r>
        <w:t xml:space="preserve"> </w:t>
      </w:r>
      <w:r>
        <w:t xml:space="preserve">reasoning that defendants had not appropriated White's "name or likeness"</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Even though Prosser focused on appropriations of name or likeness in discussing the right of publicity, he noted that "</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5">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69">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 "name or likeness" is used.</w:t>
      </w:r>
    </w:p>
    <w:p>
      <w:pPr>
        <w:pStyle w:val="FirstParagraph"/>
      </w:pPr>
      <w:hyperlink r:id="rId69">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[Court's discussion of Lanham Act claim omitted]</w:t>
      </w:r>
    </w:p>
    <w:p>
      <w:pPr>
        <w:pStyle w:val="Heading4"/>
      </w:pPr>
      <w:bookmarkStart w:id="92" w:name="iv.-the-parody-defense"/>
      <w:bookmarkEnd w:id="92"/>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3">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4">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"buy Samsung VCRs."</w:t>
      </w:r>
      <w:r>
        <w:t xml:space="preserve"> </w:t>
      </w:r>
      <w:r>
        <w:t xml:space="preserve">Defendants' parody arguments are better addressed to non-commercial parodies.</w:t>
      </w:r>
      <w:r>
        <w:t xml:space="preserve"> </w:t>
      </w:r>
      <w:r>
        <w:t xml:space="preserve">The difference between a "parody" and a "knock-off"</w:t>
      </w:r>
      <w:r>
        <w:t xml:space="preserve"> </w:t>
      </w:r>
      <w:r>
        <w:t xml:space="preserve">is the difference between fun and profit.</w:t>
      </w:r>
    </w:p>
    <w:p>
      <w:pPr>
        <w:pStyle w:val="Heading4"/>
      </w:pPr>
      <w:bookmarkStart w:id="95" w:name="v.-conclusion"/>
      <w:bookmarkEnd w:id="95"/>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96" w:name="dissent"/>
      <w:bookmarkEnd w:id="96"/>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97" w:name="white-v.-samsung-electronics-inc."/>
      <w:bookmarkEnd w:id="97"/>
      <w:r>
        <w:rPr>
          <w:i/>
        </w:rPr>
        <w:t xml:space="preserve">White v. Samsung Electronics, Inc.</w:t>
      </w:r>
    </w:p>
    <w:p>
      <w:pPr>
        <w:pStyle w:val="Heading6"/>
      </w:pPr>
      <w:bookmarkStart w:id="98" w:name="us-court-of-appeals-9th-circuit-1993"/>
      <w:bookmarkEnd w:id="98"/>
      <w:r>
        <w:t xml:space="preserve">US Court of Appeals, 9th Circuit (1993)</w:t>
      </w:r>
    </w:p>
    <w:p>
      <w:pPr>
        <w:pStyle w:val="Compact"/>
        <w:numPr>
          <w:numId w:val="1010"/>
          <w:ilvl w:val="0"/>
        </w:numPr>
      </w:pPr>
      <w:hyperlink r:id="rId88">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 "clever advertising strategist" could avoid using White's name or likeness</w:t>
      </w:r>
      <w:r>
        <w:t xml:space="preserve"> </w:t>
      </w:r>
      <w:r>
        <w:t xml:space="preserve">but nevertheless remind people of her with impunity,</w:t>
      </w:r>
      <w:r>
        <w:t xml:space="preserve"> </w:t>
      </w:r>
      <w:r>
        <w:t xml:space="preserve">"effectively eviscerating" her rights.</w:t>
      </w:r>
      <w:r>
        <w:t xml:space="preserve"> </w:t>
      </w:r>
      <w:r>
        <w:t xml:space="preserve">To prevent this "evisceration,"</w:t>
      </w:r>
      <w:r>
        <w:t xml:space="preserve"> </w:t>
      </w:r>
      <w:r>
        <w:t xml:space="preserve">the panel majority holds that the right of publicity</w:t>
      </w:r>
      <w:r>
        <w:t xml:space="preserve"> </w:t>
      </w:r>
      <w:r>
        <w:t xml:space="preserve">must extend beyond name and likeness,</w:t>
      </w:r>
      <w:r>
        <w:t xml:space="preserve"> </w:t>
      </w:r>
      <w:r>
        <w:t xml:space="preserve">to any "appropriation" of White's "identity"---anything</w:t>
      </w:r>
      <w:r>
        <w:t xml:space="preserve"> </w:t>
      </w:r>
      <w:r>
        <w:t xml:space="preserve">that "evokes" her personality.</w:t>
      </w:r>
      <w:r>
        <w:t xml:space="preserve"> </w:t>
      </w:r>
      <w:r>
        <w:rPr>
          <w:i/>
        </w:rPr>
        <w:t xml:space="preserve">Id.</w:t>
      </w:r>
    </w:p>
    <w:p>
      <w:pPr>
        <w:pStyle w:val="BodyText"/>
      </w:pPr>
      <w:r>
        <w:t xml:space="preserve">But what does "evisceration" 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 "eviscerated" 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 "evisceration" 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 "evoke [her identity]."</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 "Wheel of Fortune" 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 "Wheel of Fortune" 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99">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0">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1">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2" w:name="criminal-celebrities"/>
      <w:bookmarkEnd w:id="102"/>
      <w:r>
        <w:t xml:space="preserve">Criminal Celebrities</w:t>
      </w:r>
    </w:p>
    <w:p>
      <w:pPr>
        <w:pStyle w:val="Heading3"/>
      </w:pPr>
      <w:bookmarkStart w:id="103" w:name="simon-schuster-inc.-v.-members-of-ny-state-crime-victims-bd."/>
      <w:bookmarkEnd w:id="103"/>
      <w:r>
        <w:rPr>
          <w:i/>
        </w:rPr>
        <w:t xml:space="preserve">Simon &amp; Schuster, Inc. v. Members of NY State Crime Victims Bd.</w:t>
      </w:r>
    </w:p>
    <w:p>
      <w:pPr>
        <w:pStyle w:val="Heading5"/>
      </w:pPr>
      <w:bookmarkStart w:id="104" w:name="united-states-supreme-court-1991"/>
      <w:bookmarkEnd w:id="104"/>
      <w:r>
        <w:t xml:space="preserve">United States Supreme Court (1991)</w:t>
      </w:r>
    </w:p>
    <w:p>
      <w:pPr>
        <w:pStyle w:val="Compact"/>
        <w:numPr>
          <w:numId w:val="1011"/>
          <w:ilvl w:val="0"/>
        </w:numPr>
      </w:pPr>
      <w:hyperlink r:id="rId105">
        <w:r>
          <w:rPr>
            <w:rStyle w:val="Hyperlink"/>
          </w:rPr>
          <w:t xml:space="preserve">Case on Google Scholar</w:t>
        </w:r>
      </w:hyperlink>
    </w:p>
    <w:p>
      <w:pPr>
        <w:pStyle w:val="Compact"/>
        <w:numPr>
          <w:numId w:val="1011"/>
          <w:ilvl w:val="0"/>
        </w:numPr>
      </w:pPr>
      <w:hyperlink r:id="rId106">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07" w:name="i.a."/>
      <w:bookmarkEnd w:id="107"/>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w:t>
      </w:r>
      <w:r>
        <w:t xml:space="preserve"> </w:t>
      </w:r>
      <w:r>
        <w:t xml:space="preserve">representatives." 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08" w:name="i.b."/>
      <w:bookmarkEnd w:id="108"/>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09" w:name="i.c."/>
      <w:bookmarkEnd w:id="109"/>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0" w:name="ii.a."/>
      <w:bookmarkEnd w:id="110"/>
      <w:r>
        <w:t xml:space="preserve">II.A.</w:t>
      </w:r>
    </w:p>
    <w:p>
      <w:pPr>
        <w:pStyle w:val="FirstParagraph"/>
      </w:pPr>
      <w:r>
        <w:t xml:space="preserve">A statute is presumptively inconsistent with the First Amendment if it imposes a financial burden on speakers because of the content of their speech.…</w:t>
      </w:r>
    </w:p>
    <w:p>
      <w:pPr>
        <w:pStyle w:val="BodyText"/>
      </w:pPr>
      <w:r>
        <w:t xml:space="preserve">This is a notion so engrained in our First Amendment jurisprudence that last Term we found it so "obvious" as to not require explanation. … It is but one manifestation of a far broader principle: "Regulations which permit the Government to discriminate on the basis of the content of the message cannot be tolerated under the First Amendment." …</w:t>
      </w:r>
    </w:p>
    <w:p>
      <w:pPr>
        <w:pStyle w:val="BodyText"/>
      </w:pPr>
      <w:r>
        <w:t xml:space="preserve">In the context of financial regulation, it bears repeating … that the government's ability to impose content-based burdens on speech raises the specter that the government may effectively drive certain ideas or viewpoints from the marketplace.… The First Amendment presumptively places this sort of discrimination beyond the power of the government. …</w:t>
      </w:r>
    </w:p>
    <w:p>
      <w:pPr>
        <w:pStyle w:val="BlockText"/>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p>
    <w:p>
      <w:pPr>
        <w:pStyle w:val="FirstParagraph"/>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w:t>
      </w:r>
      <w:r>
        <w:t xml:space="preserve"> </w:t>
      </w:r>
      <w:r>
        <w:t xml:space="preserve">achieve that end."</w:t>
      </w:r>
    </w:p>
    <w:p>
      <w:pPr>
        <w:pStyle w:val="Heading3"/>
      </w:pPr>
      <w:bookmarkStart w:id="111" w:name="ii.b."/>
      <w:bookmarkEnd w:id="111"/>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pPr>
        <w:pStyle w:val="BodyText"/>
      </w:pPr>
      <w:r>
        <w:t xml:space="preserve">"'If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 "fundamental equitable principle,"… that "[n]o one shall be permitted to profit by his own fraud, or to take advantage of his own wrong, or to found any claim upon his own iniquity, or to acquire property by his own crime." …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12" w:name="ii.c."/>
      <w:bookmarkEnd w:id="112"/>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13" w:name="iii"/>
      <w:bookmarkEnd w:id="113"/>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14" w:name="son-of-sam-laws"/>
      <w:bookmarkEnd w:id="114"/>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 "murderabilia". The constitutionality of many of these new laws is mostly untested at this point.</w:t>
      </w:r>
    </w:p>
    <w:p>
      <w:pPr>
        <w:pStyle w:val="BlockText"/>
      </w:pPr>
      <w:hyperlink r:id="rId115">
        <w:r>
          <w:rPr>
            <w:rStyle w:val="Hyperlink"/>
          </w:rPr>
          <w:t xml:space="preserve">Wikipedia: Son of Sam Law</w:t>
        </w:r>
      </w:hyperlink>
      <w:r>
        <w:t xml:space="preserve">.</w:t>
      </w:r>
    </w:p>
    <w:p>
      <w:pPr>
        <w:pStyle w:val="Heading2"/>
      </w:pPr>
      <w:bookmarkStart w:id="116" w:name="transformation"/>
      <w:bookmarkEnd w:id="116"/>
      <w:r>
        <w:t xml:space="preserve">Transformation</w:t>
      </w:r>
    </w:p>
    <w:p>
      <w:pPr>
        <w:pStyle w:val="Heading3"/>
      </w:pPr>
      <w:bookmarkStart w:id="117" w:name="comedy-iii-productions-v.-gary-saderup-inc."/>
      <w:bookmarkEnd w:id="117"/>
      <w:r>
        <w:rPr>
          <w:i/>
        </w:rPr>
        <w:t xml:space="preserve">Comedy III Productions v. Gary Saderup, Inc.</w:t>
      </w:r>
    </w:p>
    <w:p>
      <w:pPr>
        <w:pStyle w:val="Heading6"/>
      </w:pPr>
      <w:bookmarkStart w:id="118" w:name="california-supreme-court-2001"/>
      <w:bookmarkEnd w:id="118"/>
      <w:r>
        <w:t xml:space="preserve">California Supreme Court (2001)</w:t>
      </w:r>
    </w:p>
    <w:p>
      <w:pPr>
        <w:pStyle w:val="FirstParagraph"/>
      </w:pPr>
      <w:r>
        <w:t xml:space="preserve">Now that we have discussed the right of publicity, take a look at</w:t>
      </w:r>
      <w:r>
        <w:t xml:space="preserve"> </w:t>
      </w:r>
      <w:hyperlink r:id="rId119">
        <w:r>
          <w:rPr>
            <w:rStyle w:val="Hyperlink"/>
          </w:rPr>
          <w:t xml:space="preserve">this image of the famous Three Stooges</w:t>
        </w:r>
      </w:hyperlink>
      <w:r>
        <w:t xml:space="preserve">. What do you suppose would happen if an artist made this sketch, put it on T-shirts and sold them?</w:t>
      </w:r>
    </w:p>
    <w:p>
      <w:pPr>
        <w:pStyle w:val="BodyText"/>
      </w:pPr>
      <w:r>
        <w:t xml:space="preserve">We'll work on this one in class. Together!</w:t>
      </w:r>
    </w:p>
    <w:p>
      <w:pPr>
        <w:pStyle w:val="Heading3"/>
      </w:pPr>
      <w:bookmarkStart w:id="120" w:name="other-cases-covered-in-class"/>
      <w:bookmarkEnd w:id="120"/>
      <w:r>
        <w:t xml:space="preserve">Other Cases Covered In Class</w:t>
      </w:r>
    </w:p>
    <w:p>
      <w:pPr>
        <w:pStyle w:val="Heading4"/>
      </w:pPr>
      <w:bookmarkStart w:id="121" w:name="parks-v.-laface-records"/>
      <w:bookmarkEnd w:id="121"/>
      <w:r>
        <w:rPr>
          <w:i/>
        </w:rPr>
        <w:t xml:space="preserve">Parks v. LaFace Records</w:t>
      </w:r>
    </w:p>
    <w:p>
      <w:pPr>
        <w:pStyle w:val="Heading6"/>
      </w:pPr>
      <w:bookmarkStart w:id="122" w:name="th-cir.-2001"/>
      <w:bookmarkEnd w:id="122"/>
      <w:r>
        <w:t xml:space="preserve">(6th Cir. 2001)</w:t>
      </w:r>
    </w:p>
    <w:p>
      <w:pPr>
        <w:pStyle w:val="Compact"/>
        <w:numPr>
          <w:numId w:val="1012"/>
          <w:ilvl w:val="0"/>
        </w:numPr>
      </w:pPr>
      <w:hyperlink r:id="rId123">
        <w:r>
          <w:rPr>
            <w:rStyle w:val="Hyperlink"/>
          </w:rPr>
          <w:t xml:space="preserve">case on Wikipedia</w:t>
        </w:r>
      </w:hyperlink>
    </w:p>
    <w:p>
      <w:pPr>
        <w:pStyle w:val="Heading4"/>
      </w:pPr>
      <w:bookmarkStart w:id="124" w:name="etw-corp.-v.-jireh-publishing"/>
      <w:bookmarkEnd w:id="124"/>
      <w:r>
        <w:rPr>
          <w:i/>
        </w:rPr>
        <w:t xml:space="preserve">ETW Corp. v. Jireh Publishing</w:t>
      </w:r>
    </w:p>
    <w:p>
      <w:pPr>
        <w:pStyle w:val="Heading6"/>
      </w:pPr>
      <w:bookmarkStart w:id="125" w:name="th-cir.-2003"/>
      <w:bookmarkEnd w:id="125"/>
      <w:r>
        <w:t xml:space="preserve">(6th Cir. 2003)</w:t>
      </w:r>
    </w:p>
    <w:p>
      <w:pPr>
        <w:pStyle w:val="Compact"/>
        <w:numPr>
          <w:numId w:val="1013"/>
          <w:ilvl w:val="0"/>
        </w:numPr>
      </w:pPr>
      <w:hyperlink r:id="rId126">
        <w:r>
          <w:rPr>
            <w:rStyle w:val="Hyperlink"/>
          </w:rPr>
          <w:t xml:space="preserve">Art on Trial</w:t>
        </w:r>
      </w:hyperlink>
      <w:r>
        <w:t xml:space="preserve">.</w:t>
      </w:r>
    </w:p>
    <w:p>
      <w:pPr>
        <w:pStyle w:val="Heading4"/>
      </w:pPr>
      <w:bookmarkStart w:id="127" w:name="trademark-lanham-act-language"/>
      <w:bookmarkEnd w:id="127"/>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28" w:name="volokh-right-of-publicity-speech-categories"/>
      <w:bookmarkEnd w:id="128"/>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29" w:name="referencefootnote-cases"/>
      <w:bookmarkEnd w:id="129"/>
      <w:r>
        <w:t xml:space="preserve">Reference/Footnote Cases</w:t>
      </w:r>
    </w:p>
    <w:p>
      <w:pPr>
        <w:pStyle w:val="Compact"/>
        <w:numPr>
          <w:numId w:val="1021"/>
          <w:ilvl w:val="0"/>
        </w:numPr>
      </w:pPr>
      <w:hyperlink r:id="rId130">
        <w:r>
          <w:rPr>
            <w:i/>
            <w:rStyle w:val="Hyperlink"/>
          </w:rPr>
          <w:t xml:space="preserve">Matthews v. Wozencraft,</w:t>
        </w:r>
      </w:hyperlink>
      <w:r>
        <w:t xml:space="preserve"> </w:t>
      </w:r>
      <w:r>
        <w:t xml:space="preserve">15 F.3d 432 (5th Cir. 1994).</w:t>
      </w:r>
    </w:p>
    <w:p>
      <w:pPr>
        <w:pStyle w:val="Compact"/>
        <w:numPr>
          <w:numId w:val="1021"/>
          <w:ilvl w:val="0"/>
        </w:numPr>
      </w:pPr>
      <w:hyperlink r:id="rId131">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32">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33">
        <w:r>
          <w:rPr>
            <w:rStyle w:val="Hyperlink"/>
          </w:rPr>
          <w:t xml:space="preserve">Juris Notes</w:t>
        </w:r>
      </w:hyperlink>
      <w:r>
        <w:t xml:space="preserve">.</w:t>
      </w:r>
    </w:p>
    <w:p>
      <w:pPr>
        <w:pStyle w:val="Compact"/>
        <w:numPr>
          <w:numId w:val="1021"/>
          <w:ilvl w:val="0"/>
        </w:numPr>
      </w:pPr>
      <w:hyperlink r:id="rId134">
        <w:r>
          <w:rPr>
            <w:i/>
            <w:rStyle w:val="Hyperlink"/>
          </w:rPr>
          <w:t xml:space="preserve">Zacchini v. Scripps-Howard Broadcasting</w:t>
        </w:r>
      </w:hyperlink>
      <w:r>
        <w:t xml:space="preserve">, 433 US 562 (1977).</w:t>
      </w:r>
      <w:r>
        <w:t xml:space="preserve"> </w:t>
      </w:r>
      <w:hyperlink r:id="rId55">
        <w:r>
          <w:rPr>
            <w:rStyle w:val="Hyperlink"/>
          </w:rPr>
          <w:t xml:space="preserve">Wikipedia</w:t>
        </w:r>
      </w:hyperlink>
      <w:r>
        <w:t xml:space="preserve">.</w:t>
      </w:r>
    </w:p>
    <w:p>
      <w:pPr>
        <w:pStyle w:val="Compact"/>
        <w:numPr>
          <w:numId w:val="1021"/>
          <w:ilvl w:val="0"/>
        </w:numPr>
      </w:pPr>
      <w:hyperlink r:id="rId135">
        <w:r>
          <w:rPr>
            <w:i/>
            <w:rStyle w:val="Hyperlink"/>
          </w:rPr>
          <w:t xml:space="preserve">Hicks v. Casablanca Records,</w:t>
        </w:r>
      </w:hyperlink>
      <w:r>
        <w:t xml:space="preserve"> </w:t>
      </w:r>
      <w:r>
        <w:t xml:space="preserve">464 F.Supp. 426 (SDNY 1978).</w:t>
      </w:r>
    </w:p>
    <w:p>
      <w:pPr>
        <w:pStyle w:val="Compact"/>
        <w:numPr>
          <w:numId w:val="1021"/>
          <w:ilvl w:val="0"/>
        </w:numPr>
      </w:pPr>
      <w:hyperlink r:id="rId136">
        <w:r>
          <w:rPr>
            <w:i/>
            <w:rStyle w:val="Hyperlink"/>
          </w:rPr>
          <w:t xml:space="preserve">Keenan v. Superior Court Los Angeles County,</w:t>
        </w:r>
      </w:hyperlink>
      <w:r>
        <w:t xml:space="preserve"> </w:t>
      </w:r>
      <w:r>
        <w:t xml:space="preserve">40 P.3d 718 (2002).</w:t>
      </w:r>
      <w:r>
        <w:t xml:space="preserve"> </w:t>
      </w:r>
      <w:hyperlink r:id="rId137">
        <w:r>
          <w:rPr>
            <w:rStyle w:val="Hyperlink"/>
          </w:rPr>
          <w:t xml:space="preserve">Reporters Committee For Freedom of the Press</w:t>
        </w:r>
      </w:hyperlink>
      <w:r>
        <w:t xml:space="preserve">.</w:t>
      </w:r>
    </w:p>
    <w:p>
      <w:pPr>
        <w:pStyle w:val="Heading5"/>
      </w:pPr>
      <w:bookmarkStart w:id="138" w:name="hurt-locker"/>
      <w:bookmarkEnd w:id="138"/>
      <w:r>
        <w:t xml:space="preserve">Hurt Locker</w:t>
      </w:r>
    </w:p>
    <w:p>
      <w:pPr>
        <w:pStyle w:val="FirstParagraph"/>
      </w:pPr>
      <w:hyperlink r:id="rId139">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40" w:name="totally-optional-readings-viewings"/>
      <w:bookmarkEnd w:id="140"/>
      <w:r>
        <w:t xml:space="preserve">Totally Optional Readings &amp; Viewings</w:t>
      </w:r>
    </w:p>
    <w:p>
      <w:pPr>
        <w:pStyle w:val="Compact"/>
        <w:numPr>
          <w:numId w:val="1022"/>
          <w:ilvl w:val="0"/>
        </w:numPr>
      </w:pPr>
      <w:hyperlink r:id="rId141">
        <w:r>
          <w:rPr>
            <w:rStyle w:val="Hyperlink"/>
          </w:rPr>
          <w:t xml:space="preserve">'Call of Duty': Can Rudy Giuliani Beat Manuel Noriega, the Three Stooges and Gwen Stefani?</w:t>
        </w:r>
      </w:hyperlink>
    </w:p>
    <w:p>
      <w:pPr>
        <w:pStyle w:val="Compact"/>
        <w:numPr>
          <w:numId w:val="1022"/>
          <w:ilvl w:val="0"/>
        </w:numPr>
      </w:pPr>
      <w:hyperlink r:id="rId142">
        <w:r>
          <w:rPr>
            <w:rStyle w:val="Hyperlink"/>
          </w:rPr>
          <w:t xml:space="preserve">Katherine Heigl Sues Duane Reed Drug Stores Over Photo</w:t>
        </w:r>
      </w:hyperlink>
    </w:p>
    <w:p>
      <w:pPr>
        <w:pStyle w:val="Compact"/>
        <w:numPr>
          <w:numId w:val="1022"/>
          <w:ilvl w:val="0"/>
        </w:numPr>
      </w:pPr>
      <w:hyperlink r:id="rId143">
        <w:r>
          <w:rPr>
            <w:rStyle w:val="Hyperlink"/>
          </w:rPr>
          <w:t xml:space="preserve">Katherine Heigl Ends Lawsuit Over Duane Reade Tweet (Exclusive)</w:t>
        </w:r>
      </w:hyperlink>
    </w:p>
    <w:p>
      <w:pPr>
        <w:pStyle w:val="Compact"/>
        <w:numPr>
          <w:numId w:val="1022"/>
          <w:ilvl w:val="0"/>
        </w:numPr>
      </w:pPr>
      <w:hyperlink r:id="rId144">
        <w:r>
          <w:rPr>
            <w:rStyle w:val="Hyperlink"/>
          </w:rPr>
          <w:t xml:space="preserve">Lindsay Lohan is suing the makers of Grand Theft Auto V</w:t>
        </w:r>
      </w:hyperlink>
    </w:p>
    <w:p>
      <w:pPr>
        <w:pStyle w:val="Compact"/>
        <w:numPr>
          <w:numId w:val="1022"/>
          <w:ilvl w:val="0"/>
        </w:numPr>
      </w:pPr>
      <w:hyperlink r:id="rId145">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46">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bfd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0491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50db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9a23ab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23"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79" Target="http://heinonline.org/HOL/LandingPage?handle=hein.journals/jocoso28&amp;div=12&amp;id=&amp;page=" TargetMode="External" /><Relationship Type="http://schemas.openxmlformats.org/officeDocument/2006/relationships/hyperlink" Id="rId130" Target="http://lawschool.westlaw.com/shared/westlawRedirect.aspx?task=find&amp;cite=15f3d432&amp;appflag=67.12" TargetMode="External" /><Relationship Type="http://schemas.openxmlformats.org/officeDocument/2006/relationships/hyperlink" Id="rId132" Target="http://lawschool.westlaw.com/shared/westlawRedirect.aspx?task=find&amp;cite=21+p3d+797&amp;appflag=67.12" TargetMode="External" /><Relationship Type="http://schemas.openxmlformats.org/officeDocument/2006/relationships/hyperlink" Id="rId136" Target="http://lawschool.westlaw.com/shared/westlawRedirect.aspx?task=find&amp;cite=27+Cal.4th+413&amp;appflag=67.12" TargetMode="External" /><Relationship Type="http://schemas.openxmlformats.org/officeDocument/2006/relationships/hyperlink" Id="rId134" Target="http://lawschool.westlaw.com/shared/westlawRedirect.aspx?task=find&amp;cite=433us562&amp;appflag=67.12" TargetMode="External" /><Relationship Type="http://schemas.openxmlformats.org/officeDocument/2006/relationships/hyperlink" Id="rId135"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83" Target="http://scholar.google.com/scholar_case?case=10950732871251474707" TargetMode="External" /><Relationship Type="http://schemas.openxmlformats.org/officeDocument/2006/relationships/hyperlink" Id="rId99"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6"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5"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2" Target="http://scholar.google.com/scholar_case?case=14920951584418126067" TargetMode="External" /><Relationship Type="http://schemas.openxmlformats.org/officeDocument/2006/relationships/hyperlink" Id="rId77" Target="http://scholar.google.com/scholar_case?case=15457477938614677085"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8"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00" Target="http://scholar.google.com/scholar_case?case=16874877052780018691" TargetMode="External" /><Relationship Type="http://schemas.openxmlformats.org/officeDocument/2006/relationships/hyperlink" Id="rId94"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82" Target="http://scholar.google.com/scholar_case?case=1917928030443042074" TargetMode="External" /><Relationship Type="http://schemas.openxmlformats.org/officeDocument/2006/relationships/hyperlink" Id="rId93"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74" Target="http://scholar.google.com/scholar_case?case=652682831136403786" TargetMode="External" /><Relationship Type="http://schemas.openxmlformats.org/officeDocument/2006/relationships/hyperlink" Id="rId75"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44"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6"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31" Target="http://www.dmlp.org/legal-guide/texas-right-publicity-law" TargetMode="External" /><Relationship Type="http://schemas.openxmlformats.org/officeDocument/2006/relationships/hyperlink" Id="rId70" Target="http://www.hollywoodreporter.com/blogs/thr-esq/johnny-carson-estate-wins-injunction-63785" TargetMode="External" /><Relationship Type="http://schemas.openxmlformats.org/officeDocument/2006/relationships/hyperlink" Id="rId146" Target="http://www.hollywoodreporter.com/thr-esq/bing-crosbys-first-wife-denied-675755" TargetMode="External" /><Relationship Type="http://schemas.openxmlformats.org/officeDocument/2006/relationships/hyperlink" Id="rId141" Target="http://www.hollywoodreporter.com/thr-esq/call-duty-can-rudy-giuliani-734737" TargetMode="External" /><Relationship Type="http://schemas.openxmlformats.org/officeDocument/2006/relationships/hyperlink" Id="rId145" Target="http://www.hollywoodreporter.com/thr-esq/james-franco-sued-violating-film-699013" TargetMode="External" /><Relationship Type="http://schemas.openxmlformats.org/officeDocument/2006/relationships/hyperlink" Id="rId14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33" Target="http://www.jurisnotes.com/IP/articles/acriticalexam.htm" TargetMode="External" /><Relationship Type="http://schemas.openxmlformats.org/officeDocument/2006/relationships/hyperlink" Id="rId119" Target="http://www.law.cornell.edu/copyright/cases/Image9.jpg" TargetMode="External" /><Relationship Type="http://schemas.openxmlformats.org/officeDocument/2006/relationships/hyperlink" Id="rId137" Target="http://www.rcfp.org/browse-media-law-resources/news/high-court-strikes-down-state-son-sam-law" TargetMode="External" /><Relationship Type="http://schemas.openxmlformats.org/officeDocument/2006/relationships/hyperlink" Id="rId126"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2" Target="http://www.washingtonpost.com/entertainment/celebrities/actress-heigl-sues-pharmacy-company-over-photo/2014/04/09/ffa1b0aa-c03a-11e3-9ee7-02c1e10a03f0_story.html" TargetMode="External" /><Relationship Type="http://schemas.openxmlformats.org/officeDocument/2006/relationships/hyperlink" Id="rId115"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9" Target="https://www.hollywoodreporter.com/thr-esq/appeals-court-hurt-locker-is-866687" TargetMode="External" /></Relationships>
</file>

<file path=word/_rels/footnotes.xml.rels><?xml version="1.0" encoding="UTF-8"?>
<Relationships xmlns="http://schemas.openxmlformats.org/package/2006/relationships"><Relationship Type="http://schemas.openxmlformats.org/officeDocument/2006/relationships/hyperlink" Id="rId89"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23"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79" Target="http://heinonline.org/HOL/LandingPage?handle=hein.journals/jocoso28&amp;div=12&amp;id=&amp;page=" TargetMode="External" /><Relationship Type="http://schemas.openxmlformats.org/officeDocument/2006/relationships/hyperlink" Id="rId130" Target="http://lawschool.westlaw.com/shared/westlawRedirect.aspx?task=find&amp;cite=15f3d432&amp;appflag=67.12" TargetMode="External" /><Relationship Type="http://schemas.openxmlformats.org/officeDocument/2006/relationships/hyperlink" Id="rId132" Target="http://lawschool.westlaw.com/shared/westlawRedirect.aspx?task=find&amp;cite=21+p3d+797&amp;appflag=67.12" TargetMode="External" /><Relationship Type="http://schemas.openxmlformats.org/officeDocument/2006/relationships/hyperlink" Id="rId136" Target="http://lawschool.westlaw.com/shared/westlawRedirect.aspx?task=find&amp;cite=27+Cal.4th+413&amp;appflag=67.12" TargetMode="External" /><Relationship Type="http://schemas.openxmlformats.org/officeDocument/2006/relationships/hyperlink" Id="rId134" Target="http://lawschool.westlaw.com/shared/westlawRedirect.aspx?task=find&amp;cite=433us562&amp;appflag=67.12" TargetMode="External" /><Relationship Type="http://schemas.openxmlformats.org/officeDocument/2006/relationships/hyperlink" Id="rId135"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83" Target="http://scholar.google.com/scholar_case?case=10950732871251474707" TargetMode="External" /><Relationship Type="http://schemas.openxmlformats.org/officeDocument/2006/relationships/hyperlink" Id="rId99"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6"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5"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2" Target="http://scholar.google.com/scholar_case?case=14920951584418126067" TargetMode="External" /><Relationship Type="http://schemas.openxmlformats.org/officeDocument/2006/relationships/hyperlink" Id="rId77" Target="http://scholar.google.com/scholar_case?case=15457477938614677085"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8"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00" Target="http://scholar.google.com/scholar_case?case=16874877052780018691" TargetMode="External" /><Relationship Type="http://schemas.openxmlformats.org/officeDocument/2006/relationships/hyperlink" Id="rId94"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82" Target="http://scholar.google.com/scholar_case?case=1917928030443042074" TargetMode="External" /><Relationship Type="http://schemas.openxmlformats.org/officeDocument/2006/relationships/hyperlink" Id="rId93"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74" Target="http://scholar.google.com/scholar_case?case=652682831136403786" TargetMode="External" /><Relationship Type="http://schemas.openxmlformats.org/officeDocument/2006/relationships/hyperlink" Id="rId75"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44"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6"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31" Target="http://www.dmlp.org/legal-guide/texas-right-publicity-law" TargetMode="External" /><Relationship Type="http://schemas.openxmlformats.org/officeDocument/2006/relationships/hyperlink" Id="rId70" Target="http://www.hollywoodreporter.com/blogs/thr-esq/johnny-carson-estate-wins-injunction-63785" TargetMode="External" /><Relationship Type="http://schemas.openxmlformats.org/officeDocument/2006/relationships/hyperlink" Id="rId146" Target="http://www.hollywoodreporter.com/thr-esq/bing-crosbys-first-wife-denied-675755" TargetMode="External" /><Relationship Type="http://schemas.openxmlformats.org/officeDocument/2006/relationships/hyperlink" Id="rId141" Target="http://www.hollywoodreporter.com/thr-esq/call-duty-can-rudy-giuliani-734737" TargetMode="External" /><Relationship Type="http://schemas.openxmlformats.org/officeDocument/2006/relationships/hyperlink" Id="rId145" Target="http://www.hollywoodreporter.com/thr-esq/james-franco-sued-violating-film-699013" TargetMode="External" /><Relationship Type="http://schemas.openxmlformats.org/officeDocument/2006/relationships/hyperlink" Id="rId14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33" Target="http://www.jurisnotes.com/IP/articles/acriticalexam.htm" TargetMode="External" /><Relationship Type="http://schemas.openxmlformats.org/officeDocument/2006/relationships/hyperlink" Id="rId119" Target="http://www.law.cornell.edu/copyright/cases/Image9.jpg" TargetMode="External" /><Relationship Type="http://schemas.openxmlformats.org/officeDocument/2006/relationships/hyperlink" Id="rId137" Target="http://www.rcfp.org/browse-media-law-resources/news/high-court-strikes-down-state-son-sam-law" TargetMode="External" /><Relationship Type="http://schemas.openxmlformats.org/officeDocument/2006/relationships/hyperlink" Id="rId126"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2" Target="http://www.washingtonpost.com/entertainment/celebrities/actress-heigl-sues-pharmacy-company-over-photo/2014/04/09/ffa1b0aa-c03a-11e3-9ee7-02c1e10a03f0_story.html" TargetMode="External" /><Relationship Type="http://schemas.openxmlformats.org/officeDocument/2006/relationships/hyperlink" Id="rId115"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9" Target="https://www.hollywoodreporter.com/thr-esq/appeals-court-hurt-locker-is-86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Artists</dc:title>
  <dc:creator>Richard Dooling</dc:creator>
  <dcterms:created xsi:type="dcterms:W3CDTF">2016-12-29T17:52:36Z</dcterms:created>
  <dcterms:modified xsi:type="dcterms:W3CDTF">2016-12-29T17:52:36Z</dcterms:modified>
</cp:coreProperties>
</file>