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Right</w:t>
      </w:r>
      <w:r>
        <w:t xml:space="preserve"> </w:t>
      </w:r>
      <w:r>
        <w:t xml:space="preserve">of</w:t>
      </w:r>
      <w:r>
        <w:t xml:space="preserve"> </w:t>
      </w:r>
      <w:r>
        <w:t xml:space="preserve">Publicity</w:t>
      </w:r>
    </w:p>
    <w:p>
      <w:pPr>
        <w:pStyle w:val="Author"/>
      </w:pPr>
      <w:r>
        <w:t xml:space="preserve">Richard</w:t>
      </w:r>
      <w:r>
        <w:t xml:space="preserve"> </w:t>
      </w:r>
      <w:r>
        <w:t xml:space="preserve">Dooling</w:t>
      </w:r>
    </w:p>
    <w:p>
      <w:pPr>
        <w:pStyle w:val="Heading1"/>
      </w:pPr>
      <w:bookmarkStart w:id="21" w:name="celebritypublicity-rights"/>
      <w:bookmarkEnd w:id="21"/>
      <w:r>
        <w:t xml:space="preserve">Celebrity/Publicity Rights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bookmarkEnd w:id="24"/>
      <w:r>
        <w:t xml:space="preserve">Right of Publicity</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 "Right Of Privacy" article</w:t>
        </w:r>
      </w:hyperlink>
      <w:r>
        <w:t xml:space="preserve">,</w:t>
      </w:r>
      <w:r>
        <w:t xml:space="preserve"> </w:t>
      </w:r>
      <w:r>
        <w:t xml:space="preserve">which spoke of compensating "injury to the feelings."</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&amp;hellip;</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 "never has had a policy of life insurance</w:t>
      </w:r>
      <w:r>
        <w:t xml:space="preserve"> </w:t>
      </w:r>
      <w:r>
        <w:t xml:space="preserve">with the defendant company,"</w:t>
      </w:r>
      <w:r>
        <w:t xml:space="preserve"> </w:t>
      </w:r>
      <w:r>
        <w:t xml:space="preserve">and that the publication</w:t>
      </w:r>
      <w:r>
        <w:t xml:space="preserve"> </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 "likeness" branch of the "right of privacy" was refined.</w:t>
      </w:r>
      <w:r>
        <w:t xml:space="preserve"> </w:t>
      </w:r>
      <w:r>
        <w:t xml:space="preserve">The notion of "hurt feelings"</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 "right of publicity" as akin to a property interest,</w:t>
      </w:r>
      <w:r>
        <w:t xml:space="preserve"> </w:t>
      </w:r>
      <w:r>
        <w:t xml:space="preserve">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&amp;hellip; bars people</w:t>
      </w:r>
      <w:r>
        <w:t xml:space="preserve"> </w:t>
      </w:r>
      <w:r>
        <w:t xml:space="preserve">from "appropriating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 </w:t>
      </w:r>
      <w:r>
        <w:t xml:space="preserve">Similarly, statutes such as California Civil Code section 3344 bar</w:t>
      </w:r>
      <w:r>
        <w:t xml:space="preserve"> </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 "product"</w:t>
      </w:r>
      <w:r>
        <w:t xml:space="preserve"> </w:t>
      </w:r>
      <w:r>
        <w:t xml:space="preserve">and an item in "trade"</w:t>
      </w:r>
      <w:r>
        <w:t xml:space="preserve"> </w:t>
      </w:r>
      <w:r>
        <w:t xml:space="preserve">that benefits from the "commercial value of [its subject's] identity";</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("King Center")</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 "an exclusive memorial"</w:t>
      </w:r>
      <w:r>
        <w:t xml:space="preserve"> </w:t>
      </w:r>
      <w:r>
        <w:t xml:space="preserve">and "an opportunity to support the Martin Luther King, Jr., Center for Social Change."</w:t>
      </w:r>
      <w:r>
        <w:t xml:space="preserve"> </w:t>
      </w:r>
      <w:r>
        <w:t xml:space="preserve">The advertisement stated that</w:t>
      </w:r>
      <w:r>
        <w:t xml:space="preserve"> </w:t>
      </w:r>
      <w:r>
        <w:t xml:space="preserve">"a contribution from your order goes to the King Center for Social Change."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 "free"</w:t>
      </w:r>
      <w:r>
        <w:t xml:space="preserve"> </w:t>
      </w:r>
      <w:r>
        <w:t xml:space="preserve">with the purchase of the bust</w:t>
      </w:r>
      <w:r>
        <w:t xml:space="preserve"> </w:t>
      </w:r>
      <w:r>
        <w:t xml:space="preserve">a booklet about the life of Dr. King</w:t>
      </w:r>
      <w:r>
        <w:t xml:space="preserve"> </w:t>
      </w:r>
      <w:r>
        <w:t xml:space="preserve">entitled "A Tribute to Dr. Martin Luther King, Jr."</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5"/>
      </w:pPr>
      <w:bookmarkStart w:id="41" w:name="who-owns-martin-luther-kings-publicity-rights"/>
      <w:bookmarkEnd w:id="41"/>
      <w:r>
        <w:t xml:space="preserve">Who Owns Martin Luther King's Publicity Rights?</w:t>
      </w:r>
    </w:p>
    <w:p>
      <w:pPr>
        <w:pStyle w:val="FirstParagraph"/>
      </w:pPr>
      <w:r>
        <w:t xml:space="preserve">Pause here and consider who is likely to win this lawsuit?</w:t>
      </w:r>
      <w:r>
        <w:t xml:space="preserve"> </w:t>
      </w:r>
      <w:r>
        <w:t xml:space="preserve">Is it lawful for a sculptor to create and sell an image of Dr. King?</w:t>
      </w:r>
      <w:r>
        <w:t xml:space="preserve"> </w:t>
      </w:r>
      <w:r>
        <w:t xml:space="preserve">Would it be lawful for an author to write a book about Dr. King?</w:t>
      </w:r>
      <w:r>
        <w:t xml:space="preserve"> </w:t>
      </w:r>
      <w:r>
        <w:t xml:space="preserve">As you read excerpts from the case,</w:t>
      </w:r>
      <w:r>
        <w:t xml:space="preserve"> </w:t>
      </w:r>
      <w:r>
        <w:t xml:space="preserve">keep in mind that the right of PUBLICITY</w:t>
      </w:r>
      <w:r>
        <w:t xml:space="preserve"> </w:t>
      </w:r>
      <w:r>
        <w:t xml:space="preserve">is a subspecies of the right of PRIVACY.</w:t>
      </w:r>
      <w:r>
        <w:t xml:space="preserve"> </w:t>
      </w:r>
      <w:r>
        <w:t xml:space="preserve">It's the privacy right that is most like a property right,</w:t>
      </w:r>
      <w:r>
        <w:t xml:space="preserve"> </w:t>
      </w:r>
      <w:r>
        <w:t xml:space="preserve">like intellectual property.</w:t>
      </w:r>
    </w:p>
    <w:p>
      <w:pPr>
        <w:pStyle w:val="Heading4"/>
      </w:pPr>
      <w:bookmarkStart w:id="42" w:name="excerpts-from-the-case"/>
      <w:bookmarkEnd w:id="42"/>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likeness.&amp;hellip;</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w:t>
      </w:r>
      <w:r>
        <w:t xml:space="preserve"> </w:t>
      </w:r>
      <w:r>
        <w:t xml:space="preserve">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w:t>
      </w:r>
      <w:r>
        <w:t xml:space="preserve"> </w:t>
      </w:r>
      <w:r>
        <w:t xml:space="preserve">by any rule of law is</w:t>
      </w:r>
      <w:r>
        <w:t xml:space="preserve"> </w:t>
      </w:r>
      <w:r>
        <w:t xml:space="preserve">also embraced within the right of personal liberty.</w:t>
      </w:r>
      <w:r>
        <w:t xml:space="preserve"> </w:t>
      </w:r>
      <w:r>
        <w:t xml:space="preserve">Publicity in one instance</w:t>
      </w:r>
      <w:r>
        <w:t xml:space="preserve"> </w:t>
      </w:r>
      <w:r>
        <w:t xml:space="preserve">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w:t>
      </w:r>
    </w:p>
    <w:p>
      <w:pPr>
        <w:pStyle w:val="BlockText"/>
      </w:pPr>
      <w:hyperlink r:id="rId31">
        <w:r>
          <w:rPr>
            <w:i/>
            <w:rStyle w:val="Hyperlink"/>
          </w:rPr>
          <w:t xml:space="preserve">Pavesich</w:t>
        </w:r>
      </w:hyperlink>
      <w:r>
        <w:t xml:space="preserve">.</w:t>
      </w:r>
    </w:p>
    <w:p>
      <w:pPr>
        <w:pStyle w:val="FirstParagraph"/>
      </w:pPr>
      <w:r>
        <w:t xml:space="preserve">Recognizing the possibility of a conflict</w:t>
      </w:r>
      <w:r>
        <w:t xml:space="preserve"> </w:t>
      </w:r>
      <w:r>
        <w:t xml:space="preserve">between the right of privacy and the freedoms of speech and press,</w:t>
      </w:r>
      <w:r>
        <w:t xml:space="preserve"> </w:t>
      </w:r>
      <w:r>
        <w:t xml:space="preserve">this court said:</w:t>
      </w:r>
    </w:p>
    <w:p>
      <w:pPr>
        <w:pStyle w:val="BlockText"/>
      </w:pPr>
      <w:r>
        <w:t xml:space="preserve">There is in the publication of one's picture</w:t>
      </w:r>
      <w:r>
        <w:t xml:space="preserve"> </w:t>
      </w:r>
      <w:r>
        <w:t xml:space="preserve">for advertising purposes not the slightest semblance</w:t>
      </w:r>
      <w:r>
        <w:t xml:space="preserve"> </w:t>
      </w:r>
      <w:r>
        <w:t xml:space="preserve">of an expression of an idea, a thought, or an opinion,</w:t>
      </w:r>
      <w:r>
        <w:t xml:space="preserve"> </w:t>
      </w:r>
      <w:r>
        <w:t xml:space="preserve">within the meaning of the constitutional provision</w:t>
      </w:r>
      <w:r>
        <w:t xml:space="preserve"> </w:t>
      </w:r>
      <w:r>
        <w:t xml:space="preserve">which guarantees to a person</w:t>
      </w:r>
      <w:r>
        <w:t xml:space="preserve"> </w:t>
      </w:r>
      <w:r>
        <w:t xml:space="preserve">the right to publish his sentiments on any subject.</w:t>
      </w:r>
      <w:r>
        <w:t xml:space="preserve"> </w:t>
      </w:r>
      <w:hyperlink r:id="rId31">
        <w:r>
          <w:rPr>
            <w:i/>
            <w:rStyle w:val="Hyperlink"/>
          </w:rPr>
          <w:t xml:space="preserve">Id.</w:t>
        </w:r>
      </w:hyperlink>
      <w:r>
        <w:t xml:space="preserve">.</w:t>
      </w:r>
    </w:p>
    <w:p>
      <w:pPr>
        <w:pStyle w:val="FirstParagraph"/>
      </w:pPr>
      <w:r>
        <w:t xml:space="preserve">The defendants in the case now before us make no claim under these freedoms and we find no violation thereof.</w:t>
      </w:r>
    </w:p>
    <w:p>
      <w:pPr>
        <w:pStyle w:val="BodyText"/>
      </w:pPr>
      <w:r>
        <w:t xml:space="preserve">Observing &amp;hellip; that the right of privacy in general</w:t>
      </w:r>
      <w:r>
        <w:t xml:space="preserve"> </w:t>
      </w:r>
      <w:r>
        <w:t xml:space="preserve">does not survive the death of the person whose privacy is invaded,</w:t>
      </w:r>
      <w:r>
        <w:t xml:space="preserve"> </w:t>
      </w:r>
      <w:r>
        <w:t xml:space="preserve">the</w:t>
      </w:r>
      <w:r>
        <w:t xml:space="preserve"> </w:t>
      </w:r>
      <w:r>
        <w:rPr>
          <w:i/>
        </w:rPr>
        <w:t xml:space="preserve">Pavesich</w:t>
      </w:r>
      <w:r>
        <w:t xml:space="preserve"> </w:t>
      </w:r>
      <w:r>
        <w:t xml:space="preserve">court said:</w:t>
      </w:r>
    </w:p>
    <w:p>
      <w:pPr>
        <w:pStyle w:val="BlockText"/>
      </w:pPr>
      <w:r>
        <w:t xml:space="preserve">While the right of privacy is personal,</w:t>
      </w:r>
      <w:r>
        <w:t xml:space="preserve"> </w:t>
      </w:r>
      <w:r>
        <w:t xml:space="preserve">and may die with the person,</w:t>
      </w:r>
      <w:r>
        <w:t xml:space="preserve"> </w:t>
      </w:r>
      <w:r>
        <w:t xml:space="preserve">we do not desire to be understood as assenting to the proposition</w:t>
      </w:r>
      <w:r>
        <w:t xml:space="preserve"> </w:t>
      </w:r>
      <w:r>
        <w:t xml:space="preserve">that the relatives of the deceased cannot, in a proper case,</w:t>
      </w:r>
      <w:r>
        <w:t xml:space="preserve"> </w:t>
      </w:r>
      <w:r>
        <w:t xml:space="preserve">protect the memory of their kinsman,</w:t>
      </w:r>
      <w:r>
        <w:t xml:space="preserve"> </w:t>
      </w:r>
      <w:r>
        <w:t xml:space="preserve">not only from defamation,</w:t>
      </w:r>
      <w:r>
        <w:t xml:space="preserve"> </w:t>
      </w:r>
      <w:r>
        <w:t xml:space="preserve">but also from an invasion into the affairs of his private life after his death.</w:t>
      </w:r>
      <w:r>
        <w:t xml:space="preserve"> </w:t>
      </w:r>
      <w:r>
        <w:t xml:space="preserve">This question is not now involved,</w:t>
      </w:r>
      <w:r>
        <w:t xml:space="preserve"> </w:t>
      </w:r>
      <w:r>
        <w:t xml:space="preserve">but we do not wish anything</w:t>
      </w:r>
      <w:r>
        <w:t xml:space="preserve"> </w:t>
      </w:r>
      <w:r>
        <w:t xml:space="preserve">said to be understood as committing us in any way</w:t>
      </w:r>
      <w:r>
        <w:t xml:space="preserve"> </w:t>
      </w:r>
      <w:r>
        <w:t xml:space="preserve">to the doctrine that against the consent of relatives</w:t>
      </w:r>
      <w:r>
        <w:t xml:space="preserve"> </w:t>
      </w:r>
      <w:r>
        <w:t xml:space="preserve">the private affairs of a deceased person may be published</w:t>
      </w:r>
      <w:r>
        <w:t xml:space="preserve"> </w:t>
      </w:r>
      <w:r>
        <w:t xml:space="preserve">and his picture or statue exhibited.</w:t>
      </w:r>
      <w:r>
        <w:t xml:space="preserve"> </w:t>
      </w:r>
      <w:hyperlink r:id="rId31">
        <w:r>
          <w:rPr>
            <w:i/>
            <w:rStyle w:val="Hyperlink"/>
          </w:rPr>
          <w:t xml:space="preserve">Id.</w:t>
        </w:r>
      </w:hyperlink>
    </w:p>
    <w:p>
      <w:pPr>
        <w:pStyle w:val="FirstParagraph"/>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figure.&amp;hellip;</w:t>
      </w:r>
    </w:p>
    <w:p>
      <w:pPr>
        <w:pStyle w:val="BodyText"/>
      </w:pPr>
      <w:r>
        <w:t xml:space="preserve">In</w:t>
      </w:r>
      <w:r>
        <w:t xml:space="preserve"> </w:t>
      </w:r>
      <w:hyperlink r:id="rId44">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4">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5">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4">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school.&amp;hellip;</w:t>
      </w:r>
    </w:p>
    <w:p>
      <w:pPr>
        <w:pStyle w:val="BodyText"/>
      </w:pPr>
      <w:r>
        <w:t xml:space="preserve">The right of publicity was first recognized in Georgia by the Court of Appeals in</w:t>
      </w:r>
      <w:r>
        <w:t xml:space="preserve"> </w:t>
      </w:r>
      <w:hyperlink r:id="rId46">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6">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6">
        <w:r>
          <w:rPr>
            <w:i/>
            <w:rStyle w:val="Hyperlink"/>
          </w:rPr>
          <w:t xml:space="preserve">Id.</w:t>
        </w:r>
      </w:hyperlink>
      <w:r>
        <w:t xml:space="preserve">):</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likeness.&amp;hellip; "The interest protected (in the</w:t>
      </w:r>
      <w:r>
        <w:t xml:space="preserve"> </w:t>
      </w:r>
      <w:r>
        <w:t xml:space="preserve">'appropriation' cases) is not so much a mental as a proprietary one, in</w:t>
      </w:r>
      <w:r>
        <w:t xml:space="preserve"> </w:t>
      </w:r>
      <w:r>
        <w:t xml:space="preserve">the exclusive use of the plaintiff's name and likeness as an aspect of</w:t>
      </w:r>
      <w:r>
        <w:t xml:space="preserve"> </w:t>
      </w:r>
      <w:r>
        <w:t xml:space="preserve">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6">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7">
        <w:r>
          <w:rPr>
            <w:i/>
            <w:rStyle w:val="Hyperlink"/>
          </w:rPr>
          <w:t xml:space="preserve">McQueen v. Wilson,</w:t>
        </w:r>
      </w:hyperlink>
      <w:r>
        <w:t xml:space="preserve"> </w:t>
      </w:r>
      <w:r>
        <w:t xml:space="preserve">reversed on other grounds,</w:t>
      </w:r>
      <w:r>
        <w:t xml:space="preserve"> </w:t>
      </w:r>
      <w:hyperlink r:id="rId48">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7">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6">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user.&amp;hellip;</w:t>
      </w:r>
    </w:p>
    <w:p>
      <w:pPr>
        <w:pStyle w:val="Heading4"/>
      </w:pPr>
      <w:bookmarkStart w:id="49" w:name="does-the-right-of-publicity-survive-the-death-of-its-owner-i.e.-is-the-right-inheritable-and-devisable"/>
      <w:bookmarkEnd w:id="49"/>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5">
        <w:r>
          <w:rPr>
            <w:i/>
            <w:rStyle w:val="Hyperlink"/>
          </w:rPr>
          <w:t xml:space="preserve">Haelan Laboratories v. Topps Chewing Gum</w:t>
        </w:r>
        <w:r>
          <w:rPr>
            <w:rStyle w:val="Hyperlink"/>
          </w:rPr>
          <w:t xml:space="preserve">, supra</w:t>
        </w:r>
      </w:hyperlink>
      <w:r>
        <w:t xml:space="preserve">. That is, without assignability the right of publicity could hardly be called a "right." Recognizing its assignability, most commentators have</w:t>
      </w:r>
      <w:r>
        <w:t xml:space="preserve"> </w:t>
      </w:r>
      <w:r>
        <w:t xml:space="preserve">urged that the right of publicity must also be inheritable.&amp;hellip;</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likeness.&amp;hellip;</w:t>
      </w:r>
    </w:p>
    <w:p>
      <w:pPr>
        <w:pStyle w:val="FirstParagraph"/>
      </w:pPr>
      <w:r>
        <w:t xml:space="preserve">For the reasons which follow we hold that the right of publicity survives the death of its owner and is inheritable and devisable.</w:t>
      </w:r>
    </w:p>
    <w:p>
      <w:pPr>
        <w:pStyle w:val="Heading4"/>
      </w:pPr>
      <w:bookmarkStart w:id="51" w:name="weltner-justice-concurring-specially."/>
      <w:bookmarkEnd w:id="51"/>
      <w:r>
        <w:t xml:space="preserve">WELTNER, Justice, concurring specially.</w:t>
      </w:r>
    </w:p>
    <w:p>
      <w:pPr>
        <w:pStyle w:val="FirstParagraph"/>
      </w:pPr>
      <w:r>
        <w:t xml:space="preserve">In this opinion, we have taken the "right of privacy" as enumerated in</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privacy.&amp;hellip;</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right.&amp;hellip;</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speech.&amp;hellip;</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2" w:name="zacchini-v.-scripps-howard-broadcasting-co."/>
      <w:bookmarkEnd w:id="52"/>
      <w:r>
        <w:rPr>
          <w:i/>
        </w:rPr>
        <w:t xml:space="preserve">Zacchini v. Scripps-Howard Broadcasting Co.</w:t>
      </w:r>
    </w:p>
    <w:p>
      <w:pPr>
        <w:pStyle w:val="Heading6"/>
      </w:pPr>
      <w:bookmarkStart w:id="53" w:name="united-states-supreme-court-1977"/>
      <w:bookmarkEnd w:id="53"/>
      <w:r>
        <w:t xml:space="preserve">United States Supreme Court (1977)</w:t>
      </w:r>
    </w:p>
    <w:p>
      <w:pPr>
        <w:pStyle w:val="Compact"/>
        <w:numPr>
          <w:numId w:val="1004"/>
          <w:ilvl w:val="0"/>
        </w:numPr>
      </w:pPr>
      <w:hyperlink r:id="rId54">
        <w:r>
          <w:rPr>
            <w:rStyle w:val="Hyperlink"/>
          </w:rPr>
          <w:t xml:space="preserve">Zacchini on Google Scholar</w:t>
        </w:r>
      </w:hyperlink>
    </w:p>
    <w:p>
      <w:pPr>
        <w:pStyle w:val="Compact"/>
        <w:numPr>
          <w:numId w:val="1004"/>
          <w:ilvl w:val="0"/>
        </w:numPr>
      </w:pPr>
      <w:hyperlink r:id="rId55">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&amp;hellip;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 </w:t>
      </w:r>
      <w:r>
        <w:rPr>
          <w:i/>
        </w:rPr>
        <w:t xml:space="preserve">Ibid.</w:t>
      </w:r>
    </w:p>
    <w:p>
      <w:pPr>
        <w:pStyle w:val="FirstParagraph"/>
      </w:pPr>
      <w:r>
        <w:t xml:space="preserve">We granted certiorari &amp;hellip;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court.&amp;hellip;</w:t>
      </w:r>
    </w:p>
    <w:p>
      <w:pPr>
        <w:pStyle w:val="BodyText"/>
      </w:pPr>
      <w:r>
        <w:t xml:space="preserve">There is no doubt that entertainment, as well as news, enjoys First Amendment protection. It is also true that entertainment itself can be important news.</w:t>
      </w:r>
      <w:r>
        <w:t xml:space="preserve"> </w:t>
      </w:r>
      <w:hyperlink r:id="rId56">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57">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58" w:name="notes-on-zacchini"/>
      <w:bookmarkEnd w:id="58"/>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6">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59" w:name="carson-v.-heres-johnny-portable-toilets-inc."/>
      <w:bookmarkEnd w:id="59"/>
      <w:r>
        <w:rPr>
          <w:i/>
        </w:rPr>
        <w:t xml:space="preserve">Carson v. Here's Johnny Portable Toilets, Inc.</w:t>
      </w:r>
    </w:p>
    <w:p>
      <w:pPr>
        <w:pStyle w:val="Heading6"/>
      </w:pPr>
      <w:bookmarkStart w:id="60" w:name="court-of-appeals-6th-circuit-1983"/>
      <w:bookmarkEnd w:id="60"/>
      <w:r>
        <w:t xml:space="preserve">Court of Appeals, 6th Circuit (1983)</w:t>
      </w:r>
    </w:p>
    <w:p>
      <w:pPr>
        <w:pStyle w:val="Compact"/>
        <w:numPr>
          <w:numId w:val="1005"/>
          <w:ilvl w:val="0"/>
        </w:numPr>
      </w:pPr>
      <w:hyperlink r:id="rId61">
        <w:r>
          <w:rPr>
            <w:rStyle w:val="Hyperlink"/>
          </w:rPr>
          <w:t xml:space="preserve">case on Google Scholar</w:t>
        </w:r>
      </w:hyperlink>
    </w:p>
    <w:p>
      <w:pPr>
        <w:pStyle w:val="Compact"/>
        <w:numPr>
          <w:numId w:val="1005"/>
          <w:ilvl w:val="0"/>
        </w:numPr>
      </w:pPr>
      <w:hyperlink r:id="rId62">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63" w:name="right-of-publicity-1"/>
      <w:bookmarkEnd w:id="63"/>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&amp;hellip; suggests to us that the Michigan courts would adopt the right. Michigan has recognized a right of privacy.]</w:t>
      </w:r>
    </w:p>
    <w:p>
      <w:pPr>
        <w:pStyle w:val="BodyText"/>
      </w:pPr>
      <w:hyperlink r:id="rId64">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advantage.&amp;hellip;</w:t>
      </w:r>
    </w:p>
    <w:p>
      <w:pPr>
        <w:pStyle w:val="FirstParagraph"/>
      </w:pPr>
      <w:r>
        <w:t xml:space="preserve">This fourth type has become known as the "right of publicity."</w:t>
      </w:r>
      <w:r>
        <w:t xml:space="preserve"> </w:t>
      </w:r>
      <w:hyperlink r:id="rId54">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 "right of publicity."</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 "to be let alone,"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4">
        <w:r>
          <w:rPr>
            <w:i/>
            <w:rStyle w:val="Hyperlink"/>
          </w:rPr>
          <w:t xml:space="preserve">Zacchini</w:t>
        </w:r>
      </w:hyperlink>
      <w:r>
        <w:t xml:space="preserve">.&amp;hellip;</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toilet company's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&amp;hellip; "The famous have an exclusive legal right during life to control and profit from the commercial use of their name and personality."</w:t>
      </w:r>
    </w:p>
    <w:p>
      <w:pPr>
        <w:pStyle w:val="BodyText"/>
      </w:pPr>
      <w:r>
        <w:t xml:space="preserve">The district court dismissed Carson's claim based on the right of publicity because the toilet company does not use Carson's name or likeness. &amp;hellip; It held that it "would not be prudent to allow recovery for a right of publicity claim which does not more specifically identify Johnny Carson." &amp;hellip;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The district court dismissed appellants' claim based on the right of publicity because appellee does not use Carson's name or likeness.</w:t>
      </w:r>
      <w:r>
        <w:t xml:space="preserve"> </w:t>
      </w:r>
      <w:hyperlink r:id="rId65">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65">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66">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 "likeness" 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67">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68">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 "that a stage or other</w:t>
      </w:r>
      <w:r>
        <w:t xml:space="preserve"> </w:t>
      </w:r>
      <w:r>
        <w:t xml:space="preserve">fictitious name can be so identified with the plaintiff that he is</w:t>
      </w:r>
      <w:r>
        <w:t xml:space="preserve"> </w:t>
      </w:r>
      <w:r>
        <w:t xml:space="preserve">entitled to protection against its use."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 "Mark Twain." 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68">
        <w:r>
          <w:rPr>
            <w:rStyle w:val="Hyperlink"/>
          </w:rPr>
          <w:t xml:space="preserve">280 N.W.2d at 137</w:t>
        </w:r>
      </w:hyperlink>
      <w:r>
        <w:t xml:space="preserve">.</w:t>
      </w:r>
    </w:p>
    <w:p>
      <w:pPr>
        <w:pStyle w:val="BodyText"/>
      </w:pPr>
      <w:r>
        <w:t xml:space="preserve">In this case, Earl Braxton,</w:t>
      </w:r>
      <w:r>
        <w:t xml:space="preserve"> </w:t>
      </w:r>
      <w:r>
        <w:t xml:space="preserve">president and owner of Here's Johnny Portable Toilets, Inc.,</w:t>
      </w:r>
      <w:r>
        <w:t xml:space="preserve"> </w:t>
      </w:r>
      <w:r>
        <w:t xml:space="preserve">admitted that he knew that the phrase</w:t>
      </w:r>
      <w:r>
        <w:t xml:space="preserve"> </w:t>
      </w:r>
      <w:r>
        <w:t xml:space="preserve">"Here's Johnny" had been used for years to introduce Carson.</w:t>
      </w:r>
      <w:r>
        <w:t xml:space="preserve"> </w:t>
      </w:r>
      <w:r>
        <w:t xml:space="preserve">Moreover, in the opening statement in the district court,</w:t>
      </w:r>
      <w:r>
        <w:t xml:space="preserve"> </w:t>
      </w:r>
      <w:r>
        <w:t xml:space="preserve">the toilet company's counsel stated:</w:t>
      </w:r>
    </w:p>
    <w:p>
      <w:pPr>
        <w:pStyle w:val="BlockText"/>
      </w:pPr>
      <w:r>
        <w:t xml:space="preserve">Now, we've stipulated in this case that the public tends to associate</w:t>
      </w:r>
      <w:r>
        <w:t xml:space="preserve"> </w:t>
      </w:r>
      <w:r>
        <w:t xml:space="preserve">the words "Johnny Carson", the words "Here's Johnny" 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 "Here's Johnny" name was selected by Braxton</w:t>
      </w:r>
      <w:r>
        <w:t xml:space="preserve"> </w:t>
      </w:r>
      <w:r>
        <w:t xml:space="preserve">because of its identification with Carson</w:t>
      </w:r>
      <w:r>
        <w:t xml:space="preserve"> </w:t>
      </w:r>
      <w:r>
        <w:t xml:space="preserve">was the clear inference from Braxton's testimony.&amp;hellip;</w:t>
      </w:r>
      <w:r>
        <w:t xml:space="preserve"> </w:t>
      </w:r>
      <w:r>
        <w:t xml:space="preserve">The proof showed without question</w:t>
      </w:r>
      <w:r>
        <w:t xml:space="preserve"> </w:t>
      </w:r>
      <w:r>
        <w:t xml:space="preserve">that the toilet company had appropriated Carson's identity</w:t>
      </w:r>
      <w:r>
        <w:t xml:space="preserve"> </w:t>
      </w:r>
      <w:r>
        <w:t xml:space="preserve">in connection with its corporate name and its product.&amp;hellip;</w:t>
      </w:r>
    </w:p>
    <w:p>
      <w:pPr>
        <w:pStyle w:val="BodyText"/>
      </w:pPr>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analysis.&amp;hellip;</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 "Here's Johnny" 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 "Here's Johnny."</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3"/>
      </w:pPr>
      <w:bookmarkStart w:id="69" w:name="matthews-v.-wozencraft"/>
      <w:bookmarkEnd w:id="69"/>
      <w:r>
        <w:rPr>
          <w:i/>
        </w:rPr>
        <w:t xml:space="preserve">Matthews v. Wozencraft</w:t>
      </w:r>
    </w:p>
    <w:p>
      <w:pPr>
        <w:pStyle w:val="Heading6"/>
      </w:pPr>
      <w:bookmarkStart w:id="70" w:name="th-cir.-1994"/>
      <w:bookmarkEnd w:id="70"/>
      <w:r>
        <w:t xml:space="preserve">(5th Cir. 1994)</w:t>
      </w:r>
    </w:p>
    <w:p>
      <w:pPr>
        <w:pStyle w:val="FirstParagraph"/>
      </w:pPr>
      <w:r>
        <w:t xml:space="preserve">This case introduces us to what happens</w:t>
      </w:r>
      <w:r>
        <w:t xml:space="preserve"> </w:t>
      </w:r>
      <w:r>
        <w:t xml:space="preserve">when there's no "life story rights" agreement.</w:t>
      </w:r>
      <w:r>
        <w:t xml:space="preserve"> </w:t>
      </w:r>
      <w:r>
        <w:t xml:space="preserve">In</w:t>
      </w:r>
      <w:r>
        <w:t xml:space="preserve"> </w:t>
      </w:r>
      <w:r>
        <w:rPr>
          <w:i/>
        </w:rPr>
        <w:t xml:space="preserve">Matthews v. Wozencraft</w:t>
      </w:r>
      <w:r>
        <w:t xml:space="preserve">, the Fifth Circuit Court of Appeals,</w:t>
      </w:r>
      <w:r>
        <w:t xml:space="preserve"> </w:t>
      </w:r>
      <w:r>
        <w:t xml:space="preserve">applying Texas law, said that, at least in Texas,</w:t>
      </w:r>
      <w:r>
        <w:t xml:space="preserve"> </w:t>
      </w:r>
      <w:r>
        <w:t xml:space="preserve">there's no such thing as a property interest in one's life story.</w:t>
      </w:r>
      <w:r>
        <w:t xml:space="preserve"> </w:t>
      </w:r>
      <w:r>
        <w:t xml:space="preserve">In passing, the Court distinguishes "life story rights" from celebrity/publicity rights.</w:t>
      </w:r>
    </w:p>
    <w:p>
      <w:pPr>
        <w:pStyle w:val="Compact"/>
        <w:numPr>
          <w:numId w:val="1007"/>
          <w:ilvl w:val="0"/>
        </w:numPr>
      </w:pPr>
      <w:hyperlink r:id="rId71">
        <w:r>
          <w:rPr>
            <w:rStyle w:val="Hyperlink"/>
          </w:rPr>
          <w:t xml:space="preserve">case on Google Scholar</w:t>
        </w:r>
      </w:hyperlink>
    </w:p>
    <w:p>
      <w:pPr>
        <w:pStyle w:val="Compact"/>
        <w:numPr>
          <w:numId w:val="1007"/>
          <w:ilvl w:val="0"/>
        </w:numPr>
      </w:pPr>
      <w:hyperlink r:id="rId72">
        <w:r>
          <w:rPr>
            <w:rStyle w:val="Hyperlink"/>
          </w:rPr>
          <w:t xml:space="preserve">how cited Google Scholar</w:t>
        </w:r>
      </w:hyperlink>
    </w:p>
    <w:p>
      <w:pPr>
        <w:pStyle w:val="Compact"/>
        <w:numPr>
          <w:numId w:val="1007"/>
          <w:ilvl w:val="0"/>
        </w:numPr>
      </w:pPr>
      <w:hyperlink r:id="rId73">
        <w:r>
          <w:rPr>
            <w:rStyle w:val="Hyperlink"/>
          </w:rPr>
          <w:t xml:space="preserve">case on Westlaw</w:t>
        </w:r>
      </w:hyperlink>
    </w:p>
    <w:p>
      <w:pPr>
        <w:pStyle w:val="Compact"/>
        <w:numPr>
          <w:numId w:val="1007"/>
          <w:ilvl w:val="0"/>
        </w:numPr>
      </w:pPr>
      <w:hyperlink r:id="rId7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FirstParagraph"/>
      </w:pPr>
      <w:r>
        <w:t xml:space="preserve">JERRY E. SMITH, Circuit Judge:</w:t>
      </w:r>
    </w:p>
    <w:p>
      <w:pPr>
        <w:pStyle w:val="BodyText"/>
      </w:pPr>
      <w:r>
        <w:t xml:space="preserve">Prior to 1979, Creig Matthews was an undercover narcotics officer with</w:t>
      </w:r>
      <w:r>
        <w:t xml:space="preserve"> </w:t>
      </w:r>
      <w:r>
        <w:t xml:space="preserve">the Plano, Texas, police department, in charge of the criminal</w:t>
      </w:r>
      <w:r>
        <w:t xml:space="preserve"> </w:t>
      </w:r>
      <w:r>
        <w:t xml:space="preserve">investigation division. Kim Wozencraft (Kim Ramsey at the time) was</w:t>
      </w:r>
      <w:r>
        <w:t xml:space="preserve"> </w:t>
      </w:r>
      <w:r>
        <w:t xml:space="preserve">hired as a police officer. Matthews trained and then worked with her as</w:t>
      </w:r>
      <w:r>
        <w:t xml:space="preserve"> </w:t>
      </w:r>
      <w:r>
        <w:t xml:space="preserve">an undercover narcotics officer making drug purchases. Both of them used</w:t>
      </w:r>
      <w:r>
        <w:t xml:space="preserve"> </w:t>
      </w:r>
      <w:r>
        <w:t xml:space="preserve">drugs, primarily marijuana and cocaine, while on the Plano drug</w:t>
      </w:r>
      <w:r>
        <w:t xml:space="preserve"> </w:t>
      </w:r>
      <w:r>
        <w:t xml:space="preserve">assignment.</w:t>
      </w:r>
    </w:p>
    <w:p>
      <w:pPr>
        <w:pStyle w:val="BodyText"/>
      </w:pPr>
      <w:r>
        <w:t xml:space="preserve">In August 1978, Matthews was hired by the Tyler, Texas, police</w:t>
      </w:r>
      <w:r>
        <w:t xml:space="preserve"> </w:t>
      </w:r>
      <w:r>
        <w:t xml:space="preserve">department as an undercover narcotics officer, where he used the aliases</w:t>
      </w:r>
      <w:r>
        <w:t xml:space="preserve"> </w:t>
      </w:r>
      <w:r>
        <w:t xml:space="preserve">"Jim" and "Jim Myers." Early the next year, Wozencraft joined him in</w:t>
      </w:r>
      <w:r>
        <w:t xml:space="preserve"> </w:t>
      </w:r>
      <w:r>
        <w:t xml:space="preserve">Tyler as an undercover drug officer. Together they conducted a drug</w:t>
      </w:r>
      <w:r>
        <w:t xml:space="preserve"> </w:t>
      </w:r>
      <w:r>
        <w:t xml:space="preserve">investigation that lasted until April 24, 1979. During this time, they</w:t>
      </w:r>
      <w:r>
        <w:t xml:space="preserve"> </w:t>
      </w:r>
      <w:r>
        <w:t xml:space="preserve">became romantically involved and began living together.</w:t>
      </w:r>
    </w:p>
    <w:p>
      <w:pPr>
        <w:pStyle w:val="BodyText"/>
      </w:pPr>
      <w:r>
        <w:t xml:space="preserve">Their primary target in Tyler was Ken Bora, for whom Matthews worked</w:t>
      </w:r>
      <w:r>
        <w:t xml:space="preserve"> </w:t>
      </w:r>
      <w:r>
        <w:t xml:space="preserve">undercover as a bartender. After several futile attempts to buy drugs</w:t>
      </w:r>
      <w:r>
        <w:t xml:space="preserve"> </w:t>
      </w:r>
      <w:r>
        <w:t xml:space="preserve">from Bora, Matthews and Wozencraft, on instruction from Tyler police</w:t>
      </w:r>
      <w:r>
        <w:t xml:space="preserve"> </w:t>
      </w:r>
      <w:r>
        <w:t xml:space="preserve">chief Willie Hardy, made a phony "stash" case on Bora.</w:t>
      </w:r>
    </w:p>
    <w:p>
      <w:pPr>
        <w:pStyle w:val="BodyText"/>
      </w:pPr>
      <w:r>
        <w:t xml:space="preserve">During the investigation, Matthews and Wozencraft used drugs both to</w:t>
      </w:r>
      <w:r>
        <w:t xml:space="preserve"> </w:t>
      </w:r>
      <w:r>
        <w:t xml:space="preserve">make drug cases and for personal use, eventually becoming addicted. They</w:t>
      </w:r>
      <w:r>
        <w:t xml:space="preserve"> </w:t>
      </w:r>
      <w:r>
        <w:t xml:space="preserve">informed Hardy of Matthews's drug problem. He gave them several days off</w:t>
      </w:r>
      <w:r>
        <w:t xml:space="preserve"> </w:t>
      </w:r>
      <w:r>
        <w:t xml:space="preserve">but insisted that they continue with the investigation. At the end of</w:t>
      </w:r>
      <w:r>
        <w:t xml:space="preserve"> </w:t>
      </w:r>
      <w:r>
        <w:t xml:space="preserve">the Tyler investigation, Matthews and Wozencraft assembled over 200 drug</w:t>
      </w:r>
      <w:r>
        <w:t xml:space="preserve"> </w:t>
      </w:r>
      <w:r>
        <w:t xml:space="preserve">cases, involving the arrest of 100 defendants.</w:t>
      </w:r>
    </w:p>
    <w:p>
      <w:pPr>
        <w:pStyle w:val="BodyText"/>
      </w:pPr>
      <w:r>
        <w:t xml:space="preserve">At the conclusion of the investigation, Matthews and Wozencraft were</w:t>
      </w:r>
      <w:r>
        <w:t xml:space="preserve"> </w:t>
      </w:r>
      <w:r>
        <w:t xml:space="preserve">attacked by a shotgun-wielding assailant at Wozencraft's mobile home.</w:t>
      </w:r>
      <w:r>
        <w:t xml:space="preserve"> </w:t>
      </w:r>
      <w:r>
        <w:t xml:space="preserve">She returned fire and was not seriously hurt; Matthews was severely</w:t>
      </w:r>
      <w:r>
        <w:t xml:space="preserve"> </w:t>
      </w:r>
      <w:r>
        <w:t xml:space="preserve">wounded in the arm and leg and was hospitalized for over a month. After</w:t>
      </w:r>
      <w:r>
        <w:t xml:space="preserve"> </w:t>
      </w:r>
      <w:r>
        <w:t xml:space="preserve">being released from the hospital, Hardy placed them in a house on the</w:t>
      </w:r>
      <w:r>
        <w:t xml:space="preserve"> </w:t>
      </w:r>
      <w:r>
        <w:t xml:space="preserve">outskirts of Tyler. While there, they were visited by H. Ross Perot, who</w:t>
      </w:r>
      <w:r>
        <w:t xml:space="preserve"> </w:t>
      </w:r>
      <w:r>
        <w:t xml:space="preserve">at the time was serving as chairman of a special crime commission. Perot</w:t>
      </w:r>
      <w:r>
        <w:t xml:space="preserve"> </w:t>
      </w:r>
      <w:r>
        <w:t xml:space="preserve">moved them to a secure safe-house in the Dallas area and arranged for</w:t>
      </w:r>
      <w:r>
        <w:t xml:space="preserve"> </w:t>
      </w:r>
      <w:r>
        <w:t xml:space="preserve">Matthews to receive medical treatment for his wounds.</w:t>
      </w:r>
    </w:p>
    <w:p>
      <w:pPr>
        <w:pStyle w:val="BodyText"/>
      </w:pPr>
      <w:r>
        <w:t xml:space="preserve">During this time, Matthews and Wozencraft began testifying at the trials</w:t>
      </w:r>
      <w:r>
        <w:t xml:space="preserve"> </w:t>
      </w:r>
      <w:r>
        <w:t xml:space="preserve">of some of the drug defendants. They falsely denied using drugs during</w:t>
      </w:r>
      <w:r>
        <w:t xml:space="preserve"> </w:t>
      </w:r>
      <w:r>
        <w:t xml:space="preserve">the investigation and falsely testified that they had bought cocaine</w:t>
      </w:r>
      <w:r>
        <w:t xml:space="preserve"> </w:t>
      </w:r>
      <w:r>
        <w:t xml:space="preserve">from Bora.</w:t>
      </w:r>
    </w:p>
    <w:p>
      <w:pPr>
        <w:pStyle w:val="BodyText"/>
      </w:pPr>
      <w:r>
        <w:t xml:space="preserve">Evidence arose of their misconduct. Eventually they confessed, pleaded</w:t>
      </w:r>
      <w:r>
        <w:t xml:space="preserve"> </w:t>
      </w:r>
      <w:r>
        <w:t xml:space="preserve">guilty to criminal informations alleging civil rights violations, and</w:t>
      </w:r>
      <w:r>
        <w:t xml:space="preserve"> </w:t>
      </w:r>
      <w:r>
        <w:t xml:space="preserve">were sentenced to terms in federal prison.</w:t>
      </w:r>
    </w:p>
    <w:p>
      <w:pPr>
        <w:pStyle w:val="Heading3"/>
      </w:pPr>
      <w:bookmarkStart w:id="75" w:name="the-prison-agreement"/>
      <w:bookmarkEnd w:id="75"/>
      <w:r>
        <w:t xml:space="preserve">The Prison Agreement</w:t>
      </w:r>
    </w:p>
    <w:p>
      <w:pPr>
        <w:pStyle w:val="FirstParagraph"/>
      </w:pPr>
      <w:r>
        <w:t xml:space="preserve">While in prison, Wozencraft, Matthews, and fellow inmate John Rubien</w:t>
      </w:r>
      <w:r>
        <w:t xml:space="preserve"> </w:t>
      </w:r>
      <w:r>
        <w:t xml:space="preserve">signed the contract at issue in this case (the "Prison Agreement").</w:t>
      </w:r>
      <w:r>
        <w:t xml:space="preserve"> </w:t>
      </w:r>
      <w:r>
        <w:t xml:space="preserve">Matthews and Wozencraft were married at the time the contract was</w:t>
      </w:r>
      <w:r>
        <w:t xml:space="preserve"> </w:t>
      </w:r>
      <w:r>
        <w:t xml:space="preserve">formed, and Wozencraft is identified in it as "Kimberly Ramsey</w:t>
      </w:r>
      <w:r>
        <w:t xml:space="preserve"> </w:t>
      </w:r>
      <w:r>
        <w:t xml:space="preserve">Matthews." The contract specifies that Wozencraft and Rubien were to</w:t>
      </w:r>
      <w:r>
        <w:t xml:space="preserve"> </w:t>
      </w:r>
      <w:r>
        <w:t xml:space="preserve">co-author a book based upon Matthews and Wozencraft's story about the</w:t>
      </w:r>
      <w:r>
        <w:t xml:space="preserve"> </w:t>
      </w:r>
      <w:r>
        <w:t xml:space="preserve">undercover investigations.</w:t>
      </w:r>
    </w:p>
    <w:p>
      <w:pPr>
        <w:pStyle w:val="BodyText"/>
      </w:pPr>
      <w:r>
        <w:t xml:space="preserve">Wozencraft was released from prison in the spring of 1983. She divorced</w:t>
      </w:r>
      <w:r>
        <w:t xml:space="preserve"> </w:t>
      </w:r>
      <w:r>
        <w:t xml:space="preserve">Matthews and moved to New York City to join Rubien. She already had</w:t>
      </w:r>
      <w:r>
        <w:t xml:space="preserve"> </w:t>
      </w:r>
      <w:r>
        <w:t xml:space="preserve">started writing the book. She described events in the book, linking them</w:t>
      </w:r>
      <w:r>
        <w:t xml:space="preserve"> </w:t>
      </w:r>
      <w:r>
        <w:t xml:space="preserve">to specific events that had transpired during the investigations. The</w:t>
      </w:r>
      <w:r>
        <w:t xml:space="preserve"> </w:t>
      </w:r>
      <w:r>
        <w:t xml:space="preserve">co-authored book by Wozencraft and Rubien was not finished during the</w:t>
      </w:r>
      <w:r>
        <w:t xml:space="preserve"> </w:t>
      </w:r>
      <w:r>
        <w:t xml:space="preserve">one-year period provided for by the Prison Agreement.</w:t>
      </w:r>
    </w:p>
    <w:p>
      <w:pPr>
        <w:pStyle w:val="BodyText"/>
      </w:pPr>
      <w:r>
        <w:t xml:space="preserve">Wozencraft received a masters degree from Columbia University. Her</w:t>
      </w:r>
      <w:r>
        <w:t xml:space="preserve"> </w:t>
      </w:r>
      <w:r>
        <w:t xml:space="preserve">thesis became the basis for the book entitled RUSH. She sold her</w:t>
      </w:r>
      <w:r>
        <w:t xml:space="preserve"> </w:t>
      </w:r>
      <w:r>
        <w:t xml:space="preserve">manuscript to Random House and sold the movie rights for one million</w:t>
      </w:r>
      <w:r>
        <w:t xml:space="preserve"> </w:t>
      </w:r>
      <w:r>
        <w:t xml:space="preserve">dollars.</w:t>
      </w:r>
    </w:p>
    <w:p>
      <w:pPr>
        <w:pStyle w:val="Heading3"/>
      </w:pPr>
      <w:bookmarkStart w:id="76" w:name="based-upon"/>
      <w:bookmarkEnd w:id="76"/>
      <w:r>
        <w:t xml:space="preserve">Based Upon?</w:t>
      </w:r>
    </w:p>
    <w:p>
      <w:pPr>
        <w:pStyle w:val="FirstParagraph"/>
      </w:pPr>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pPr>
        <w:pStyle w:val="BodyText"/>
      </w:pPr>
      <w:r>
        <w:t xml:space="preserve">Matthews concedes that the issue raised in RUSH, i.e., corruption of law</w:t>
      </w:r>
      <w:r>
        <w:t xml:space="preserve"> </w:t>
      </w:r>
      <w:r>
        <w:t xml:space="preserve">enforcement officers, is a matter of public concern. His willingness to</w:t>
      </w:r>
      <w:r>
        <w:t xml:space="preserve"> </w:t>
      </w:r>
      <w:r>
        <w:t xml:space="preserve">discuss the book with the media has made him a public figure.</w:t>
      </w:r>
      <w:r>
        <w:t xml:space="preserve"> </w:t>
      </w:r>
      <w:r>
        <w:t xml:space="preserve">Furthermore, prior to the publication of RUSH, Matthews cooperated with</w:t>
      </w:r>
      <w:r>
        <w:t xml:space="preserve"> </w:t>
      </w:r>
      <w:r>
        <w:t xml:space="preserve">an author named David Ellsworth in publishing SMITH COUNTY JUSTICE, a</w:t>
      </w:r>
      <w:r>
        <w:t xml:space="preserve"> </w:t>
      </w:r>
      <w:r>
        <w:t xml:space="preserve">non-fiction book detailing Matthews's life and the events surrounding</w:t>
      </w:r>
      <w:r>
        <w:t xml:space="preserve"> </w:t>
      </w:r>
      <w:r>
        <w:t xml:space="preserve">the Tyler operation.</w:t>
      </w:r>
    </w:p>
    <w:p>
      <w:pPr>
        <w:pStyle w:val="BodyText"/>
      </w:pPr>
      <w:r>
        <w:t xml:space="preserve">Matthews has received no compensation for the defendants' use,</w:t>
      </w:r>
      <w:r>
        <w:t xml:space="preserve"> </w:t>
      </w:r>
      <w:r>
        <w:t xml:space="preserve">portrayal, or promotion of his likeness in the book and movie.</w:t>
      </w:r>
    </w:p>
    <w:p>
      <w:pPr>
        <w:pStyle w:val="Heading3"/>
      </w:pPr>
      <w:bookmarkStart w:id="77" w:name="appropriation-of-life-story"/>
      <w:bookmarkEnd w:id="77"/>
      <w:r>
        <w:t xml:space="preserve">Appropriation of Life Story?</w:t>
      </w:r>
    </w:p>
    <w:p>
      <w:pPr>
        <w:pStyle w:val="FirstParagraph"/>
      </w:pPr>
      <w:r>
        <w:t xml:space="preserve">The district court granted summary judgment on Matthews's appropriation</w:t>
      </w:r>
      <w:r>
        <w:t xml:space="preserve"> </w:t>
      </w:r>
      <w:r>
        <w:t xml:space="preserve">claim because Texas law does not recognize a cause of action for</w:t>
      </w:r>
      <w:r>
        <w:t xml:space="preserve"> </w:t>
      </w:r>
      <w:r>
        <w:t xml:space="preserve">appropriation of one's life story and because if it did, there would be</w:t>
      </w:r>
      <w:r>
        <w:t xml:space="preserve"> </w:t>
      </w:r>
      <w:r>
        <w:t xml:space="preserve">an exception for biographies and "fictionalized biographies." We affirm</w:t>
      </w:r>
      <w:r>
        <w:t xml:space="preserve"> </w:t>
      </w:r>
      <w:r>
        <w:t xml:space="preserve">the summary judgment.</w:t>
      </w:r>
    </w:p>
    <w:p>
      <w:pPr>
        <w:pStyle w:val="BodyText"/>
      </w:pPr>
      <w:r>
        <w:t xml:space="preserve">"One who appropriates to his own use or benefit the name or likeness of</w:t>
      </w:r>
      <w:r>
        <w:t xml:space="preserve"> </w:t>
      </w:r>
      <w:r>
        <w:t xml:space="preserve">another is subject to liability to the other for invasion of his</w:t>
      </w:r>
      <w:r>
        <w:t xml:space="preserve"> </w:t>
      </w:r>
      <w:r>
        <w:t xml:space="preserve">privacy." RESTATEMENT (SECOND) OF TORTS (the "RESTATEMENT") § 652C</w:t>
      </w:r>
      <w:r>
        <w:t xml:space="preserve"> </w:t>
      </w:r>
      <w:r>
        <w:t xml:space="preserve">(1977).</w:t>
      </w:r>
    </w:p>
    <w:p>
      <w:pPr>
        <w:pStyle w:val="BodyText"/>
      </w:pPr>
      <w:r>
        <w:t xml:space="preserve">There are three elements to a misappropriation claim under Texas law:</w:t>
      </w:r>
    </w:p>
    <w:p>
      <w:pPr>
        <w:pStyle w:val="Compact"/>
        <w:numPr>
          <w:numId w:val="1008"/>
          <w:ilvl w:val="0"/>
        </w:numPr>
      </w:pPr>
      <w:r>
        <w:t xml:space="preserve">that the defendant appropriated the plaintiff's name or likeness for</w:t>
      </w:r>
      <w:r>
        <w:t xml:space="preserve"> </w:t>
      </w:r>
      <w:r>
        <w:t xml:space="preserve">the value associated with it, and not in an incidental manner or for a</w:t>
      </w:r>
      <w:r>
        <w:t xml:space="preserve"> </w:t>
      </w:r>
      <w:r>
        <w:t xml:space="preserve">newsworthy purpose;</w:t>
      </w:r>
    </w:p>
    <w:p>
      <w:pPr>
        <w:pStyle w:val="Compact"/>
        <w:numPr>
          <w:numId w:val="1008"/>
          <w:ilvl w:val="0"/>
        </w:numPr>
      </w:pPr>
      <w:r>
        <w:t xml:space="preserve">that the plaintiff can be identified from the</w:t>
      </w:r>
      <w:r>
        <w:t xml:space="preserve"> </w:t>
      </w:r>
      <w:r>
        <w:t xml:space="preserve">publication; and</w:t>
      </w:r>
    </w:p>
    <w:p>
      <w:pPr>
        <w:pStyle w:val="Compact"/>
        <w:numPr>
          <w:numId w:val="1008"/>
          <w:ilvl w:val="0"/>
        </w:numPr>
      </w:pPr>
      <w:r>
        <w:t xml:space="preserve">that there was some advantage or benefit to the defendant.</w:t>
      </w:r>
    </w:p>
    <w:p>
      <w:pPr>
        <w:pStyle w:val="FirstParagraph"/>
      </w:pPr>
      <w:r>
        <w:rPr>
          <w:i/>
        </w:rPr>
        <w:t xml:space="preserve">See</w:t>
      </w:r>
      <w:r>
        <w:t xml:space="preserve"> </w:t>
      </w:r>
      <w:hyperlink r:id="rId78">
        <w:r>
          <w:rPr>
            <w:i/>
            <w:rStyle w:val="Hyperlink"/>
          </w:rPr>
          <w:t xml:space="preserve">Faloona v. Hustler Magazine</w:t>
        </w:r>
        <w:r>
          <w:rPr>
            <w:rStyle w:val="Hyperlink"/>
          </w:rPr>
          <w:t xml:space="preserve"> </w:t>
        </w:r>
        <w:r>
          <w:rPr>
            <w:rStyle w:val="Hyperlink"/>
          </w:rPr>
          <w:t xml:space="preserve">(5th Cir. 1986)</w:t>
        </w:r>
      </w:hyperlink>
      <w:r>
        <w:t xml:space="preserve">.</w:t>
      </w:r>
    </w:p>
    <w:p>
      <w:pPr>
        <w:pStyle w:val="BodyText"/>
      </w:pPr>
      <w:r>
        <w:t xml:space="preserve">Under this test, Matthews is unable to create any issue of material fact</w:t>
      </w:r>
      <w:r>
        <w:t xml:space="preserve"> </w:t>
      </w:r>
      <w:r>
        <w:t xml:space="preserve">as to liability. There is no question that Matthews can be identified from the</w:t>
      </w:r>
      <w:r>
        <w:t xml:space="preserve"> </w:t>
      </w:r>
      <w:r>
        <w:t xml:space="preserve">publication, at least to the point of creating a genuine issue of fact</w:t>
      </w:r>
      <w:r>
        <w:t xml:space="preserve"> </w:t>
      </w:r>
      <w:r>
        <w:t xml:space="preserve">as to the identity of the Jim Raynor character. He claims that his life</w:t>
      </w:r>
      <w:r>
        <w:t xml:space="preserve"> </w:t>
      </w:r>
      <w:r>
        <w:t xml:space="preserve">story was appropriated for Wozencraft's commercial benefit. The</w:t>
      </w:r>
      <w:r>
        <w:t xml:space="preserve"> </w:t>
      </w:r>
      <w:r>
        <w:t xml:space="preserve">protection of "name or likeness" under Texas law, however, does not</w:t>
      </w:r>
      <w:r>
        <w:t xml:space="preserve"> </w:t>
      </w:r>
      <w:r>
        <w:t xml:space="preserve">include a person's life story. If Texas law did protect such a right, it</w:t>
      </w:r>
      <w:r>
        <w:t xml:space="preserve"> </w:t>
      </w:r>
      <w:r>
        <w:t xml:space="preserve">was not "appropriated." And, even if Matthews could state a claim,</w:t>
      </w:r>
      <w:r>
        <w:t xml:space="preserve"> </w:t>
      </w:r>
      <w:r>
        <w:t xml:space="preserve">Wozencraft would be protected by an exception in the state tort law.</w:t>
      </w:r>
    </w:p>
    <w:p>
      <w:pPr>
        <w:pStyle w:val="BodyText"/>
      </w:pPr>
      <w:r>
        <w:t xml:space="preserve">Tortious liability for appropriation of a name or likeness is intended</w:t>
      </w:r>
      <w:r>
        <w:t xml:space="preserve"> </w:t>
      </w:r>
      <w:r>
        <w:t xml:space="preserve">to protect the value of an individual's notoriety or skill. Thus, the</w:t>
      </w:r>
      <w:r>
        <w:t xml:space="preserve"> </w:t>
      </w:r>
      <w:r>
        <w:t xml:space="preserve">RESTATEMENT provides for liability only if:</w:t>
      </w:r>
    </w:p>
    <w:p>
      <w:pPr>
        <w:pStyle w:val="BlockText"/>
      </w:pPr>
      <w:r>
        <w:t xml:space="preserve">the defendant &amp;hellip; appropriated to his own use or benefit the reputation, prestige, social or commercial standing, public interest or other values of the plaintiff's name or likeness.</w:t>
      </w:r>
    </w:p>
    <w:p>
      <w:pPr>
        <w:pStyle w:val="FirstParagraph"/>
      </w:pPr>
      <w:r>
        <w:t xml:space="preserve">RESTATEMENT § 652C, comment c.</w:t>
      </w:r>
    </w:p>
    <w:p>
      <w:pPr>
        <w:pStyle w:val="BodyText"/>
      </w:pPr>
      <w:r>
        <w:t xml:space="preserve">The misappropriation tort does not protect one's name</w:t>
      </w:r>
      <w:r>
        <w:t xml:space="preserve"> </w:t>
      </w:r>
      <w:r>
        <w:rPr>
          <w:i/>
        </w:rPr>
        <w:t xml:space="preserve">per se;</w:t>
      </w:r>
      <w:r>
        <w:t xml:space="preserve"> </w:t>
      </w:r>
      <w:r>
        <w:t xml:space="preserve">rather, it protects the value associated with that name.</w:t>
      </w:r>
    </w:p>
    <w:p>
      <w:pPr>
        <w:pStyle w:val="BodyText"/>
      </w:pPr>
      <w:r>
        <w:t xml:space="preserve">Appropriation of a name or likeness generally becomes actionable when</w:t>
      </w:r>
      <w:r>
        <w:t xml:space="preserve"> </w:t>
      </w:r>
      <w:r>
        <w:t xml:space="preserve">used "to advertise the defendant's business or product, or for some</w:t>
      </w:r>
      <w:r>
        <w:t xml:space="preserve"> </w:t>
      </w:r>
      <w:r>
        <w:t xml:space="preserve">similar commercial purpose." RESTATEMENT § 652C, comment b. The value of</w:t>
      </w:r>
      <w:r>
        <w:t xml:space="preserve"> </w:t>
      </w:r>
      <w:r>
        <w:t xml:space="preserve">one's likeness is not "appropriated when it is published for purposes</w:t>
      </w:r>
      <w:r>
        <w:t xml:space="preserve"> </w:t>
      </w:r>
      <w:r>
        <w:t xml:space="preserve">other than taking advantage of his reputation, prestige, or other value</w:t>
      </w:r>
      <w:r>
        <w:t xml:space="preserve"> </w:t>
      </w:r>
      <w:r>
        <w:t xml:space="preserve">associated with him, for purposes of publicity&amp;hellip; It is only when the</w:t>
      </w:r>
      <w:r>
        <w:t xml:space="preserve"> </w:t>
      </w:r>
      <w:r>
        <w:t xml:space="preserve">publicity is given for the purpose of appropriating to the defendant's</w:t>
      </w:r>
      <w:r>
        <w:t xml:space="preserve"> </w:t>
      </w:r>
      <w:r>
        <w:t xml:space="preserve">benefit the commercial or other values associated with the name or the</w:t>
      </w:r>
      <w:r>
        <w:t xml:space="preserve"> </w:t>
      </w:r>
      <w:r>
        <w:t xml:space="preserve">likeness that the right of privacy is invaded." RESTATEMENT § 652C,</w:t>
      </w:r>
      <w:r>
        <w:t xml:space="preserve"> </w:t>
      </w:r>
      <w:r>
        <w:t xml:space="preserve">comment d.</w:t>
      </w:r>
    </w:p>
    <w:p>
      <w:pPr>
        <w:pStyle w:val="BodyText"/>
      </w:pPr>
      <w:r>
        <w:t xml:space="preserve">There is nothing unique about Matthew's name or likeness that creates</w:t>
      </w:r>
      <w:r>
        <w:t xml:space="preserve"> </w:t>
      </w:r>
      <w:r>
        <w:t xml:space="preserve">value for Wozencraft to appropriate. She is not "cashing-in" on goodwill</w:t>
      </w:r>
      <w:r>
        <w:t xml:space="preserve"> </w:t>
      </w:r>
      <w:r>
        <w:t xml:space="preserve">associated with his name but is simply converting factual events that</w:t>
      </w:r>
      <w:r>
        <w:t xml:space="preserve"> </w:t>
      </w:r>
      <w:r>
        <w:t xml:space="preserve">happen to include Matthews into fiction. The use of his name does not</w:t>
      </w:r>
      <w:r>
        <w:t xml:space="preserve"> </w:t>
      </w:r>
      <w:r>
        <w:t xml:space="preserve">provide value to the book, nor is she using his name to "endorse" the</w:t>
      </w:r>
      <w:r>
        <w:t xml:space="preserve"> </w:t>
      </w:r>
      <w:r>
        <w:t xml:space="preserve">book to the public, because his name has no independent value. In short,</w:t>
      </w:r>
      <w:r>
        <w:t xml:space="preserve"> </w:t>
      </w:r>
      <w:r>
        <w:t xml:space="preserve">Matthew's life story, while interesting to readers and film-goers, is</w:t>
      </w:r>
      <w:r>
        <w:t xml:space="preserve"> </w:t>
      </w:r>
      <w:r>
        <w:t xml:space="preserve">not a "name or likeness" for purposes of applying the misappropriation</w:t>
      </w:r>
      <w:r>
        <w:t xml:space="preserve"> </w:t>
      </w:r>
      <w:r>
        <w:t xml:space="preserve">doctrine.</w:t>
      </w:r>
    </w:p>
    <w:p>
      <w:pPr>
        <w:pStyle w:val="BodyText"/>
      </w:pPr>
      <w:r>
        <w:t xml:space="preserve">Protecting one's name or likeness from misappropriation is socially</w:t>
      </w:r>
      <w:r>
        <w:t xml:space="preserve"> </w:t>
      </w:r>
      <w:r>
        <w:t xml:space="preserve">beneficial because it encourages people to develop special skills, which</w:t>
      </w:r>
      <w:r>
        <w:t xml:space="preserve"> </w:t>
      </w:r>
      <w:r>
        <w:t xml:space="preserve">then can be used for commercial advantage. Associating one's goodwill</w:t>
      </w:r>
      <w:r>
        <w:t xml:space="preserve"> </w:t>
      </w:r>
      <w:r>
        <w:t xml:space="preserve">with a product transmits valuable information to consumers. Without the</w:t>
      </w:r>
      <w:r>
        <w:t xml:space="preserve"> </w:t>
      </w:r>
      <w:r>
        <w:t xml:space="preserve">artificial scarcity created by the protection of one's likeness, that</w:t>
      </w:r>
      <w:r>
        <w:t xml:space="preserve"> </w:t>
      </w:r>
      <w:r>
        <w:t xml:space="preserve">likeness would be exploited commercially until the marginal</w:t>
      </w:r>
      <w:r>
        <w:t xml:space="preserve"> </w:t>
      </w:r>
      <w:r>
        <w:t xml:space="preserve">value of its use is zero.</w:t>
      </w:r>
    </w:p>
    <w:p>
      <w:pPr>
        <w:pStyle w:val="BodyText"/>
      </w:pPr>
      <w:r>
        <w:t xml:space="preserve">For instance, if a well-known public figure's picture could be used</w:t>
      </w:r>
      <w:r>
        <w:t xml:space="preserve"> </w:t>
      </w:r>
      <w:r>
        <w:t xml:space="preserve">freely to endorse commercial products, the value of his likeness would</w:t>
      </w:r>
      <w:r>
        <w:t xml:space="preserve"> </w:t>
      </w:r>
      <w:r>
        <w:t xml:space="preserve">disappear. Creating artificial scarcity preserves the value to him, to</w:t>
      </w:r>
      <w:r>
        <w:t xml:space="preserve"> </w:t>
      </w:r>
      <w:r>
        <w:t xml:space="preserve">advertisers who contract for the use of his likeness, and in the end, to</w:t>
      </w:r>
      <w:r>
        <w:t xml:space="preserve"> </w:t>
      </w:r>
      <w:r>
        <w:t xml:space="preserve">consumers, who receive information from the knowledge that he is being</w:t>
      </w:r>
      <w:r>
        <w:t xml:space="preserve"> </w:t>
      </w:r>
      <w:r>
        <w:t xml:space="preserve">paid to endorse the product.</w:t>
      </w:r>
      <w:r>
        <w:t xml:space="preserve"> </w:t>
      </w:r>
      <w:r>
        <w:rPr>
          <w:i/>
        </w:rPr>
        <w:t xml:space="preserve">See</w:t>
      </w:r>
      <w:r>
        <w:t xml:space="preserve"> </w:t>
      </w:r>
      <w:hyperlink r:id="rId79">
        <w:r>
          <w:rPr>
            <w:i/>
            <w:rStyle w:val="Hyperlink"/>
          </w:rPr>
          <w:t xml:space="preserve">Kimbrough v. Coca-Cola</w:t>
        </w:r>
        <w:r>
          <w:rPr>
            <w:rStyle w:val="Hyperlink"/>
          </w:rPr>
          <w:t xml:space="preserve"> </w:t>
        </w:r>
        <w:r>
          <w:rPr>
            <w:rStyle w:val="Hyper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pPr>
        <w:pStyle w:val="BodyText"/>
      </w:pPr>
      <w:r>
        <w:t xml:space="preserve">As Judge Posner writes,</w:t>
      </w:r>
    </w:p>
    <w:p>
      <w:pPr>
        <w:pStyle w:val="BlockText"/>
      </w:pPr>
      <w:r>
        <w:t xml:space="preserve">It might seem that creating a property right in such uses would not</w:t>
      </w:r>
      <w:r>
        <w:t xml:space="preserve"> </w:t>
      </w:r>
      <w:r>
        <w:t xml:space="preserve">lead to any socially worthwhile investment but would simply enrich</w:t>
      </w:r>
      <w:r>
        <w:t xml:space="preserve"> </w:t>
      </w:r>
      <w:r>
        <w:t xml:space="preserve">already wealthy celebrities. However, whatever information value a</w:t>
      </w:r>
      <w:r>
        <w:t xml:space="preserve"> </w:t>
      </w:r>
      <w:r>
        <w:t xml:space="preserve">celebrity's endorsement has to consumers will be lost if every</w:t>
      </w:r>
      <w:r>
        <w:t xml:space="preserve"> </w:t>
      </w:r>
      <w:r>
        <w:t xml:space="preserve">advertiser can use the celebrity's name and picture.&amp;hellip; [T]he value of</w:t>
      </w:r>
      <w:r>
        <w:t xml:space="preserve"> </w:t>
      </w:r>
      <w:r>
        <w:t xml:space="preserve">associating the celebrity's name with a particular product will be</w:t>
      </w:r>
      <w:r>
        <w:t xml:space="preserve"> </w:t>
      </w:r>
      <w:r>
        <w:t xml:space="preserve">diminished if others are permitted to use the name in association with</w:t>
      </w:r>
      <w:r>
        <w:t xml:space="preserve"> </w:t>
      </w:r>
      <w:r>
        <w:t xml:space="preserve">their products.</w:t>
      </w:r>
    </w:p>
    <w:p>
      <w:pPr>
        <w:pStyle w:val="FirstParagraph"/>
      </w:pPr>
      <w:r>
        <w:t xml:space="preserve">RICHARD A. POSNER, ECONOMIC ANALYSIS OF LAW § 3.3, at 43 (4th ed. 1992).</w:t>
      </w:r>
    </w:p>
    <w:p>
      <w:pPr>
        <w:pStyle w:val="BodyText"/>
      </w:pPr>
      <w:r>
        <w:t xml:space="preserve">The tort of misappropriation of name or likeness, therefore, creates</w:t>
      </w:r>
      <w:r>
        <w:t xml:space="preserve"> </w:t>
      </w:r>
      <w:r>
        <w:t xml:space="preserve">property rights only where the failure to do so would result in the</w:t>
      </w:r>
      <w:r>
        <w:t xml:space="preserve"> </w:t>
      </w:r>
      <w:r>
        <w:t xml:space="preserve">excessive exploitation of its value.</w:t>
      </w:r>
    </w:p>
    <w:p>
      <w:pPr>
        <w:pStyle w:val="BodyText"/>
      </w:pPr>
      <w:r>
        <w:t xml:space="preserve">[Thus, the term "likeness" includes such things as pictures, drawings, and the use of a singer's distinctive voice.]</w:t>
      </w:r>
    </w:p>
    <w:p>
      <w:pPr>
        <w:pStyle w:val="BodyText"/>
      </w:pPr>
      <w:r>
        <w:t xml:space="preserve">The term "likeness" does not include general incidents from a person's</w:t>
      </w:r>
      <w:r>
        <w:t xml:space="preserve"> </w:t>
      </w:r>
      <w:r>
        <w:t xml:space="preserve">life, especially when fictionalized.</w:t>
      </w:r>
      <w:hyperlink w:anchor="f1">
        <w:r>
          <w:rPr>
            <w:rStyle w:val="Hyperlink"/>
          </w:rPr>
          <w:t xml:space="preserve">1</w:t>
        </w:r>
      </w:hyperlink>
      <w:r>
        <w:t xml:space="preserve"> </w:t>
      </w:r>
      <w:r>
        <w:t xml:space="preserve">The narrative of an</w:t>
      </w:r>
      <w:r>
        <w:t xml:space="preserve"> </w:t>
      </w:r>
      <w:r>
        <w:t xml:space="preserve">individual's life, standing alone, lacks the value of a name or likeness</w:t>
      </w:r>
      <w:r>
        <w:t xml:space="preserve"> </w:t>
      </w:r>
      <w:r>
        <w:t xml:space="preserve">that the misappropriation tort protects. Unlike the goodwill associated</w:t>
      </w:r>
      <w:r>
        <w:t xml:space="preserve"> </w:t>
      </w:r>
      <w:r>
        <w:t xml:space="preserve">with one's name or likeness, the facts of an individual's life possess</w:t>
      </w:r>
      <w:r>
        <w:t xml:space="preserve"> </w:t>
      </w:r>
      <w:r>
        <w:t xml:space="preserve">no intrinsic value that will deteriorate with repeated use. As Posner</w:t>
      </w:r>
      <w:r>
        <w:t xml:space="preserve"> </w:t>
      </w:r>
      <w:r>
        <w:t xml:space="preserve">observes, "If Brand X beer makes money using Celebrity A's</w:t>
      </w:r>
      <w:r>
        <w:t xml:space="preserve"> </w:t>
      </w:r>
      <w:r>
        <w:t xml:space="preserve">picture in its advertising, competing brands might use the same picture</w:t>
      </w:r>
      <w:r>
        <w:t xml:space="preserve"> </w:t>
      </w:r>
      <w:r>
        <w:t xml:space="preserve">until the picture ceased to have any advertising value at all. In</w:t>
      </w:r>
      <w:r>
        <w:t xml:space="preserve"> </w:t>
      </w:r>
      <w:r>
        <w:t xml:space="preserve">contrast, the multiple use of a celebrity's photograph by competing</w:t>
      </w:r>
      <w:r>
        <w:t xml:space="preserve"> </w:t>
      </w:r>
      <w:r>
        <w:t xml:space="preserve">newspapers is unlikely to reduce the value of the photograph to the</w:t>
      </w:r>
      <w:r>
        <w:t xml:space="preserve"> </w:t>
      </w:r>
      <w:r>
        <w:t xml:space="preserve">newspaper-reading public." RICHARD A. POSNER, THE ECONOMICS OF JUSTICE</w:t>
      </w:r>
      <w:r>
        <w:t xml:space="preserve"> </w:t>
      </w:r>
      <w:r>
        <w:t xml:space="preserve">258 (2d ed. 1983).</w:t>
      </w:r>
    </w:p>
    <w:p>
      <w:pPr>
        <w:pStyle w:val="BodyText"/>
      </w:pPr>
      <w:r>
        <w:t xml:space="preserve">1</w:t>
      </w:r>
      <w:r>
        <w:t xml:space="preserve"> </w:t>
      </w:r>
      <w:r>
        <w:rPr>
          <w:i/>
        </w:rPr>
        <w:t xml:space="preserve">See</w:t>
      </w:r>
      <w:r>
        <w:t xml:space="preserve"> </w:t>
      </w:r>
      <w:r>
        <w:t xml:space="preserve">W. PAGE KEETON ET AL., PROSSER AND KEETON ON THE LAW</w:t>
      </w:r>
      <w:r>
        <w:t xml:space="preserve"> </w:t>
      </w:r>
      <w:r>
        <w:t xml:space="preserve">OF TORTS § 117 at 853 (5th ed. 1984) ("Nor is there any liability for</w:t>
      </w:r>
      <w:r>
        <w:t xml:space="preserve"> </w:t>
      </w:r>
      <w:r>
        <w:t xml:space="preserve">misappropriation when the plaintiff's character, occupation and the</w:t>
      </w:r>
      <w:r>
        <w:t xml:space="preserve"> </w:t>
      </w:r>
      <w:r>
        <w:t xml:space="preserve">general outline of his career, with many incidents in his life, are used</w:t>
      </w:r>
      <w:r>
        <w:t xml:space="preserve"> </w:t>
      </w:r>
      <w:r>
        <w:t xml:space="preserve">as the basis for a figure in a novel who is still clearly a fictional</w:t>
      </w:r>
      <w:r>
        <w:t xml:space="preserve"> </w:t>
      </w:r>
      <w:r>
        <w:t xml:space="preserve">one.")</w:t>
      </w:r>
    </w:p>
    <w:p>
      <w:pPr>
        <w:pStyle w:val="BodyText"/>
      </w:pPr>
      <w:r>
        <w:t xml:space="preserve">Far from reducing the value of Matthews's story, RUSH increased the</w:t>
      </w:r>
      <w:r>
        <w:t xml:space="preserve"> </w:t>
      </w:r>
      <w:r>
        <w:t xml:space="preserve">value, as reflected in the publication of articles about Matthews and</w:t>
      </w:r>
      <w:r>
        <w:t xml:space="preserve"> </w:t>
      </w:r>
      <w:r>
        <w:t xml:space="preserve">Wozencraft in NEW YORK MAGAZINE, THE WASHINGTON POST, and THE GUARDIAN,</w:t>
      </w:r>
      <w:r>
        <w:t xml:space="preserve"> </w:t>
      </w:r>
      <w:r>
        <w:t xml:space="preserve">among others. Similarly, SMITH COUNTY JUSTICE, although published first,</w:t>
      </w:r>
      <w:r>
        <w:t xml:space="preserve"> </w:t>
      </w:r>
      <w:r>
        <w:t xml:space="preserve">did not reduce the sales of RUSH. As there is no fear that any valuable</w:t>
      </w:r>
      <w:r>
        <w:t xml:space="preserve"> </w:t>
      </w:r>
      <w:r>
        <w:t xml:space="preserve">information provided by the facts of one's life will be reduced by</w:t>
      </w:r>
      <w:r>
        <w:t xml:space="preserve"> </w:t>
      </w:r>
      <w:r>
        <w:t xml:space="preserve">repeated use, the law does not forbid the "appropriation" of this</w:t>
      </w:r>
      <w:r>
        <w:t xml:space="preserve"> </w:t>
      </w:r>
      <w:r>
        <w:t xml:space="preserve">information.</w:t>
      </w:r>
    </w:p>
    <w:p>
      <w:pPr>
        <w:pStyle w:val="BodyText"/>
      </w:pPr>
      <w:r>
        <w:t xml:space="preserve">Further, because most of the material facts are a matter of public</w:t>
      </w:r>
      <w:r>
        <w:t xml:space="preserve"> </w:t>
      </w:r>
      <w:r>
        <w:t xml:space="preserve">record because of the highly-publicized trial, it is especially</w:t>
      </w:r>
      <w:r>
        <w:t xml:space="preserve"> </w:t>
      </w:r>
      <w:r>
        <w:t xml:space="preserve">difficult for Matthews to claim that his likeness was unfairly</w:t>
      </w:r>
      <w:r>
        <w:t xml:space="preserve"> </w:t>
      </w:r>
      <w:r>
        <w:t xml:space="preserve">appropriated, as a name cannot be appropriated by reference to it in</w:t>
      </w:r>
      <w:r>
        <w:t xml:space="preserve"> </w:t>
      </w:r>
      <w:r>
        <w:t xml:space="preserve">connection with the legitimate mention of public activities.</w:t>
      </w:r>
    </w:p>
    <w:p>
      <w:pPr>
        <w:pStyle w:val="Heading3"/>
      </w:pPr>
      <w:bookmarkStart w:id="80" w:name="iii."/>
      <w:bookmarkEnd w:id="80"/>
      <w:r>
        <w:t xml:space="preserve">III.</w:t>
      </w:r>
    </w:p>
    <w:p>
      <w:pPr>
        <w:pStyle w:val="Heading4"/>
      </w:pPr>
      <w:bookmarkStart w:id="81" w:name="a."/>
      <w:bookmarkEnd w:id="81"/>
      <w:r>
        <w:t xml:space="preserve">A.</w:t>
      </w:r>
    </w:p>
    <w:p>
      <w:pPr>
        <w:pStyle w:val="FirstParagraph"/>
      </w:pPr>
      <w:r>
        <w:t xml:space="preserve">Even if Texas courts recognized a cause of action for misappropriation</w:t>
      </w:r>
      <w:r>
        <w:t xml:space="preserve"> </w:t>
      </w:r>
      <w:r>
        <w:t xml:space="preserve">of events in one's life, it likely would recognize an exception for</w:t>
      </w:r>
      <w:r>
        <w:t xml:space="preserve"> </w:t>
      </w:r>
      <w:r>
        <w:t xml:space="preserve">biographies. As one commentator has written, "Courts long ago recognized</w:t>
      </w:r>
      <w:r>
        <w:t xml:space="preserve"> </w:t>
      </w:r>
      <w:r>
        <w:t xml:space="preserve">that a celebrity's right of publicity does not preclude others from</w:t>
      </w:r>
      <w:r>
        <w:t xml:space="preserve"> </w:t>
      </w:r>
      <w:r>
        <w:t xml:space="preserve">incorporating a person's name, features or biography in a literary work,</w:t>
      </w:r>
      <w:r>
        <w:t xml:space="preserve"> </w:t>
      </w:r>
      <w:r>
        <w:t xml:space="preserve">motion picture, news or entertainment story. Only the use of an</w:t>
      </w:r>
      <w:r>
        <w:t xml:space="preserve"> </w:t>
      </w:r>
      <w:r>
        <w:t xml:space="preserve">individual's identity in advertising infringes on the persona." George</w:t>
      </w:r>
      <w:r>
        <w:t xml:space="preserve"> </w:t>
      </w:r>
      <w:r>
        <w:t xml:space="preserve">M. Armstrong, Jr.,</w:t>
      </w:r>
      <w:r>
        <w:t xml:space="preserve"> </w:t>
      </w:r>
      <w:r>
        <w:rPr>
          <w:i/>
        </w:rPr>
        <w:t xml:space="preserve">The Reification of Celebrity: Persona as Property,</w:t>
      </w:r>
      <w:r>
        <w:t xml:space="preserve"> </w:t>
      </w:r>
      <w:r>
        <w:t xml:space="preserve">51 LA. L.REV. 443, 467 (1991) (citing</w:t>
      </w:r>
      <w:r>
        <w:t xml:space="preserve"> </w:t>
      </w:r>
      <w:hyperlink r:id="rId82">
        <w:r>
          <w:rPr>
            <w:i/>
            <w:rStyle w:val="Hyperlink"/>
          </w:rPr>
          <w:t xml:space="preserve">Rogers v. Grimaldi</w:t>
        </w:r>
        <w:r>
          <w:rPr>
            <w:rStyle w:val="Hyperlink"/>
          </w:rPr>
          <w:t xml:space="preserve"> </w:t>
        </w:r>
        <w:r>
          <w:rPr>
            <w:rStyle w:val="Hyperlink"/>
          </w:rPr>
          <w:t xml:space="preserve">(SDNY 1988),</w:t>
        </w:r>
      </w:hyperlink>
      <w:r>
        <w:t xml:space="preserve"> </w:t>
      </w:r>
      <w:r>
        <w:rPr>
          <w:i/>
        </w:rPr>
        <w:t xml:space="preserve">aff'd,</w:t>
      </w:r>
      <w:r>
        <w:t xml:space="preserve"> </w:t>
      </w:r>
      <w:hyperlink r:id="rId83">
        <w:r>
          <w:rPr>
            <w:rStyle w:val="Hyperlink"/>
          </w:rPr>
          <w:t xml:space="preserve">875 F.2d 994 (2d</w:t>
        </w:r>
        <w:r>
          <w:rPr>
            <w:rStyle w:val="Hyperlink"/>
          </w:rPr>
          <w:t xml:space="preserve"> </w:t>
        </w:r>
        <w:r>
          <w:rPr>
            <w:rStyle w:val="Hyperlink"/>
          </w:rPr>
          <w:t xml:space="preserve">Cir.1989)</w:t>
        </w:r>
      </w:hyperlink>
      <w:r>
        <w:t xml:space="preserve">).</w:t>
      </w:r>
    </w:p>
    <w:p>
      <w:pPr>
        <w:pStyle w:val="Heading4"/>
      </w:pPr>
      <w:bookmarkStart w:id="84" w:name="b."/>
      <w:bookmarkEnd w:id="84"/>
      <w:r>
        <w:t xml:space="preserve">B.</w:t>
      </w:r>
    </w:p>
    <w:p>
      <w:pPr>
        <w:pStyle w:val="FirstParagraph"/>
      </w:pPr>
      <w:r>
        <w:t xml:space="preserve">Matthews also contends that appropriation can occur through the</w:t>
      </w:r>
      <w:r>
        <w:t xml:space="preserve"> </w:t>
      </w:r>
      <w:r>
        <w:t xml:space="preserve">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pPr>
        <w:pStyle w:val="BodyText"/>
      </w:pPr>
      <w:r>
        <w:t xml:space="preserve">By contrast, RUSH does not use Matthews's real name, and Matthews admits</w:t>
      </w:r>
      <w:r>
        <w:t xml:space="preserve"> </w:t>
      </w:r>
      <w:r>
        <w:t xml:space="preserve">that all the material facts are true. Thus, assuming he is trying to</w:t>
      </w:r>
      <w:r>
        <w:t xml:space="preserve"> </w:t>
      </w:r>
      <w:r>
        <w:t xml:space="preserve">state a claim under the false light doctrine, rather than</w:t>
      </w:r>
      <w:r>
        <w:t xml:space="preserve"> </w:t>
      </w:r>
      <w:r>
        <w:t xml:space="preserve">misappropriation, his attempt fails.</w:t>
      </w:r>
    </w:p>
    <w:p>
      <w:pPr>
        <w:pStyle w:val="Heading4"/>
      </w:pPr>
      <w:bookmarkStart w:id="85" w:name="c."/>
      <w:bookmarkEnd w:id="85"/>
      <w:r>
        <w:t xml:space="preserve">C.</w:t>
      </w:r>
    </w:p>
    <w:p>
      <w:pPr>
        <w:pStyle w:val="FirstParagraph"/>
      </w:pPr>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86" w:name="section"/>
      <w:bookmarkEnd w:id="86"/>
      <w:r>
        <w:t xml:space="preserve">1.</w:t>
      </w:r>
    </w:p>
    <w:p>
      <w:pPr>
        <w:pStyle w:val="FirstParagraph"/>
      </w:pPr>
      <w:r>
        <w:t xml:space="preserve">While there is no binding authority directly on point, we conclude that</w:t>
      </w:r>
      <w:r>
        <w:t xml:space="preserve"> </w:t>
      </w:r>
      <w:r>
        <w:t xml:space="preserve">Wozencraft's novel falls within the protection of the First Amendment.</w:t>
      </w:r>
      <w:r>
        <w:t xml:space="preserve"> </w:t>
      </w:r>
      <w:r>
        <w:t xml:space="preserve">It is immaterial whether RUSH "is viewed as an historical or a fictional</w:t>
      </w:r>
      <w:r>
        <w:t xml:space="preserve"> </w:t>
      </w:r>
      <w:r>
        <w:t xml:space="preserve">work,"</w:t>
      </w:r>
      <w:r>
        <w:t xml:space="preserve"> </w:t>
      </w:r>
      <w:hyperlink r:id="rId87">
        <w:r>
          <w:rPr>
            <w:i/>
            <w:rStyle w:val="Hyperlink"/>
          </w:rPr>
          <w:t xml:space="preserve">Meeropol v. Nizer</w:t>
        </w:r>
        <w:r>
          <w:rPr>
            <w:rStyle w:val="Hyperlink"/>
          </w:rPr>
          <w:t xml:space="preserve"> </w:t>
        </w:r>
        <w:r>
          <w:rPr>
            <w:rStyle w:val="Hyperlink"/>
          </w:rPr>
          <w:t xml:space="preserve">(2d Cir.1977),</w:t>
        </w:r>
      </w:hyperlink>
      <w:r>
        <w:t xml:space="preserve"> </w:t>
      </w:r>
      <w:r>
        <w:t xml:space="preserve">so long as it is not "simply a disguised commercial advertisement for</w:t>
      </w:r>
      <w:r>
        <w:t xml:space="preserve"> </w:t>
      </w:r>
      <w:r>
        <w:t xml:space="preserve">the sale of goods or services."</w:t>
      </w:r>
      <w:r>
        <w:t xml:space="preserve"> </w:t>
      </w:r>
      <w:hyperlink r:id="rId88">
        <w:r>
          <w:rPr>
            <w:i/>
            <w:rStyle w:val="Hyperlink"/>
          </w:rPr>
          <w:t xml:space="preserve">Rogers v. Grimaldi</w:t>
        </w:r>
        <w:r>
          <w:rPr>
            <w:rStyle w:val="Hyperlink"/>
          </w:rPr>
          <w:t xml:space="preserve"> </w:t>
        </w:r>
        <w:r>
          <w:rPr>
            <w:rStyle w:val="Hyperlink"/>
          </w:rPr>
          <w:t xml:space="preserve">(2d Cir. 1989)</w:t>
        </w:r>
      </w:hyperlink>
      <w:r>
        <w:t xml:space="preserve">.</w:t>
      </w:r>
    </w:p>
    <w:p>
      <w:pPr>
        <w:pStyle w:val="BodyText"/>
      </w:pPr>
      <w:r>
        <w:t xml:space="preserve">The book and its accompanying publicity have converted Matthews into a</w:t>
      </w:r>
      <w:r>
        <w:t xml:space="preserve"> </w:t>
      </w:r>
      <w:r>
        <w:t xml:space="preserve">public figure under [</w:t>
      </w:r>
      <w:r>
        <w:rPr>
          <w:i/>
        </w:rPr>
        <w:t xml:space="preserve">Gertz v. Robert Welch, Inc.</w:t>
      </w:r>
      <w:r>
        <w:t xml:space="preserve"> </w:t>
      </w:r>
      <w:r>
        <w:t xml:space="preserve">(S.Ct. 1974)][gertz]</w:t>
      </w:r>
      <w:r>
        <w:t xml:space="preserve"> </w:t>
      </w:r>
      <w:r>
        <w:t xml:space="preserve">"[T]he same standards of constitutional protection apply to an invasion</w:t>
      </w:r>
      <w:r>
        <w:t xml:space="preserve"> </w:t>
      </w:r>
      <w:r>
        <w:t xml:space="preserve">of privacy as to libel actions."</w:t>
      </w:r>
      <w:r>
        <w:t xml:space="preserve"> </w:t>
      </w:r>
      <w:hyperlink r:id="rId89">
        <w:r>
          <w:rPr>
            <w:i/>
            <w:rStyle w:val="Hyperlink"/>
          </w:rPr>
          <w:t xml:space="preserve">Meeropol</w:t>
        </w:r>
      </w:hyperlink>
      <w:r>
        <w:t xml:space="preserve">.</w:t>
      </w:r>
    </w:p>
    <w:p>
      <w:pPr>
        <w:pStyle w:val="BodyText"/>
      </w:pPr>
      <w:r>
        <w:t xml:space="preserve">Accordingly, absent a showing of malice, i.e., a "reckless disregard for</w:t>
      </w:r>
      <w:r>
        <w:t xml:space="preserve"> </w:t>
      </w:r>
      <w:r>
        <w:t xml:space="preserve">the truth," RUSH is protected by the First Amendment.</w:t>
      </w:r>
      <w:r>
        <w:t xml:space="preserve"> </w:t>
      </w:r>
      <w:r>
        <w:rPr>
          <w:i/>
        </w:rPr>
        <w:t xml:space="preserve">See</w:t>
      </w:r>
      <w:r>
        <w:t xml:space="preserve"> </w:t>
      </w:r>
      <w:hyperlink r:id="rId56">
        <w:r>
          <w:rPr>
            <w:i/>
            <w:rStyle w:val="Hyperlink"/>
          </w:rPr>
          <w:t xml:space="preserve">Time, Inc.</w:t>
        </w:r>
        <w:r>
          <w:rPr>
            <w:i/>
            <w:rStyle w:val="Hyperlink"/>
          </w:rPr>
          <w:t xml:space="preserve"> </w:t>
        </w:r>
        <w:r>
          <w:rPr>
            <w:i/>
            <w:rStyle w:val="Hyperlink"/>
          </w:rPr>
          <w:t xml:space="preserve">v. Hill</w:t>
        </w:r>
        <w:r>
          <w:rPr>
            <w:rStyle w:val="Hyperlink"/>
          </w:rPr>
          <w:t xml:space="preserve"> </w:t>
        </w:r>
        <w:r>
          <w:rPr>
            <w:rStyle w:val="Hyperlink"/>
          </w:rPr>
          <w:t xml:space="preserve">(S.Ct. 1967)</w:t>
        </w:r>
      </w:hyperlink>
      <w:r>
        <w:t xml:space="preserve">.</w:t>
      </w:r>
      <w:r>
        <w:t xml:space="preserve"> </w:t>
      </w:r>
      <w:r>
        <w:t xml:space="preserve">Neither the book nor the movie holds out Matthews in a false light or in</w:t>
      </w:r>
      <w:r>
        <w:t xml:space="preserve"> </w:t>
      </w:r>
      <w:r>
        <w:t xml:space="preserve">an embarrassing way; thus, his claim is meritless.</w:t>
      </w:r>
    </w:p>
    <w:p>
      <w:pPr>
        <w:pStyle w:val="Heading5"/>
      </w:pPr>
      <w:bookmarkStart w:id="90" w:name="section-1"/>
      <w:bookmarkEnd w:id="90"/>
      <w:r>
        <w:t xml:space="preserve">2.</w:t>
      </w:r>
    </w:p>
    <w:p>
      <w:pPr>
        <w:pStyle w:val="FirstParagraph"/>
      </w:pPr>
      <w:r>
        <w:t xml:space="preserve">Liability for misappropriation also will not arise when the information</w:t>
      </w:r>
      <w:r>
        <w:t xml:space="preserve"> </w:t>
      </w:r>
      <w:r>
        <w:t xml:space="preserve">in question is in the public domain, for the public figure no longer has</w:t>
      </w:r>
      <w:r>
        <w:t xml:space="preserve"> </w:t>
      </w:r>
      <w:r>
        <w:t xml:space="preserve">the right to control the dissemination of the information.</w:t>
      </w:r>
      <w:r>
        <w:t xml:space="preserve"> </w:t>
      </w:r>
      <w:r>
        <w:rPr>
          <w:i/>
        </w:rPr>
        <w:t xml:space="preserve">See</w:t>
      </w:r>
      <w:r>
        <w:t xml:space="preserve"> </w:t>
      </w:r>
      <w:hyperlink r:id="rId91">
        <w:r>
          <w:rPr>
            <w:i/>
            <w:rStyle w:val="Hyperlink"/>
          </w:rPr>
          <w:t xml:space="preserve">Douglass v. Hustler Magazine</w:t>
        </w:r>
        <w:r>
          <w:rPr>
            <w:rStyle w:val="Hyperlink"/>
          </w:rPr>
          <w:t xml:space="preserve"> </w:t>
        </w:r>
        <w:r>
          <w:rPr>
            <w:rStyle w:val="Hyperlink"/>
          </w:rPr>
          <w:t xml:space="preserve">(7th Cir.1985),</w:t>
        </w:r>
      </w:hyperlink>
      <w:r>
        <w:t xml:space="preserve">.</w:t>
      </w:r>
    </w:p>
    <w:p>
      <w:pPr>
        <w:pStyle w:val="BodyText"/>
      </w:pPr>
      <w:r>
        <w:t xml:space="preserve">"To whatever degree and whatever connection a man's life ceases to be</w:t>
      </w:r>
      <w:r>
        <w:t xml:space="preserve"> </w:t>
      </w:r>
      <w:r>
        <w:t xml:space="preserve">private before the publication under consideration has been made, to</w:t>
      </w:r>
      <w:r>
        <w:t xml:space="preserve"> </w:t>
      </w:r>
      <w:r>
        <w:t xml:space="preserve">that extent the protection is withdrawn.&amp;hellip;" Samuel D. Warren &amp; Louis D.</w:t>
      </w:r>
      <w:r>
        <w:t xml:space="preserve"> </w:t>
      </w:r>
      <w:r>
        <w:t xml:space="preserve">Brandeis,</w:t>
      </w:r>
      <w:r>
        <w:t xml:space="preserve"> </w:t>
      </w:r>
      <w:r>
        <w:rPr>
          <w:i/>
        </w:rPr>
        <w:t xml:space="preserve">The Right to Privacy,</w:t>
      </w:r>
      <w:r>
        <w:t xml:space="preserve"> </w:t>
      </w:r>
      <w:r>
        <w:t xml:space="preserve">4 HARV.L.REV. 193, 214-15 (1890).</w:t>
      </w:r>
      <w:r>
        <w:t xml:space="preserve"> </w:t>
      </w:r>
      <w:r>
        <w:t xml:space="preserve">As one court has commented,</w:t>
      </w:r>
    </w:p>
    <w:p>
      <w:pPr>
        <w:pStyle w:val="BlockText"/>
      </w:pPr>
      <w:r>
        <w:t xml:space="preserve">[A] public figure has no exclusive rights to his or her own life</w:t>
      </w:r>
      <w:r>
        <w:t xml:space="preserve"> </w:t>
      </w:r>
      <w:r>
        <w:t xml:space="preserve">story.&amp;hellip; Such life story of the public figure may legitimately</w:t>
      </w:r>
      <w:r>
        <w:t xml:space="preserve"> </w:t>
      </w:r>
      <w:r>
        <w:t xml:space="preserve">extend, to some reasonable degree, to &amp;hellip; information concerning the</w:t>
      </w:r>
      <w:r>
        <w:t xml:space="preserve"> </w:t>
      </w:r>
      <w:r>
        <w:t xml:space="preserve">individual, and to facts about him, which are not public.&amp;hellip; Thus the</w:t>
      </w:r>
      <w:r>
        <w:t xml:space="preserve"> </w:t>
      </w:r>
      <w:r>
        <w:t xml:space="preserve">life history of one accused of [crime], together with such heretofore</w:t>
      </w:r>
      <w:r>
        <w:t xml:space="preserve"> </w:t>
      </w:r>
      <w:r>
        <w:t xml:space="preserve">private facts may throw some light upon what kind of person he is, his</w:t>
      </w:r>
      <w:r>
        <w:t xml:space="preserve"> </w:t>
      </w:r>
      <w:r>
        <w:t xml:space="preserve">possible guilt or innocence, or his reasons for committing a crime,</w:t>
      </w:r>
      <w:r>
        <w:t xml:space="preserve"> </w:t>
      </w:r>
      <w:r>
        <w:t xml:space="preserve">are a matter of legitimate public interest.</w:t>
      </w:r>
    </w:p>
    <w:p>
      <w:pPr>
        <w:pStyle w:val="FirstParagraph"/>
      </w:pPr>
      <w:hyperlink r:id="rId92">
        <w:r>
          <w:rPr>
            <w:i/>
            <w:rStyle w:val="Hyperlink"/>
          </w:rPr>
          <w:t xml:space="preserve">Corabi v. Curtis Publishing Co.</w:t>
        </w:r>
        <w:r>
          <w:rPr>
            <w:rStyle w:val="Hyperlink"/>
          </w:rPr>
          <w:t xml:space="preserve"> </w:t>
        </w:r>
        <w:r>
          <w:rPr>
            <w:rStyle w:val="Hyperlink"/>
          </w:rPr>
          <w:t xml:space="preserve">(PA 1971)</w:t>
        </w:r>
      </w:hyperlink>
      <w:r>
        <w:t xml:space="preserve">.</w:t>
      </w:r>
    </w:p>
    <w:p>
      <w:pPr>
        <w:pStyle w:val="BodyText"/>
      </w:pPr>
      <w:r>
        <w:t xml:space="preserve">In the time since his participation in the Tyler drug investigation and</w:t>
      </w:r>
      <w:r>
        <w:t xml:space="preserve"> </w:t>
      </w:r>
      <w:r>
        <w:t xml:space="preserve">his subsequent conviction and prison time for his illegal activity,</w:t>
      </w:r>
      <w:r>
        <w:t xml:space="preserve"> </w:t>
      </w:r>
      <w:r>
        <w:t xml:space="preserve">Matthews voluntarily submitted to numerous interviews with the national</w:t>
      </w:r>
      <w:r>
        <w:t xml:space="preserve"> </w:t>
      </w:r>
      <w:r>
        <w:t xml:space="preserve">media. He also cooperated in the publication of SMITH COUNTY JUSTICE and</w:t>
      </w:r>
      <w:r>
        <w:t xml:space="preserve"> </w:t>
      </w:r>
      <w:r>
        <w:t xml:space="preserve">testified about his activities in Hardy's criminal trial. All the</w:t>
      </w:r>
      <w:r>
        <w:t xml:space="preserve"> </w:t>
      </w:r>
      <w:r>
        <w:t xml:space="preserve">material facts underlying RUSH were a matter of public knowledge and</w:t>
      </w:r>
      <w:r>
        <w:t xml:space="preserve"> </w:t>
      </w:r>
      <w:r>
        <w:t xml:space="preserve">were in the public domain.</w:t>
      </w:r>
    </w:p>
    <w:p>
      <w:pPr>
        <w:pStyle w:val="BodyText"/>
      </w:pPr>
      <w:r>
        <w:t xml:space="preserve">Thus, Matthews became a public figure through his activities. The</w:t>
      </w:r>
      <w:r>
        <w:t xml:space="preserve"> </w:t>
      </w:r>
      <w:r>
        <w:t xml:space="preserve">subject matter of his statements — narcotics officers using drugs,</w:t>
      </w:r>
      <w:r>
        <w:t xml:space="preserve"> </w:t>
      </w:r>
      <w:r>
        <w:t xml:space="preserve">perjuring themselves, and making fraudulent charges — was a matter of</w:t>
      </w:r>
      <w:r>
        <w:t xml:space="preserve"> </w:t>
      </w:r>
      <w:r>
        <w:t xml:space="preserve">public interest.</w:t>
      </w:r>
      <w:r>
        <w:t xml:space="preserve"> </w:t>
      </w:r>
      <w:r>
        <w:rPr>
          <w:i/>
        </w:rPr>
        <w:t xml:space="preserve">See</w:t>
      </w:r>
      <w:r>
        <w:t xml:space="preserve"> </w:t>
      </w:r>
      <w:hyperlink r:id="rId93">
        <w:r>
          <w:rPr>
            <w:i/>
            <w:rStyle w:val="Hyperlink"/>
          </w:rPr>
          <w:t xml:space="preserve">Trotter v. Jack Anderson Enters.</w:t>
        </w:r>
        <w:r>
          <w:rPr>
            <w:rStyle w:val="Hyperlink"/>
          </w:rPr>
          <w:t xml:space="preserve"> </w:t>
        </w:r>
        <w:r>
          <w:rPr>
            <w:rStyle w:val="Hyperlink"/>
          </w:rPr>
          <w:t xml:space="preserve">(5th</w:t>
        </w:r>
        <w:r>
          <w:rPr>
            <w:rStyle w:val="Hyperlink"/>
          </w:rPr>
          <w:t xml:space="preserve"> </w:t>
        </w:r>
        <w:r>
          <w:rPr>
            <w:rStyle w:val="Hyperlink"/>
          </w:rPr>
          <w:t xml:space="preserve">Cir. 1987)</w:t>
        </w:r>
      </w:hyperlink>
      <w:r>
        <w:t xml:space="preserve">.</w:t>
      </w:r>
    </w:p>
    <w:p>
      <w:pPr>
        <w:pStyle w:val="BodyText"/>
      </w:pPr>
      <w:r>
        <w:t xml:space="preserve">Because all of the events were a part of the public domain, defendants</w:t>
      </w:r>
      <w:r>
        <w:t xml:space="preserve"> </w:t>
      </w:r>
      <w:r>
        <w:t xml:space="preserve">were entitled to their fair use, including their narration in</w:t>
      </w:r>
      <w:r>
        <w:t xml:space="preserve"> </w:t>
      </w:r>
      <w:r>
        <w:t xml:space="preserve">fictionalized form.</w:t>
      </w:r>
      <w:r>
        <w:t xml:space="preserve"> </w:t>
      </w:r>
      <w:hyperlink r:id="rId91">
        <w:r>
          <w:rPr>
            <w:i/>
            <w:rStyle w:val="Hyperlink"/>
          </w:rPr>
          <w:t xml:space="preserve">Douglass</w:t>
        </w:r>
      </w:hyperlink>
      <w:r>
        <w:t xml:space="preserve">.</w:t>
      </w:r>
    </w:p>
    <w:p>
      <w:pPr>
        <w:pStyle w:val="BodyText"/>
      </w:pPr>
      <w:r>
        <w:t xml:space="preserve">[The court's discussion of contract matters and division of marital property omitted.]</w:t>
      </w:r>
    </w:p>
    <w:p>
      <w:pPr>
        <w:pStyle w:val="Heading3"/>
      </w:pPr>
      <w:bookmarkStart w:id="94" w:name="vi."/>
      <w:bookmarkEnd w:id="94"/>
      <w:r>
        <w:t xml:space="preserve">VI.</w:t>
      </w:r>
    </w:p>
    <w:p>
      <w:pPr>
        <w:pStyle w:val="FirstParagraph"/>
      </w:pPr>
      <w:r>
        <w:t xml:space="preserve">Matthews has created no genuine issue of material fact under Texas law.</w:t>
      </w:r>
      <w:r>
        <w:t xml:space="preserve"> </w:t>
      </w:r>
      <w:r>
        <w:t xml:space="preserve">Thus, we AFFIRM the district court's grant of summary judgment on all</w:t>
      </w:r>
      <w:r>
        <w:t xml:space="preserve"> </w:t>
      </w:r>
      <w:r>
        <w:t xml:space="preserve">claims.</w:t>
      </w:r>
    </w:p>
    <w:p>
      <w:pPr>
        <w:pStyle w:val="Heading3"/>
      </w:pPr>
      <w:bookmarkStart w:id="95" w:name="white-v.-samsung-electronics-america-inc."/>
      <w:bookmarkEnd w:id="95"/>
      <w:r>
        <w:rPr>
          <w:i/>
        </w:rPr>
        <w:t xml:space="preserve">White v. Samsung Electronics America, Inc.</w:t>
      </w:r>
    </w:p>
    <w:p>
      <w:pPr>
        <w:pStyle w:val="Heading6"/>
      </w:pPr>
      <w:bookmarkStart w:id="96" w:name="us-court-of-appeals-9th-circuit-1992"/>
      <w:bookmarkEnd w:id="96"/>
      <w:r>
        <w:t xml:space="preserve">US Court of Appeals, 9th Circuit (1992)</w:t>
      </w:r>
    </w:p>
    <w:p>
      <w:pPr>
        <w:pStyle w:val="Compact"/>
        <w:numPr>
          <w:numId w:val="1009"/>
          <w:ilvl w:val="0"/>
        </w:numPr>
      </w:pPr>
      <w:hyperlink r:id="rId97">
        <w:r>
          <w:rPr>
            <w:rStyle w:val="Hyperlink"/>
          </w:rPr>
          <w:t xml:space="preserve">case on Google Scholar</w:t>
        </w:r>
      </w:hyperlink>
    </w:p>
    <w:p>
      <w:pPr>
        <w:pStyle w:val="Compact"/>
        <w:numPr>
          <w:numId w:val="1009"/>
          <w:ilvl w:val="0"/>
        </w:numPr>
      </w:pPr>
      <w:hyperlink r:id="rId98">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 "Wheel of Fortune,"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"Revealed to be health food. 2010 A.D."</w:t>
      </w:r>
      <w:r>
        <w:t xml:space="preserve"> </w:t>
      </w:r>
      <w:r>
        <w:t xml:space="preserve">Another depicted irreverent "news"-show host Morton Downey Jr.</w:t>
      </w:r>
      <w:r>
        <w:t xml:space="preserve"> </w:t>
      </w:r>
      <w:r>
        <w:t xml:space="preserve">in front of an American flag with the caption:</w:t>
      </w:r>
      <w:r>
        <w:t xml:space="preserve"> </w:t>
      </w:r>
      <w:r>
        <w:t xml:space="preserve">"Presidential candidate. 2008 A.D."</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"Longest-running game show. 2012 A.D."</w:t>
      </w:r>
      <w:r>
        <w:t xml:space="preserve"> </w:t>
      </w:r>
      <w:r>
        <w:t xml:space="preserve">Defendants referred to the ad as the "Vanna White" 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p>
    <w:p>
      <w:pPr>
        <w:pStyle w:val="Compact"/>
        <w:numPr>
          <w:numId w:val="1010"/>
          <w:ilvl w:val="0"/>
        </w:numPr>
      </w:pPr>
      <w:r>
        <w:t xml:space="preserve">California Civil Code § 3344;</w:t>
      </w:r>
    </w:p>
    <w:p>
      <w:pPr>
        <w:pStyle w:val="Compact"/>
        <w:numPr>
          <w:numId w:val="1010"/>
          <w:ilvl w:val="0"/>
        </w:numPr>
      </w:pPr>
      <w:r>
        <w:t xml:space="preserve">the California common law right of publicity; and</w:t>
      </w:r>
    </w:p>
    <w:p>
      <w:pPr>
        <w:pStyle w:val="Compact"/>
        <w:numPr>
          <w:numId w:val="1010"/>
          <w:ilvl w:val="0"/>
        </w:numPr>
      </w:pPr>
      <w:r>
        <w:t xml:space="preserve">§ 43(a) of the Lanham Act, 15 U.S.C. § 1125(a).</w:t>
      </w:r>
    </w:p>
    <w:p>
      <w:pPr>
        <w:pStyle w:val="FirstParagraph"/>
      </w:pPr>
      <w:r>
        <w:t xml:space="preserve">The district court granted summary judgment against White on each of her claims. White now appeals.</w:t>
      </w:r>
    </w:p>
    <w:p>
      <w:pPr>
        <w:pStyle w:val="Heading4"/>
      </w:pPr>
      <w:bookmarkStart w:id="99" w:name="i.-section-3344"/>
      <w:bookmarkEnd w:id="99"/>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 "[a]ny person</w:t>
      </w:r>
      <w:r>
        <w:t xml:space="preserve"> </w:t>
      </w:r>
      <w:r>
        <w:t xml:space="preserve">who knowingly uses another's name, voice, signature, photograph, or likeness,</w:t>
      </w:r>
      <w:r>
        <w:t xml:space="preserve"> </w:t>
      </w:r>
      <w:r>
        <w:t xml:space="preserve">in any manner &amp;hellip; for purposes of advertising or selling &amp;hellip;</w:t>
      </w:r>
      <w:r>
        <w:t xml:space="preserve"> </w:t>
      </w:r>
      <w:r>
        <w:t xml:space="preserve">without such person's prior consent &amp;hellip;</w:t>
      </w:r>
      <w:r>
        <w:t xml:space="preserve"> </w:t>
      </w:r>
      <w:r>
        <w:t xml:space="preserve">shall be liable for any damages</w:t>
      </w:r>
      <w:r>
        <w:t xml:space="preserve"> </w:t>
      </w:r>
      <w:r>
        <w:t xml:space="preserve">sustained by the person or persons injured as a result thereof."</w:t>
      </w:r>
    </w:p>
    <w:p>
      <w:pPr>
        <w:pStyle w:val="BodyText"/>
      </w:pPr>
      <w:r>
        <w:t xml:space="preserve">White argues that the Samsung advertisement used her</w:t>
      </w:r>
      <w:r>
        <w:t xml:space="preserve"> </w:t>
      </w:r>
      <w:r>
        <w:t xml:space="preserve">"likeness" in contravention of section 3344.&amp;hellip;</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 "likeness,"</w:t>
      </w:r>
      <w:r>
        <w:t xml:space="preserve"> </w:t>
      </w:r>
      <w:r>
        <w:t xml:space="preserve">we agree with the district court</w:t>
      </w:r>
      <w:r>
        <w:t xml:space="preserve"> </w:t>
      </w:r>
      <w:r>
        <w:t xml:space="preserve">that the robot at issue here was not White's "likeness"</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100" w:name="ii.-right-of-publicity"/>
      <w:bookmarkEnd w:id="100"/>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claim.&amp;hellip; [T]he common law right of publicity cause of action may be pleaded by alleging:</w:t>
      </w:r>
    </w:p>
    <w:p>
      <w:pPr>
        <w:pStyle w:val="Compact"/>
        <w:numPr>
          <w:numId w:val="1011"/>
          <w:ilvl w:val="0"/>
        </w:numPr>
      </w:pPr>
      <w:r>
        <w:t xml:space="preserve">the defendant's use of the plaintiff's identity;</w:t>
      </w:r>
    </w:p>
    <w:p>
      <w:pPr>
        <w:pStyle w:val="Compact"/>
        <w:numPr>
          <w:numId w:val="1011"/>
          <w:ilvl w:val="0"/>
        </w:numPr>
      </w:pPr>
      <w:r>
        <w:t xml:space="preserve">the appropriation of plaintiff's name or likeness to defendant's advantage, commercially or otherwise;</w:t>
      </w:r>
    </w:p>
    <w:p>
      <w:pPr>
        <w:pStyle w:val="Compact"/>
        <w:numPr>
          <w:numId w:val="1011"/>
          <w:ilvl w:val="0"/>
        </w:numPr>
      </w:pPr>
      <w:r>
        <w:t xml:space="preserve">lack of consent; and</w:t>
      </w:r>
    </w:p>
    <w:p>
      <w:pPr>
        <w:pStyle w:val="Compact"/>
        <w:numPr>
          <w:numId w:val="1011"/>
          <w:ilvl w:val="0"/>
        </w:numPr>
      </w:pPr>
      <w:r>
        <w:t xml:space="preserve">resulting injury.</w:t>
      </w:r>
    </w:p>
    <w:p>
      <w:pPr>
        <w:pStyle w:val="FirstParagraph"/>
      </w:pPr>
      <w:r>
        <w:t xml:space="preserve">The district court dismissed White's claim</w:t>
      </w:r>
      <w:r>
        <w:t xml:space="preserve"> </w:t>
      </w:r>
      <w:r>
        <w:t xml:space="preserve">for failure to satisfy the second prong,</w:t>
      </w:r>
      <w:r>
        <w:t xml:space="preserve"> </w:t>
      </w:r>
      <w:r>
        <w:t xml:space="preserve">reasoning that defendants had not appropriated White's "name or likeness"</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confined.&amp;hellip;</w:t>
      </w:r>
    </w:p>
    <w:p>
      <w:pPr>
        <w:pStyle w:val="BodyText"/>
      </w:pPr>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66">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61">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 "name or likeness" is used.</w:t>
      </w:r>
    </w:p>
    <w:p>
      <w:pPr>
        <w:pStyle w:val="FirstParagraph"/>
      </w:pPr>
      <w:hyperlink r:id="rId61">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tenth.&amp;hellip;</w:t>
      </w:r>
    </w:p>
    <w:p>
      <w:pPr>
        <w:pStyle w:val="BodyText"/>
      </w:pPr>
      <w:r>
        <w:t xml:space="preserve">[Court's discussion of Lanham Act claim omitted]</w:t>
      </w:r>
    </w:p>
    <w:p>
      <w:pPr>
        <w:pStyle w:val="Heading4"/>
      </w:pPr>
      <w:bookmarkStart w:id="101" w:name="iv.-the-parody-defense"/>
      <w:bookmarkEnd w:id="101"/>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102">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103">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"buy Samsung VCRs."</w:t>
      </w:r>
      <w:r>
        <w:t xml:space="preserve"> </w:t>
      </w:r>
      <w:r>
        <w:t xml:space="preserve">Defendants' parody arguments are better addressed to non-commercial parodies.</w:t>
      </w:r>
      <w:r>
        <w:t xml:space="preserve"> </w:t>
      </w:r>
      <w:r>
        <w:t xml:space="preserve">The difference between a "parody" and a "knock-off"</w:t>
      </w:r>
      <w:r>
        <w:t xml:space="preserve"> </w:t>
      </w:r>
      <w:r>
        <w:t xml:space="preserve">is the difference between fun and profit.</w:t>
      </w:r>
    </w:p>
    <w:p>
      <w:pPr>
        <w:pStyle w:val="Heading4"/>
      </w:pPr>
      <w:bookmarkStart w:id="104" w:name="v.-conclusion"/>
      <w:bookmarkEnd w:id="104"/>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5" w:name="dissent"/>
      <w:bookmarkEnd w:id="105"/>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6" w:name="white-v.-samsung-electronics-inc."/>
      <w:bookmarkEnd w:id="106"/>
      <w:r>
        <w:rPr>
          <w:i/>
        </w:rPr>
        <w:t xml:space="preserve">White v. Samsung Electronics, Inc.</w:t>
      </w:r>
    </w:p>
    <w:p>
      <w:pPr>
        <w:pStyle w:val="Heading6"/>
      </w:pPr>
      <w:bookmarkStart w:id="107" w:name="us-court-of-appeals-9th-circuit-1993"/>
      <w:bookmarkEnd w:id="107"/>
      <w:r>
        <w:t xml:space="preserve">US Court of Appeals, 9th Circuit (1993)</w:t>
      </w:r>
    </w:p>
    <w:p>
      <w:pPr>
        <w:pStyle w:val="Compact"/>
        <w:numPr>
          <w:numId w:val="1012"/>
          <w:ilvl w:val="0"/>
        </w:numPr>
      </w:pPr>
      <w:hyperlink r:id="rId97">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look.&amp;hellip;</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 "clever advertising strategist" could avoid using White's name or likeness</w:t>
      </w:r>
      <w:r>
        <w:t xml:space="preserve"> </w:t>
      </w:r>
      <w:r>
        <w:t xml:space="preserve">but nevertheless remind people of her with impunity,</w:t>
      </w:r>
      <w:r>
        <w:t xml:space="preserve"> </w:t>
      </w:r>
      <w:r>
        <w:t xml:space="preserve">"effectively eviscerating" her rights.</w:t>
      </w:r>
      <w:r>
        <w:t xml:space="preserve"> </w:t>
      </w:r>
      <w:r>
        <w:t xml:space="preserve">To prevent this "evisceration,"</w:t>
      </w:r>
      <w:r>
        <w:t xml:space="preserve"> </w:t>
      </w:r>
      <w:r>
        <w:t xml:space="preserve">the panel majority holds that the right of publicity</w:t>
      </w:r>
      <w:r>
        <w:t xml:space="preserve"> </w:t>
      </w:r>
      <w:r>
        <w:t xml:space="preserve">must extend beyond name and likeness,</w:t>
      </w:r>
      <w:r>
        <w:t xml:space="preserve"> </w:t>
      </w:r>
      <w:r>
        <w:t xml:space="preserve">to any "appropriation" of White's "identity"---anything</w:t>
      </w:r>
      <w:r>
        <w:t xml:space="preserve"> </w:t>
      </w:r>
      <w:r>
        <w:t xml:space="preserve">that "evokes" her personality.</w:t>
      </w:r>
      <w:r>
        <w:t xml:space="preserve"> </w:t>
      </w:r>
      <w:r>
        <w:rPr>
          <w:i/>
        </w:rPr>
        <w:t xml:space="preserve">Id.</w:t>
      </w:r>
    </w:p>
    <w:p>
      <w:pPr>
        <w:pStyle w:val="BodyText"/>
      </w:pPr>
      <w:r>
        <w:t xml:space="preserve">But what does "evisceration" 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 "eviscerated" 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 "evisceration" 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 "evoke [her identity]."</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 "Wheel of Fortune" 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 "Wheel of Fortune" 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significance.&amp;hellip;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8">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9">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10">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11" w:name="criminal-celebrities"/>
      <w:bookmarkEnd w:id="111"/>
      <w:r>
        <w:t xml:space="preserve">Criminal Celebrities</w:t>
      </w:r>
    </w:p>
    <w:p>
      <w:pPr>
        <w:pStyle w:val="Heading3"/>
      </w:pPr>
      <w:bookmarkStart w:id="112" w:name="simon-schuster-inc.-v.-members-of-ny-state-crime-victims-bd."/>
      <w:bookmarkEnd w:id="112"/>
      <w:r>
        <w:rPr>
          <w:i/>
        </w:rPr>
        <w:t xml:space="preserve">Simon &amp; Schuster, Inc. v. Members of NY State Crime Victims Bd.</w:t>
      </w:r>
    </w:p>
    <w:p>
      <w:pPr>
        <w:pStyle w:val="Heading5"/>
      </w:pPr>
      <w:bookmarkStart w:id="113" w:name="united-states-supreme-court-1991"/>
      <w:bookmarkEnd w:id="113"/>
      <w:r>
        <w:t xml:space="preserve">United States Supreme Court (1991)</w:t>
      </w:r>
    </w:p>
    <w:p>
      <w:pPr>
        <w:pStyle w:val="Compact"/>
        <w:numPr>
          <w:numId w:val="1013"/>
          <w:ilvl w:val="0"/>
        </w:numPr>
      </w:pPr>
      <w:hyperlink r:id="rId114">
        <w:r>
          <w:rPr>
            <w:rStyle w:val="Hyperlink"/>
          </w:rPr>
          <w:t xml:space="preserve">Case on Google Scholar</w:t>
        </w:r>
      </w:hyperlink>
    </w:p>
    <w:p>
      <w:pPr>
        <w:pStyle w:val="Compact"/>
        <w:numPr>
          <w:numId w:val="1013"/>
          <w:ilvl w:val="0"/>
        </w:numPr>
      </w:pPr>
      <w:hyperlink r:id="rId115">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6" w:name="i.a."/>
      <w:bookmarkEnd w:id="116"/>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issue.&amp;hellip;</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&amp;hellip;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w:t>
      </w:r>
      <w:r>
        <w:t xml:space="preserve"> </w:t>
      </w:r>
      <w:r>
        <w:t xml:space="preserve">representatives." This 5-year period in which to bring a civil action against the convicted person begins to run when the escrow account is established, and supersedes any limitations period that expires earlier.&amp;hellip;</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 </w:t>
      </w:r>
      <w:r>
        <w:t xml:space="preserve">" Thus a person who has never been accused or convicted of a crime in the ordinary sense, but who admits in a book or other work to having committed a crime, is within the statute's coverage.&amp;hellip;</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convicted.&amp;hellip;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7" w:name="i.b."/>
      <w:bookmarkEnd w:id="117"/>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8" w:name="i.c."/>
      <w:bookmarkEnd w:id="118"/>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Hill.&amp;hellip;</w:t>
      </w:r>
    </w:p>
    <w:p>
      <w:pPr>
        <w:pStyle w:val="Heading3"/>
      </w:pPr>
      <w:bookmarkStart w:id="119" w:name="ii.a."/>
      <w:bookmarkEnd w:id="119"/>
      <w:r>
        <w:t xml:space="preserve">II.A.</w:t>
      </w:r>
    </w:p>
    <w:p>
      <w:pPr>
        <w:pStyle w:val="FirstParagraph"/>
      </w:pPr>
      <w:r>
        <w:t xml:space="preserve">A statute is presumptively inconsistent with the First Amendment if it imposes a financial burden on speakers because of the content of their speech.&amp;hellip;</w:t>
      </w:r>
    </w:p>
    <w:p>
      <w:pPr>
        <w:pStyle w:val="BodyText"/>
      </w:pPr>
      <w:r>
        <w:t xml:space="preserve">This is a notion so engrained in our First Amendment jurisprudence that last Term we found it so "obvious" as to not require explanation. &amp;hellip; It is but one manifestation of a far broader principle: "Regulations which permit the Government to discriminate on the basis of the content of the message cannot be tolerated under the First Amendment." &amp;hellip;</w:t>
      </w:r>
    </w:p>
    <w:p>
      <w:pPr>
        <w:pStyle w:val="BodyText"/>
      </w:pPr>
      <w:r>
        <w:t xml:space="preserve">In the context of financial regulation, it bears repeating &amp;hellip; that the government's ability to impose content-based burdens on speech raises the specter that the government may effectively drive certain ideas or viewpoints from the marketplace.&amp;hellip; The First Amendment presumptively places this sort of discrimination beyond the power of the government. &amp;hellip;</w:t>
      </w:r>
    </w:p>
    <w:p>
      <w:pPr>
        <w:pStyle w:val="BlockText"/>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rests.&amp;hellip;</w:t>
      </w:r>
    </w:p>
    <w:p>
      <w:pPr>
        <w:pStyle w:val="FirstParagraph"/>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speaker.&amp;hellip;</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w:t>
      </w:r>
      <w:r>
        <w:t xml:space="preserve"> </w:t>
      </w:r>
      <w:r>
        <w:t xml:space="preserve">achieve that end."</w:t>
      </w:r>
    </w:p>
    <w:p>
      <w:pPr>
        <w:pStyle w:val="Heading3"/>
      </w:pPr>
      <w:bookmarkStart w:id="120" w:name="ii.b."/>
      <w:bookmarkEnd w:id="120"/>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pPr>
        <w:pStyle w:val="BodyText"/>
      </w:pPr>
      <w:r>
        <w:t xml:space="preserve">"'If there is a bedrock principle underlying the First Amendment, it is that the Government may not prohibit the expression of an idea simply because society finds the idea itself offensive or disagreeable.'"&amp;hellip;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 "fundamental equitable principle,"&amp;hellip; that "[n]o one shall be permitted to profit by his own fraud, or to take advantage of his own wrong, or to found any claim upon his own iniquity, or to acquire property by his own crime." &amp;hellip;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compelling.&amp;hellip;</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1" w:name="ii.c."/>
      <w:bookmarkEnd w:id="121"/>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2" w:name="iii"/>
      <w:bookmarkEnd w:id="122"/>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3" w:name="son-of-sam-laws"/>
      <w:bookmarkEnd w:id="123"/>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 "murderabilia". The constitutionality of many of these new laws is mostly untested at this point.</w:t>
      </w:r>
    </w:p>
    <w:p>
      <w:pPr>
        <w:pStyle w:val="BlockText"/>
      </w:pPr>
      <w:hyperlink r:id="rId124">
        <w:r>
          <w:rPr>
            <w:rStyle w:val="Hyperlink"/>
          </w:rPr>
          <w:t xml:space="preserve">Wikipedia: Son of Sam Law</w:t>
        </w:r>
      </w:hyperlink>
      <w:r>
        <w:t xml:space="preserve">.</w:t>
      </w:r>
    </w:p>
    <w:p>
      <w:pPr>
        <w:pStyle w:val="Heading2"/>
      </w:pPr>
      <w:bookmarkStart w:id="125" w:name="transformation"/>
      <w:bookmarkEnd w:id="125"/>
      <w:r>
        <w:t xml:space="preserve">Transformation</w:t>
      </w:r>
    </w:p>
    <w:p>
      <w:pPr>
        <w:pStyle w:val="Heading3"/>
      </w:pPr>
      <w:bookmarkStart w:id="126" w:name="comedy-iii-productions-v.-gary-saderup-inc."/>
      <w:bookmarkEnd w:id="126"/>
      <w:r>
        <w:rPr>
          <w:i/>
        </w:rPr>
        <w:t xml:space="preserve">Comedy III Productions v. Gary Saderup, Inc.</w:t>
      </w:r>
    </w:p>
    <w:p>
      <w:pPr>
        <w:pStyle w:val="Heading6"/>
      </w:pPr>
      <w:bookmarkStart w:id="127" w:name="california-supreme-court-2001"/>
      <w:bookmarkEnd w:id="127"/>
      <w:r>
        <w:t xml:space="preserve">California Supreme Court (2001)</w:t>
      </w:r>
    </w:p>
    <w:p>
      <w:pPr>
        <w:pStyle w:val="FirstParagraph"/>
      </w:pPr>
      <w:r>
        <w:t xml:space="preserve">Now that we have discussed the right of publicity, take a look at</w:t>
      </w:r>
      <w:r>
        <w:t xml:space="preserve"> </w:t>
      </w:r>
      <w:hyperlink r:id="rId128">
        <w:r>
          <w:rPr>
            <w:rStyle w:val="Hyperlink"/>
          </w:rPr>
          <w:t xml:space="preserve">this image of the famous Three Stooges</w:t>
        </w:r>
      </w:hyperlink>
      <w:r>
        <w:t xml:space="preserve">. What do you suppose would happen if an artist made this sketch, put it on T-shirts and sold them?</w:t>
      </w:r>
    </w:p>
    <w:p>
      <w:pPr>
        <w:pStyle w:val="BodyText"/>
      </w:pPr>
      <w:r>
        <w:t xml:space="preserve">We'll work on this one in class. Together!</w:t>
      </w:r>
    </w:p>
    <w:p>
      <w:pPr>
        <w:pStyle w:val="Heading3"/>
      </w:pPr>
      <w:bookmarkStart w:id="129" w:name="other-cases-covered-in-class"/>
      <w:bookmarkEnd w:id="129"/>
      <w:r>
        <w:t xml:space="preserve">Other Cases Covered In Class</w:t>
      </w:r>
    </w:p>
    <w:p>
      <w:pPr>
        <w:pStyle w:val="Heading4"/>
      </w:pPr>
      <w:bookmarkStart w:id="130" w:name="parks-v.-laface-records"/>
      <w:bookmarkEnd w:id="130"/>
      <w:r>
        <w:rPr>
          <w:i/>
        </w:rPr>
        <w:t xml:space="preserve">Parks v. LaFace Records</w:t>
      </w:r>
    </w:p>
    <w:p>
      <w:pPr>
        <w:pStyle w:val="Heading6"/>
      </w:pPr>
      <w:bookmarkStart w:id="131" w:name="th-cir.-2001"/>
      <w:bookmarkEnd w:id="131"/>
      <w:r>
        <w:t xml:space="preserve">(6th Cir. 2001)</w:t>
      </w:r>
    </w:p>
    <w:p>
      <w:pPr>
        <w:pStyle w:val="Compact"/>
        <w:numPr>
          <w:numId w:val="1014"/>
          <w:ilvl w:val="0"/>
        </w:numPr>
      </w:pPr>
      <w:hyperlink r:id="rId132">
        <w:r>
          <w:rPr>
            <w:rStyle w:val="Hyperlink"/>
          </w:rPr>
          <w:t xml:space="preserve">case on Wikipedia</w:t>
        </w:r>
      </w:hyperlink>
    </w:p>
    <w:p>
      <w:pPr>
        <w:pStyle w:val="Heading4"/>
      </w:pPr>
      <w:bookmarkStart w:id="133" w:name="etw-corp.-v.-jireh-publishing"/>
      <w:bookmarkEnd w:id="133"/>
      <w:r>
        <w:rPr>
          <w:i/>
        </w:rPr>
        <w:t xml:space="preserve">ETW Corp. v. Jireh Publishing</w:t>
      </w:r>
    </w:p>
    <w:p>
      <w:pPr>
        <w:pStyle w:val="Heading6"/>
      </w:pPr>
      <w:bookmarkStart w:id="134" w:name="th-cir.-2003"/>
      <w:bookmarkEnd w:id="134"/>
      <w:r>
        <w:t xml:space="preserve">(6th Cir. 2003)</w:t>
      </w:r>
    </w:p>
    <w:p>
      <w:pPr>
        <w:pStyle w:val="Compact"/>
        <w:numPr>
          <w:numId w:val="1015"/>
          <w:ilvl w:val="0"/>
        </w:numPr>
      </w:pPr>
      <w:hyperlink r:id="rId135">
        <w:r>
          <w:rPr>
            <w:rStyle w:val="Hyperlink"/>
          </w:rPr>
          <w:t xml:space="preserve">Art on Trial</w:t>
        </w:r>
      </w:hyperlink>
      <w:r>
        <w:t xml:space="preserve">.</w:t>
      </w:r>
    </w:p>
    <w:p>
      <w:pPr>
        <w:pStyle w:val="Heading4"/>
      </w:pPr>
      <w:bookmarkStart w:id="136" w:name="trademark-lanham-act-language"/>
      <w:bookmarkEnd w:id="136"/>
      <w:r>
        <w:t xml:space="preserve">Trademark (Lanham Act) Language</w:t>
      </w:r>
    </w:p>
    <w:p>
      <w:pPr>
        <w:pStyle w:val="FirstParagraph"/>
      </w:pPr>
      <w:r>
        <w:t xml:space="preserve">Lanham Act § 43(a)</w:t>
      </w:r>
    </w:p>
    <w:p>
      <w:pPr>
        <w:pStyle w:val="Compact"/>
        <w:numPr>
          <w:numId w:val="1016"/>
          <w:ilvl w:val="0"/>
        </w:numPr>
      </w:pPr>
      <w:r>
        <w:t xml:space="preserve">Any person who . . . uses in commerce any word, term, name, symbol, or device . . . or any false designation of origin, false or misleading description of fact . . . which---</w:t>
      </w:r>
    </w:p>
    <w:p>
      <w:pPr>
        <w:pStyle w:val="Compact"/>
        <w:numPr>
          <w:numId w:val="1017"/>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7"/>
          <w:ilvl w:val="1"/>
        </w:numPr>
      </w:pPr>
      <w:r>
        <w:t xml:space="preserve">&amp;hellip; shall be liable in a civil action by any person who believes that he or she is or is likely to be damaged by such act.</w:t>
      </w:r>
    </w:p>
    <w:p>
      <w:pPr>
        <w:pStyle w:val="Heading4"/>
      </w:pPr>
      <w:bookmarkStart w:id="137" w:name="volokh-right-of-publicity-speech-categories"/>
      <w:bookmarkEnd w:id="137"/>
      <w:r>
        <w:t xml:space="preserve">Volokh Right-Of-Publicity Speech Categories</w:t>
      </w:r>
    </w:p>
    <w:p>
      <w:pPr>
        <w:pStyle w:val="Compact"/>
        <w:numPr>
          <w:numId w:val="1018"/>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9"/>
          <w:ilvl w:val="1"/>
        </w:numPr>
      </w:pPr>
      <w:r>
        <w:t xml:space="preserve">Commercial speech? No.</w:t>
      </w:r>
    </w:p>
    <w:p>
      <w:pPr>
        <w:pStyle w:val="Compact"/>
        <w:numPr>
          <w:numId w:val="1019"/>
          <w:ilvl w:val="1"/>
        </w:numPr>
      </w:pPr>
      <w:r>
        <w:t xml:space="preserve">Infringement? No.</w:t>
      </w:r>
    </w:p>
    <w:p>
      <w:pPr>
        <w:pStyle w:val="Compact"/>
        <w:numPr>
          <w:numId w:val="1018"/>
          <w:ilvl w:val="0"/>
        </w:numPr>
      </w:pPr>
      <w:r>
        <w:t xml:space="preserve">Advertisements for category 1 speech.</w:t>
      </w:r>
    </w:p>
    <w:p>
      <w:pPr>
        <w:pStyle w:val="Compact"/>
        <w:numPr>
          <w:numId w:val="1020"/>
          <w:ilvl w:val="1"/>
        </w:numPr>
      </w:pPr>
      <w:r>
        <w:t xml:space="preserve">Commercial speech? Yes.</w:t>
      </w:r>
    </w:p>
    <w:p>
      <w:pPr>
        <w:pStyle w:val="Compact"/>
        <w:numPr>
          <w:numId w:val="1020"/>
          <w:ilvl w:val="1"/>
        </w:numPr>
      </w:pPr>
      <w:r>
        <w:t xml:space="preserve">Infringement? No.</w:t>
      </w:r>
    </w:p>
    <w:p>
      <w:pPr>
        <w:pStyle w:val="Compact"/>
        <w:numPr>
          <w:numId w:val="1018"/>
          <w:ilvl w:val="0"/>
        </w:numPr>
      </w:pPr>
      <w:r>
        <w:t xml:space="preserve">Advertisements for other products (VCRs, cars, snacks, and whatever else) that refer to a person.</w:t>
      </w:r>
    </w:p>
    <w:p>
      <w:pPr>
        <w:pStyle w:val="Compact"/>
        <w:numPr>
          <w:numId w:val="1021"/>
          <w:ilvl w:val="1"/>
        </w:numPr>
      </w:pPr>
      <w:r>
        <w:t xml:space="preserve">Commercial speech? Yes.</w:t>
      </w:r>
    </w:p>
    <w:p>
      <w:pPr>
        <w:pStyle w:val="Compact"/>
        <w:numPr>
          <w:numId w:val="1021"/>
          <w:ilvl w:val="1"/>
        </w:numPr>
      </w:pPr>
      <w:r>
        <w:t xml:space="preserve">Infringement? Yes.</w:t>
      </w:r>
    </w:p>
    <w:p>
      <w:pPr>
        <w:pStyle w:val="Compact"/>
        <w:numPr>
          <w:numId w:val="1018"/>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2"/>
          <w:ilvl w:val="1"/>
        </w:numPr>
      </w:pPr>
      <w:r>
        <w:t xml:space="preserve">Commercial speech? No.</w:t>
      </w:r>
    </w:p>
    <w:p>
      <w:pPr>
        <w:pStyle w:val="Compact"/>
        <w:numPr>
          <w:numId w:val="1022"/>
          <w:ilvl w:val="1"/>
        </w:numPr>
      </w:pPr>
      <w:r>
        <w:t xml:space="preserve">Infringement? Yes.</w:t>
      </w:r>
    </w:p>
    <w:p>
      <w:pPr>
        <w:pStyle w:val="Heading4"/>
      </w:pPr>
      <w:bookmarkStart w:id="138" w:name="referencefootnote-cases"/>
      <w:bookmarkEnd w:id="138"/>
      <w:r>
        <w:t xml:space="preserve">Reference/Footnote Cases</w:t>
      </w:r>
    </w:p>
    <w:p>
      <w:pPr>
        <w:pStyle w:val="Compact"/>
        <w:numPr>
          <w:numId w:val="1023"/>
          <w:ilvl w:val="0"/>
        </w:numPr>
      </w:pPr>
      <w:hyperlink r:id="rId73">
        <w:r>
          <w:rPr>
            <w:i/>
            <w:rStyle w:val="Hyperlink"/>
          </w:rPr>
          <w:t xml:space="preserve">Matthews v. Wozencraft,</w:t>
        </w:r>
      </w:hyperlink>
      <w:r>
        <w:t xml:space="preserve"> </w:t>
      </w:r>
      <w:r>
        <w:t xml:space="preserve">15 F.3d 432 (5th Cir. 1994).</w:t>
      </w:r>
    </w:p>
    <w:p>
      <w:pPr>
        <w:pStyle w:val="Compact"/>
        <w:numPr>
          <w:numId w:val="1023"/>
          <w:ilvl w:val="0"/>
        </w:numPr>
      </w:pPr>
      <w:hyperlink r:id="rId7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3"/>
          <w:ilvl w:val="0"/>
        </w:numPr>
      </w:pPr>
      <w:hyperlink r:id="rId139">
        <w:r>
          <w:rPr>
            <w:i/>
            <w:rStyle w:val="Hyperlink"/>
          </w:rPr>
          <w:t xml:space="preserve">Comedy III Productions v. Gary Saderup, Inc.,</w:t>
        </w:r>
      </w:hyperlink>
      <w:r>
        <w:t xml:space="preserve"> </w:t>
      </w:r>
      <w:r>
        <w:t xml:space="preserve">21 P.3d 797 (CA 2001).</w:t>
      </w:r>
    </w:p>
    <w:p>
      <w:pPr>
        <w:pStyle w:val="Compact"/>
        <w:numPr>
          <w:numId w:val="1023"/>
          <w:ilvl w:val="0"/>
        </w:numPr>
      </w:pPr>
      <w:hyperlink r:id="rId140">
        <w:r>
          <w:rPr>
            <w:rStyle w:val="Hyperlink"/>
          </w:rPr>
          <w:t xml:space="preserve">Juris Notes</w:t>
        </w:r>
      </w:hyperlink>
      <w:r>
        <w:t xml:space="preserve">.</w:t>
      </w:r>
    </w:p>
    <w:p>
      <w:pPr>
        <w:pStyle w:val="Compact"/>
        <w:numPr>
          <w:numId w:val="1023"/>
          <w:ilvl w:val="0"/>
        </w:numPr>
      </w:pPr>
      <w:hyperlink r:id="rId141">
        <w:r>
          <w:rPr>
            <w:i/>
            <w:rStyle w:val="Hyperlink"/>
          </w:rPr>
          <w:t xml:space="preserve">Zacchini v. Scripps-Howard Broadcasting</w:t>
        </w:r>
      </w:hyperlink>
      <w:r>
        <w:t xml:space="preserve">, 433 US 562 (1977).</w:t>
      </w:r>
      <w:r>
        <w:t xml:space="preserve"> </w:t>
      </w:r>
      <w:hyperlink r:id="rId55">
        <w:r>
          <w:rPr>
            <w:rStyle w:val="Hyperlink"/>
          </w:rPr>
          <w:t xml:space="preserve">Wikipedia</w:t>
        </w:r>
      </w:hyperlink>
      <w:r>
        <w:t xml:space="preserve">.</w:t>
      </w:r>
    </w:p>
    <w:p>
      <w:pPr>
        <w:pStyle w:val="Compact"/>
        <w:numPr>
          <w:numId w:val="1023"/>
          <w:ilvl w:val="0"/>
        </w:numPr>
      </w:pPr>
      <w:hyperlink r:id="rId142">
        <w:r>
          <w:rPr>
            <w:i/>
            <w:rStyle w:val="Hyperlink"/>
          </w:rPr>
          <w:t xml:space="preserve">Hicks v. Casablanca Records,</w:t>
        </w:r>
      </w:hyperlink>
      <w:r>
        <w:t xml:space="preserve"> </w:t>
      </w:r>
      <w:r>
        <w:t xml:space="preserve">464 F.Supp. 426 (SDNY 1978).</w:t>
      </w:r>
    </w:p>
    <w:p>
      <w:pPr>
        <w:pStyle w:val="Compact"/>
        <w:numPr>
          <w:numId w:val="1023"/>
          <w:ilvl w:val="0"/>
        </w:numPr>
      </w:pPr>
      <w:hyperlink r:id="rId143">
        <w:r>
          <w:rPr>
            <w:i/>
            <w:rStyle w:val="Hyperlink"/>
          </w:rPr>
          <w:t xml:space="preserve">Keenan v. Superior Court Los Angeles County,</w:t>
        </w:r>
      </w:hyperlink>
      <w:r>
        <w:t xml:space="preserve"> </w:t>
      </w:r>
      <w:r>
        <w:t xml:space="preserve">40 P.3d 718 (2002).</w:t>
      </w:r>
      <w:r>
        <w:t xml:space="preserve"> </w:t>
      </w:r>
      <w:hyperlink r:id="rId144">
        <w:r>
          <w:rPr>
            <w:rStyle w:val="Hyperlink"/>
          </w:rPr>
          <w:t xml:space="preserve">Reporters Committee For Freedom of the Press</w:t>
        </w:r>
      </w:hyperlink>
      <w:r>
        <w:t xml:space="preserve">.</w:t>
      </w:r>
    </w:p>
    <w:p>
      <w:pPr>
        <w:pStyle w:val="Heading4"/>
      </w:pPr>
      <w:bookmarkStart w:id="145" w:name="totally-optional-readings-viewings"/>
      <w:bookmarkEnd w:id="145"/>
      <w:r>
        <w:t xml:space="preserve">Totally Optional Readings &amp; Viewings</w:t>
      </w:r>
    </w:p>
    <w:p>
      <w:pPr>
        <w:pStyle w:val="Compact"/>
        <w:numPr>
          <w:numId w:val="1024"/>
          <w:ilvl w:val="0"/>
        </w:numPr>
      </w:pPr>
      <w:hyperlink r:id="rId146">
        <w:r>
          <w:rPr>
            <w:rStyle w:val="Hyperlink"/>
          </w:rPr>
          <w:t xml:space="preserve">'Call of Duty': Can Rudy Giuliani Beat Manuel Noriega, the Three Stooges and Gwen Stefani?</w:t>
        </w:r>
      </w:hyperlink>
    </w:p>
    <w:p>
      <w:pPr>
        <w:pStyle w:val="Compact"/>
        <w:numPr>
          <w:numId w:val="1024"/>
          <w:ilvl w:val="0"/>
        </w:numPr>
      </w:pPr>
      <w:hyperlink r:id="rId147">
        <w:r>
          <w:rPr>
            <w:rStyle w:val="Hyperlink"/>
          </w:rPr>
          <w:t xml:space="preserve">Katherine Heigl Sues Duane Reed Drug Stores Over Photo</w:t>
        </w:r>
      </w:hyperlink>
    </w:p>
    <w:p>
      <w:pPr>
        <w:pStyle w:val="Compact"/>
        <w:numPr>
          <w:numId w:val="1024"/>
          <w:ilvl w:val="0"/>
        </w:numPr>
      </w:pPr>
      <w:hyperlink r:id="rId148">
        <w:r>
          <w:rPr>
            <w:rStyle w:val="Hyperlink"/>
          </w:rPr>
          <w:t xml:space="preserve">Katherine Heigl Ends Lawsuit Over Duane Reade Tweet (Exclusive)</w:t>
        </w:r>
      </w:hyperlink>
    </w:p>
    <w:p>
      <w:pPr>
        <w:pStyle w:val="Compact"/>
        <w:numPr>
          <w:numId w:val="1024"/>
          <w:ilvl w:val="0"/>
        </w:numPr>
      </w:pPr>
      <w:hyperlink r:id="rId149">
        <w:r>
          <w:rPr>
            <w:rStyle w:val="Hyperlink"/>
          </w:rPr>
          <w:t xml:space="preserve">Lindsay Lohan is suing the makers of Grand Theft Auto V</w:t>
        </w:r>
      </w:hyperlink>
    </w:p>
    <w:p>
      <w:pPr>
        <w:pStyle w:val="Compact"/>
        <w:numPr>
          <w:numId w:val="1024"/>
          <w:ilvl w:val="0"/>
        </w:numPr>
      </w:pPr>
      <w:hyperlink r:id="rId150">
        <w:r>
          <w:rPr>
            <w:rStyle w:val="Hyperlink"/>
          </w:rPr>
          <w:t xml:space="preserve">James Franco Sued for Violating Film Rights to Charles Bukowski Novel</w:t>
        </w:r>
      </w:hyperlink>
    </w:p>
    <w:p>
      <w:pPr>
        <w:pStyle w:val="Compact"/>
        <w:numPr>
          <w:numId w:val="1024"/>
          <w:ilvl w:val="0"/>
        </w:numPr>
      </w:pPr>
      <w:r>
        <w:t xml:space="preserve">Bing Crosby's First Wife Denied Value of His</w:t>
      </w:r>
      <w:r>
        <w:t xml:space="preserve"> </w:t>
      </w:r>
      <w:hyperlink r:id="rId151">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361c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cd75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adbf8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be9187e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8"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32"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73" Target="http://lawschool.westlaw.com/shared/westlawRedirect.aspx?task=find&amp;cite=15f3d432&amp;appflag=67.12" TargetMode="External" /><Relationship Type="http://schemas.openxmlformats.org/officeDocument/2006/relationships/hyperlink" Id="rId139" Target="http://lawschool.westlaw.com/shared/westlawRedirect.aspx?task=find&amp;cite=21+p3d+797&amp;appflag=67.12" TargetMode="External" /><Relationship Type="http://schemas.openxmlformats.org/officeDocument/2006/relationships/hyperlink" Id="rId143" Target="http://lawschool.westlaw.com/shared/westlawRedirect.aspx?task=find&amp;cite=27+Cal.4th+413&amp;appflag=67.12" TargetMode="External" /><Relationship Type="http://schemas.openxmlformats.org/officeDocument/2006/relationships/hyperlink" Id="rId141" Target="http://lawschool.westlaw.com/shared/westlawRedirect.aspx?task=find&amp;cite=433us562&amp;appflag=67.12" TargetMode="External" /><Relationship Type="http://schemas.openxmlformats.org/officeDocument/2006/relationships/hyperlink" Id="rId142"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72" Target="http://scholar.google.com/scholar_case?about=1997318397198235568" TargetMode="External" /><Relationship Type="http://schemas.openxmlformats.org/officeDocument/2006/relationships/hyperlink" Id="rId114" Target="http://scholar.google.com/scholar_case?about=988401867966498877" TargetMode="External" /><Relationship Type="http://schemas.openxmlformats.org/officeDocument/2006/relationships/hyperlink" Id="rId108" Target="http://scholar.google.com/scholar_case?case=1195336269698056315" TargetMode="External" /><Relationship Type="http://schemas.openxmlformats.org/officeDocument/2006/relationships/hyperlink" Id="rId67"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89" Target="http://scholar.google.com/scholar_case?case=15243536244801528103" TargetMode="External" /><Relationship Type="http://schemas.openxmlformats.org/officeDocument/2006/relationships/hyperlink" Id="rId87" Target="http://scholar.google.com/scholar_case?case=15243536244801528103&amp;q=matthews+wozencraft&amp;hl=en&amp;as_sdt=6,28&amp;scilh=0" TargetMode="External" /><Relationship Type="http://schemas.openxmlformats.org/officeDocument/2006/relationships/hyperlink" Id="rId68" Target="http://scholar.google.com/scholar_case?case=15457477938614677085" TargetMode="External" /><Relationship Type="http://schemas.openxmlformats.org/officeDocument/2006/relationships/hyperlink" Id="rId97"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09" Target="http://scholar.google.com/scholar_case?case=16874877052780018691" TargetMode="External" /><Relationship Type="http://schemas.openxmlformats.org/officeDocument/2006/relationships/hyperlink" Id="rId88" Target="http://scholar.google.com/scholar_case?case=1704090655237798849" TargetMode="External" /><Relationship Type="http://schemas.openxmlformats.org/officeDocument/2006/relationships/hyperlink" Id="rId83" Target="http://scholar.google.com/scholar_case?case=1704090655237798849&amp;q=matthews+wozencraft&amp;hl=en&amp;as_sdt=6,28&amp;scilh=0" TargetMode="External" /><Relationship Type="http://schemas.openxmlformats.org/officeDocument/2006/relationships/hyperlink" Id="rId103" Target="http://scholar.google.com/scholar_case?case=17261252493400805973" TargetMode="External" /><Relationship Type="http://schemas.openxmlformats.org/officeDocument/2006/relationships/hyperlink" Id="rId91" Target="http://scholar.google.com/scholar_case?case=17887957795289404111" TargetMode="External" /><Relationship Type="http://schemas.openxmlformats.org/officeDocument/2006/relationships/hyperlink" Id="rId110" Target="http://scholar.google.com/scholar_case?case=17912512758583478687" TargetMode="External" /><Relationship Type="http://schemas.openxmlformats.org/officeDocument/2006/relationships/hyperlink" Id="rId61"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78" Target="http://scholar.google.com/scholar_case?case=1854748454172482731" TargetMode="External" /><Relationship Type="http://schemas.openxmlformats.org/officeDocument/2006/relationships/hyperlink" Id="rId71" Target="http://scholar.google.com/scholar_case?case=1997318397198235568" TargetMode="External" /><Relationship Type="http://schemas.openxmlformats.org/officeDocument/2006/relationships/hyperlink" Id="rId79" Target="http://scholar.google.com/scholar_case?case=2288203517052278533" TargetMode="External" /><Relationship Type="http://schemas.openxmlformats.org/officeDocument/2006/relationships/hyperlink" Id="rId102"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65" Target="http://scholar.google.com/scholar_case?case=652682831136403786" TargetMode="External" /><Relationship Type="http://schemas.openxmlformats.org/officeDocument/2006/relationships/hyperlink" Id="rId82" Target="http://scholar.google.com/scholar_case?case=6586536591928416222" TargetMode="External" /><Relationship Type="http://schemas.openxmlformats.org/officeDocument/2006/relationships/hyperlink" Id="rId66" Target="http://scholar.google.com/scholar_case?case=6630116352269581991" TargetMode="External" /><Relationship Type="http://schemas.openxmlformats.org/officeDocument/2006/relationships/hyperlink" Id="rId57"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93" Target="http://scholar.google.com/scholar_case?case=786348141872494357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92" Target="http://scholar.google.com/scholar_case?case=9993111382594898727" TargetMode="External" /><Relationship Type="http://schemas.openxmlformats.org/officeDocument/2006/relationships/hyperlink" Id="rId33" Target="http://scholarship.law.duke.edu/lcp/vol19/iss2/6/" TargetMode="External" /><Relationship Type="http://schemas.openxmlformats.org/officeDocument/2006/relationships/hyperlink" Id="rId149" Target="http://www.bbc.co.uk/newsbeat/28129505" TargetMode="External" /><Relationship Type="http://schemas.openxmlformats.org/officeDocument/2006/relationships/hyperlink" Id="rId64"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74" Target="http://www.dmlp.org/legal-guide/texas-right-publicity-law" TargetMode="External" /><Relationship Type="http://schemas.openxmlformats.org/officeDocument/2006/relationships/hyperlink" Id="rId62" Target="http://www.hollywoodreporter.com/blogs/thr-esq/johnny-carson-estate-wins-injunction-63785" TargetMode="External" /><Relationship Type="http://schemas.openxmlformats.org/officeDocument/2006/relationships/hyperlink" Id="rId151" Target="http://www.hollywoodreporter.com/thr-esq/bing-crosbys-first-wife-denied-675755" TargetMode="External" /><Relationship Type="http://schemas.openxmlformats.org/officeDocument/2006/relationships/hyperlink" Id="rId146" Target="http://www.hollywoodreporter.com/thr-esq/call-duty-can-rudy-giuliani-734737" TargetMode="External" /><Relationship Type="http://schemas.openxmlformats.org/officeDocument/2006/relationships/hyperlink" Id="rId150" Target="http://www.hollywoodreporter.com/thr-esq/james-franco-sued-violating-film-699013" TargetMode="External" /><Relationship Type="http://schemas.openxmlformats.org/officeDocument/2006/relationships/hyperlink" Id="rId148"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40" Target="http://www.jurisnotes.com/IP/articles/acriticalexam.htm" TargetMode="External" /><Relationship Type="http://schemas.openxmlformats.org/officeDocument/2006/relationships/hyperlink" Id="rId128" Target="http://www.law.cornell.edu/copyright/cases/Image9.jpg" TargetMode="External" /><Relationship Type="http://schemas.openxmlformats.org/officeDocument/2006/relationships/hyperlink" Id="rId144" Target="http://www.rcfp.org/browse-media-law-resources/news/high-court-strikes-down-state-son-sam-law" TargetMode="External" /><Relationship Type="http://schemas.openxmlformats.org/officeDocument/2006/relationships/hyperlink" Id="rId135"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7" Target="http://www.washingtonpost.com/entertainment/celebrities/actress-heigl-sues-pharmacy-company-over-photo/2014/04/09/ffa1b0aa-c03a-11e3-9ee7-02c1e10a03f0_story.html" TargetMode="External" /><Relationship Type="http://schemas.openxmlformats.org/officeDocument/2006/relationships/hyperlink" Id="rId124" Target="https://en.wikipedia.org/wiki/Son_of_Sam_law"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98"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32"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73" Target="http://lawschool.westlaw.com/shared/westlawRedirect.aspx?task=find&amp;cite=15f3d432&amp;appflag=67.12" TargetMode="External" /><Relationship Type="http://schemas.openxmlformats.org/officeDocument/2006/relationships/hyperlink" Id="rId139" Target="http://lawschool.westlaw.com/shared/westlawRedirect.aspx?task=find&amp;cite=21+p3d+797&amp;appflag=67.12" TargetMode="External" /><Relationship Type="http://schemas.openxmlformats.org/officeDocument/2006/relationships/hyperlink" Id="rId143" Target="http://lawschool.westlaw.com/shared/westlawRedirect.aspx?task=find&amp;cite=27+Cal.4th+413&amp;appflag=67.12" TargetMode="External" /><Relationship Type="http://schemas.openxmlformats.org/officeDocument/2006/relationships/hyperlink" Id="rId141" Target="http://lawschool.westlaw.com/shared/westlawRedirect.aspx?task=find&amp;cite=433us562&amp;appflag=67.12" TargetMode="External" /><Relationship Type="http://schemas.openxmlformats.org/officeDocument/2006/relationships/hyperlink" Id="rId142"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72" Target="http://scholar.google.com/scholar_case?about=1997318397198235568" TargetMode="External" /><Relationship Type="http://schemas.openxmlformats.org/officeDocument/2006/relationships/hyperlink" Id="rId114" Target="http://scholar.google.com/scholar_case?about=988401867966498877" TargetMode="External" /><Relationship Type="http://schemas.openxmlformats.org/officeDocument/2006/relationships/hyperlink" Id="rId108" Target="http://scholar.google.com/scholar_case?case=1195336269698056315" TargetMode="External" /><Relationship Type="http://schemas.openxmlformats.org/officeDocument/2006/relationships/hyperlink" Id="rId67"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89" Target="http://scholar.google.com/scholar_case?case=15243536244801528103" TargetMode="External" /><Relationship Type="http://schemas.openxmlformats.org/officeDocument/2006/relationships/hyperlink" Id="rId87" Target="http://scholar.google.com/scholar_case?case=15243536244801528103&amp;q=matthews+wozencraft&amp;hl=en&amp;as_sdt=6,28&amp;scilh=0" TargetMode="External" /><Relationship Type="http://schemas.openxmlformats.org/officeDocument/2006/relationships/hyperlink" Id="rId68" Target="http://scholar.google.com/scholar_case?case=15457477938614677085" TargetMode="External" /><Relationship Type="http://schemas.openxmlformats.org/officeDocument/2006/relationships/hyperlink" Id="rId97"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09" Target="http://scholar.google.com/scholar_case?case=16874877052780018691" TargetMode="External" /><Relationship Type="http://schemas.openxmlformats.org/officeDocument/2006/relationships/hyperlink" Id="rId88" Target="http://scholar.google.com/scholar_case?case=1704090655237798849" TargetMode="External" /><Relationship Type="http://schemas.openxmlformats.org/officeDocument/2006/relationships/hyperlink" Id="rId83" Target="http://scholar.google.com/scholar_case?case=1704090655237798849&amp;q=matthews+wozencraft&amp;hl=en&amp;as_sdt=6,28&amp;scilh=0" TargetMode="External" /><Relationship Type="http://schemas.openxmlformats.org/officeDocument/2006/relationships/hyperlink" Id="rId103" Target="http://scholar.google.com/scholar_case?case=17261252493400805973" TargetMode="External" /><Relationship Type="http://schemas.openxmlformats.org/officeDocument/2006/relationships/hyperlink" Id="rId91" Target="http://scholar.google.com/scholar_case?case=17887957795289404111" TargetMode="External" /><Relationship Type="http://schemas.openxmlformats.org/officeDocument/2006/relationships/hyperlink" Id="rId110" Target="http://scholar.google.com/scholar_case?case=17912512758583478687" TargetMode="External" /><Relationship Type="http://schemas.openxmlformats.org/officeDocument/2006/relationships/hyperlink" Id="rId61"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78" Target="http://scholar.google.com/scholar_case?case=1854748454172482731" TargetMode="External" /><Relationship Type="http://schemas.openxmlformats.org/officeDocument/2006/relationships/hyperlink" Id="rId71" Target="http://scholar.google.com/scholar_case?case=1997318397198235568" TargetMode="External" /><Relationship Type="http://schemas.openxmlformats.org/officeDocument/2006/relationships/hyperlink" Id="rId79" Target="http://scholar.google.com/scholar_case?case=2288203517052278533" TargetMode="External" /><Relationship Type="http://schemas.openxmlformats.org/officeDocument/2006/relationships/hyperlink" Id="rId102"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65" Target="http://scholar.google.com/scholar_case?case=652682831136403786" TargetMode="External" /><Relationship Type="http://schemas.openxmlformats.org/officeDocument/2006/relationships/hyperlink" Id="rId82" Target="http://scholar.google.com/scholar_case?case=6586536591928416222" TargetMode="External" /><Relationship Type="http://schemas.openxmlformats.org/officeDocument/2006/relationships/hyperlink" Id="rId66" Target="http://scholar.google.com/scholar_case?case=6630116352269581991" TargetMode="External" /><Relationship Type="http://schemas.openxmlformats.org/officeDocument/2006/relationships/hyperlink" Id="rId57"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93" Target="http://scholar.google.com/scholar_case?case=786348141872494357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92" Target="http://scholar.google.com/scholar_case?case=9993111382594898727" TargetMode="External" /><Relationship Type="http://schemas.openxmlformats.org/officeDocument/2006/relationships/hyperlink" Id="rId33" Target="http://scholarship.law.duke.edu/lcp/vol19/iss2/6/" TargetMode="External" /><Relationship Type="http://schemas.openxmlformats.org/officeDocument/2006/relationships/hyperlink" Id="rId149" Target="http://www.bbc.co.uk/newsbeat/28129505" TargetMode="External" /><Relationship Type="http://schemas.openxmlformats.org/officeDocument/2006/relationships/hyperlink" Id="rId64"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74" Target="http://www.dmlp.org/legal-guide/texas-right-publicity-law" TargetMode="External" /><Relationship Type="http://schemas.openxmlformats.org/officeDocument/2006/relationships/hyperlink" Id="rId62" Target="http://www.hollywoodreporter.com/blogs/thr-esq/johnny-carson-estate-wins-injunction-63785" TargetMode="External" /><Relationship Type="http://schemas.openxmlformats.org/officeDocument/2006/relationships/hyperlink" Id="rId151" Target="http://www.hollywoodreporter.com/thr-esq/bing-crosbys-first-wife-denied-675755" TargetMode="External" /><Relationship Type="http://schemas.openxmlformats.org/officeDocument/2006/relationships/hyperlink" Id="rId146" Target="http://www.hollywoodreporter.com/thr-esq/call-duty-can-rudy-giuliani-734737" TargetMode="External" /><Relationship Type="http://schemas.openxmlformats.org/officeDocument/2006/relationships/hyperlink" Id="rId150" Target="http://www.hollywoodreporter.com/thr-esq/james-franco-sued-violating-film-699013" TargetMode="External" /><Relationship Type="http://schemas.openxmlformats.org/officeDocument/2006/relationships/hyperlink" Id="rId148"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40" Target="http://www.jurisnotes.com/IP/articles/acriticalexam.htm" TargetMode="External" /><Relationship Type="http://schemas.openxmlformats.org/officeDocument/2006/relationships/hyperlink" Id="rId128" Target="http://www.law.cornell.edu/copyright/cases/Image9.jpg" TargetMode="External" /><Relationship Type="http://schemas.openxmlformats.org/officeDocument/2006/relationships/hyperlink" Id="rId144" Target="http://www.rcfp.org/browse-media-law-resources/news/high-court-strikes-down-state-son-sam-law" TargetMode="External" /><Relationship Type="http://schemas.openxmlformats.org/officeDocument/2006/relationships/hyperlink" Id="rId135"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7" Target="http://www.washingtonpost.com/entertainment/celebrities/actress-heigl-sues-pharmacy-company-over-photo/2014/04/09/ffa1b0aa-c03a-11e3-9ee7-02c1e10a03f0_story.html" TargetMode="External" /><Relationship Type="http://schemas.openxmlformats.org/officeDocument/2006/relationships/hyperlink" Id="rId124" Target="https://en.wikipedia.org/wiki/Son_of_Sam_law"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