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celebritypublicity-rights"/>
      <w:r>
        <w:t xml:space="preserve">Celebrity/Publicity Rights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r>
        <w:t xml:space="preserve">Right of Publicity</w:t>
      </w:r>
      <w:bookmarkEnd w:id="24"/>
    </w:p>
    <w:p>
      <w:pPr>
        <w:pStyle w:val="Heading6"/>
      </w:pPr>
      <w:bookmarkStart w:id="25" w:name="appropriationcelebritypublicity-rights"/>
      <w:r>
        <w:t xml:space="preserve">Appropriation/Celebrity/Publicity Rights</w:t>
      </w:r>
      <w:bookmarkEnd w:id="25"/>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r>
        <w:t xml:space="preserve">Early</w:t>
      </w:r>
      <w:r>
        <w:t xml:space="preserve"> </w:t>
      </w:r>
      <w:r>
        <w:t xml:space="preserve">“</w:t>
      </w:r>
      <w:r>
        <w:t xml:space="preserve">right of publicity</w:t>
      </w:r>
      <w:r>
        <w:t xml:space="preserve">”</w:t>
      </w:r>
      <w:r>
        <w:t xml:space="preserve"> </w:t>
      </w:r>
      <w:r>
        <w:t xml:space="preserve">cases</w:t>
      </w:r>
      <w:bookmarkEnd w:id="28"/>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3"/>
      </w:pPr>
      <w:bookmarkStart w:id="34" w:name="eugene-volokh"/>
      <w:r>
        <w:t xml:space="preserve">Eugene Volokh</w:t>
      </w:r>
      <w:bookmarkEnd w:id="34"/>
    </w:p>
    <w:p>
      <w:pPr>
        <w:pStyle w:val="Heading6"/>
      </w:pPr>
      <w:bookmarkStart w:id="35" w:name="freedom-of-speech-and-the-right-of-publicity"/>
      <w:r>
        <w:t xml:space="preserve">FREEDOM OF SPEECH AND THE RIGHT OF PUBLICITY</w:t>
      </w:r>
      <w:bookmarkEnd w:id="35"/>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 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r>
        <w:t xml:space="preserve">Major Right Of Publicity Cases</w:t>
      </w:r>
      <w:bookmarkEnd w:id="36"/>
    </w:p>
    <w:p>
      <w:pPr>
        <w:pStyle w:val="Heading3"/>
      </w:pPr>
      <w:bookmarkStart w:id="37" w:name="ml-king-jr.center-v.-american-heritage-products"/>
      <w:r>
        <w:rPr>
          <w:i/>
        </w:rPr>
        <w:t xml:space="preserve">ML King Jr. Center v. American Heritage Products</w:t>
      </w:r>
      <w:bookmarkEnd w:id="37"/>
    </w:p>
    <w:p>
      <w:pPr>
        <w:pStyle w:val="Heading6"/>
      </w:pPr>
      <w:bookmarkStart w:id="38" w:name="georgia-supreme-court-1982"/>
      <w:r>
        <w:t xml:space="preserve">Georgia Supreme Court (1982)</w:t>
      </w:r>
      <w:bookmarkEnd w:id="38"/>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1" w:name="excerpts-from-the-case"/>
      <w:r>
        <w:t xml:space="preserve">Excerpts From The Case</w:t>
      </w:r>
      <w:bookmarkEnd w:id="41"/>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2"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2"/>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i/>
            <w:rStyle w:val="Hyperlink"/>
          </w:rPr>
          <w:t xml:space="preserve">Id.</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3">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3">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4">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3">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5">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5">
        <w:r>
          <w:rPr>
            <w:i/>
            <w:rStyle w:val="Hyperlink"/>
          </w:rPr>
          <w:t xml:space="preserve">Id</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p>
    <w:p>
      <w:pPr>
        <w:pStyle w:val="FirstParagraph"/>
      </w:pPr>
      <w:r>
        <w:t xml:space="preserve">In</w:t>
      </w:r>
      <w:r>
        <w:t xml:space="preserve"> </w:t>
      </w:r>
      <w:hyperlink r:id="rId46">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6">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5">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7"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47"/>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 In</w:t>
      </w:r>
      <w:r>
        <w:t xml:space="preserve"> </w:t>
      </w:r>
      <w:hyperlink r:id="rId48">
        <w:r>
          <w:rPr>
            <w:i/>
            <w:rStyle w:val="Hyperlink"/>
          </w:rPr>
          <w:t xml:space="preserve">Price v. Hal Roach Studios</w:t>
        </w:r>
        <w:r>
          <w:rPr>
            <w:rStyle w:val="Hyperlink"/>
          </w:rPr>
          <w:t xml:space="preserve"> </w:t>
        </w:r>
        <w:r>
          <w:rPr>
            <w:rStyle w:val="Hyperlink"/>
          </w:rPr>
          <w:t xml:space="preserve">(SDNY 1975)</w:t>
        </w:r>
      </w:hyperlink>
      <w:r>
        <w:t xml:space="preserve">,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49">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0">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1" w:name="weltner-justice-concurring-specially."/>
      <w:r>
        <w:t xml:space="preserve">WELTNER, Justice, concurring specially.</w:t>
      </w:r>
      <w:bookmarkEnd w:id="51"/>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2" w:name="zacchini-v.-scripps-howard-broadcasting-co."/>
      <w:r>
        <w:rPr>
          <w:i/>
        </w:rPr>
        <w:t xml:space="preserve">Zacchini v. Scripps-Howard Broadcasting Co.</w:t>
      </w:r>
      <w:bookmarkEnd w:id="52"/>
    </w:p>
    <w:p>
      <w:pPr>
        <w:pStyle w:val="Heading6"/>
      </w:pPr>
      <w:bookmarkStart w:id="53" w:name="united-states-supreme-court-1977"/>
      <w:r>
        <w:t xml:space="preserve">United States Supreme Court (1977)</w:t>
      </w:r>
      <w:bookmarkEnd w:id="53"/>
    </w:p>
    <w:p>
      <w:pPr>
        <w:pStyle w:val="Compact"/>
        <w:numPr>
          <w:numId w:val="1004"/>
          <w:ilvl w:val="0"/>
        </w:numPr>
      </w:pPr>
      <w:hyperlink r:id="rId54">
        <w:r>
          <w:rPr>
            <w:rStyle w:val="Hyperlink"/>
          </w:rPr>
          <w:t xml:space="preserve">Zacchini on Google Scholar</w:t>
        </w:r>
      </w:hyperlink>
    </w:p>
    <w:p>
      <w:pPr>
        <w:pStyle w:val="Compact"/>
        <w:numPr>
          <w:numId w:val="1004"/>
          <w:ilvl w:val="0"/>
        </w:numPr>
      </w:pPr>
      <w:hyperlink r:id="rId55">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56" w:name="i"/>
      <w:r>
        <w:t xml:space="preserve">I</w:t>
      </w:r>
      <w:bookmarkEnd w:id="56"/>
    </w:p>
    <w:p>
      <w:pPr>
        <w:pStyle w:val="FirstParagraph"/>
      </w:pPr>
      <w:r>
        <w:t xml:space="preserve">(In deciding the crucial question of whether the TV station had a privilege to film and televise Zacchini’s performance, the Ohio Supreme Court relied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w:t>
      </w:r>
      <w:r>
        <w:t xml:space="preserve"> </w:t>
      </w:r>
      <w:r>
        <w:t xml:space="preserve">“</w:t>
      </w:r>
      <w:r>
        <w:t xml:space="preserve">the press has a privilege to report matters of legitimate public interest 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 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59" w:name="ii"/>
      <w:r>
        <w:t xml:space="preserve">II</w:t>
      </w:r>
      <w:bookmarkEnd w:id="59"/>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0">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2">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3">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hyperlink r:id="rId64">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hyperlink r:id="rId65">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6" w:name="notes-on-zacchini"/>
      <w:r>
        <w:t xml:space="preserve">Notes On</w:t>
      </w:r>
      <w:r>
        <w:t xml:space="preserve"> </w:t>
      </w:r>
      <w:r>
        <w:rPr>
          <w:i/>
        </w:rPr>
        <w:t xml:space="preserve">Zacchini</w:t>
      </w:r>
      <w:bookmarkEnd w:id="66"/>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7" w:name="carson-v.-heres-johnny-portable-toilets-inc."/>
      <w:r>
        <w:rPr>
          <w:i/>
        </w:rPr>
        <w:t xml:space="preserve">Carson v. Here’s Johnny Portable Toilets, Inc.</w:t>
      </w:r>
      <w:bookmarkEnd w:id="67"/>
    </w:p>
    <w:p>
      <w:pPr>
        <w:pStyle w:val="Heading6"/>
      </w:pPr>
      <w:bookmarkStart w:id="68" w:name="court-of-appeals-6th-circuit-1983"/>
      <w:r>
        <w:t xml:space="preserve">Court of Appeals, 6th Circuit (1983)</w:t>
      </w:r>
      <w:bookmarkEnd w:id="68"/>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rStyle w:val="Hyperlink"/>
          </w:rPr>
          <w:t xml:space="preserve">case on Westlaw</w:t>
        </w:r>
      </w:hyperlink>
    </w:p>
    <w:p>
      <w:pPr>
        <w:pStyle w:val="Compact"/>
        <w:numPr>
          <w:numId w:val="1005"/>
          <w:ilvl w:val="0"/>
        </w:numPr>
      </w:pPr>
      <w:hyperlink r:id="rId71">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2" w:name="right-of-publicity-1"/>
      <w:r>
        <w:t xml:space="preserve">Right of Publicity</w:t>
      </w:r>
      <w:bookmarkEnd w:id="72"/>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3">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4">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4">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4">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 because appellee does not use Carson’s name or likeness.</w:t>
      </w:r>
      <w:r>
        <w:t xml:space="preserve"> </w:t>
      </w:r>
      <w:hyperlink r:id="rId76">
        <w:r>
          <w:rPr>
            <w:rStyle w:val="Hyperlink"/>
          </w:rPr>
          <w:t xml:space="preserve">498 F.Supp. at 77</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6">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9">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79">
        <w:r>
          <w:rPr>
            <w:rStyle w:val="Hyperlink"/>
          </w:rPr>
          <w:t xml:space="preserve">280 N.W.2d at 137</w:t>
        </w:r>
      </w:hyperlink>
      <w:r>
        <w:t xml:space="preserve">.</w:t>
      </w:r>
    </w:p>
    <w:p>
      <w:pPr>
        <w:pStyle w:val="BodyText"/>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0" w:name="policies-behind-right-of-publicity"/>
      <w:r>
        <w:t xml:space="preserve">Policies Behind Right of Publicity</w:t>
      </w:r>
      <w:bookmarkEnd w:id="80"/>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4">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4">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2" w:name="countervailing-interests-and-considerations"/>
      <w:r>
        <w:t xml:space="preserve">Countervailing Interests and Considerations</w:t>
      </w:r>
      <w:bookmarkEnd w:id="82"/>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3" w:name="federal-policy-monopolies"/>
      <w:r>
        <w:t xml:space="preserve">Federal Policy: Monopolies</w:t>
      </w:r>
      <w:bookmarkEnd w:id="83"/>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4">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5" w:name="free-expression-and-use-of-intellectual-property"/>
      <w:r>
        <w:t xml:space="preserve">Free Expression and Use of Intellectual Property</w:t>
      </w:r>
      <w:bookmarkEnd w:id="85"/>
    </w:p>
    <w:p>
      <w:pPr>
        <w:pStyle w:val="FirstParagraph"/>
      </w:pPr>
      <w:r>
        <w:t xml:space="preserve">The first amendment protects the freedom of speech, including commercial speech.</w:t>
      </w:r>
      <w:r>
        <w:t xml:space="preserve"> </w:t>
      </w:r>
      <w:hyperlink r:id="rId86">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4">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r>
        <w:rPr>
          <w:i/>
        </w:rPr>
        <w:t xml:space="preserve">White v. Samsung Electronics America, Inc.</w:t>
      </w:r>
      <w:bookmarkEnd w:id="87"/>
    </w:p>
    <w:p>
      <w:pPr>
        <w:pStyle w:val="Heading6"/>
      </w:pPr>
      <w:bookmarkStart w:id="88" w:name="us-court-of-appeals-9th-circuit-1992"/>
      <w:r>
        <w:t xml:space="preserve">US Court of Appeals, 9th Circuit (1992)</w:t>
      </w:r>
      <w:bookmarkEnd w:id="88"/>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case on Westlaw</w:t>
        </w:r>
      </w:hyperlink>
    </w:p>
    <w:p>
      <w:pPr>
        <w:pStyle w:val="Compact"/>
        <w:numPr>
          <w:numId w:val="1007"/>
          <w:ilvl w:val="0"/>
        </w:numPr>
      </w:pPr>
      <w:hyperlink r:id="rId91">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2" w:name="i.-section-3344"/>
      <w:r>
        <w:t xml:space="preserve">I.</w:t>
      </w:r>
      <w:r>
        <w:t xml:space="preserve"> </w:t>
      </w:r>
      <w:r>
        <w:rPr>
          <w:i/>
        </w:rPr>
        <w:t xml:space="preserve">Section 3344</w:t>
      </w:r>
      <w:bookmarkEnd w:id="92"/>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3">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4" w:name="ii.-right-of-publicity"/>
      <w:r>
        <w:t xml:space="preserve">II.</w:t>
      </w:r>
      <w:r>
        <w:t xml:space="preserve"> </w:t>
      </w:r>
      <w:r>
        <w:rPr>
          <w:i/>
        </w:rPr>
        <w:t xml:space="preserve">Right of Publicity</w:t>
      </w:r>
      <w:bookmarkEnd w:id="94"/>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5">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69">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w:t>
      </w:r>
      <w:r>
        <w:t xml:space="preserve"> </w:t>
      </w:r>
      <w:r>
        <w:t xml:space="preserve">“</w:t>
      </w:r>
      <w:r>
        <w:t xml:space="preserve">Here’s Johnny</w:t>
      </w:r>
      <w:r>
        <w:t xml:space="preserve">”</w:t>
      </w:r>
      <w:r>
        <w:t xml:space="preserve"> </w:t>
      </w:r>
      <w:r>
        <w:t xml:space="preserve">— Johnny Carson’s signature</w:t>
      </w:r>
      <w:r>
        <w:t xml:space="preserve"> </w:t>
      </w:r>
      <w:r>
        <w:t xml:space="preserve">“</w:t>
      </w:r>
      <w:r>
        <w:t xml:space="preserve">Tonight Show</w:t>
      </w:r>
      <w:r>
        <w:t xml:space="preserve">”</w:t>
      </w:r>
      <w:r>
        <w:t xml:space="preserve"> </w:t>
      </w:r>
      <w:r>
        <w:t xml:space="preserve">introduction — without Carson’s permission. 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rPr>
          <w:i/>
        </w:rPr>
        <w:t xml:space="preserve">Id.</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 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69">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6" w:name="iv.-the-parody-defense"/>
      <w:r>
        <w:t xml:space="preserve">IV.</w:t>
      </w:r>
      <w:r>
        <w:t xml:space="preserve"> </w:t>
      </w:r>
      <w:r>
        <w:rPr>
          <w:i/>
        </w:rPr>
        <w:t xml:space="preserve">The Parody Defense</w:t>
      </w:r>
      <w:bookmarkEnd w:id="96"/>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7">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8">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99" w:name="v.-conclusion"/>
      <w:r>
        <w:t xml:space="preserve">V.</w:t>
      </w:r>
      <w:r>
        <w:t xml:space="preserve"> </w:t>
      </w:r>
      <w:r>
        <w:rPr>
          <w:i/>
        </w:rPr>
        <w:t xml:space="preserve">Conclusion</w:t>
      </w:r>
      <w:bookmarkEnd w:id="99"/>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0" w:name="dissent"/>
      <w:r>
        <w:t xml:space="preserve">Dissent</w:t>
      </w:r>
      <w:bookmarkEnd w:id="100"/>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1" w:name="white-v.-samsung-electronics-inc."/>
      <w:r>
        <w:rPr>
          <w:i/>
        </w:rPr>
        <w:t xml:space="preserve">White v. Samsung Electronics, Inc.</w:t>
      </w:r>
      <w:bookmarkEnd w:id="101"/>
    </w:p>
    <w:p>
      <w:pPr>
        <w:pStyle w:val="Heading6"/>
      </w:pPr>
      <w:bookmarkStart w:id="102" w:name="us-court-of-appeals-9th-circuit-1993"/>
      <w:r>
        <w:t xml:space="preserve">US Court of Appeals, 9th Circuit (1993)</w:t>
      </w:r>
      <w:bookmarkEnd w:id="102"/>
    </w:p>
    <w:p>
      <w:pPr>
        <w:pStyle w:val="Compact"/>
        <w:numPr>
          <w:numId w:val="1009"/>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3">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w:t>
      </w:r>
      <w:r>
        <w:t xml:space="preserve"> </w:t>
      </w:r>
      <w:hyperlink r:id="rId104">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5">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6" w:name="criminal-celebrities"/>
      <w:r>
        <w:t xml:space="preserve">Criminal Celebrities</w:t>
      </w:r>
      <w:bookmarkEnd w:id="106"/>
    </w:p>
    <w:p>
      <w:pPr>
        <w:pStyle w:val="Heading3"/>
      </w:pPr>
      <w:bookmarkStart w:id="107" w:name="simon-schuster-inc.v.-members-of-ny-state-crime-victims-bd."/>
      <w:r>
        <w:rPr>
          <w:i/>
        </w:rPr>
        <w:t xml:space="preserve">Simon &amp; Schuster, Inc. v. Members of NY State Crime Victims Bd.</w:t>
      </w:r>
      <w:bookmarkEnd w:id="107"/>
    </w:p>
    <w:p>
      <w:pPr>
        <w:pStyle w:val="Heading5"/>
      </w:pPr>
      <w:bookmarkStart w:id="108" w:name="united-states-supreme-court-1991"/>
      <w:r>
        <w:t xml:space="preserve">United States Supreme Court (1991)</w:t>
      </w:r>
      <w:bookmarkEnd w:id="108"/>
    </w:p>
    <w:p>
      <w:pPr>
        <w:pStyle w:val="Compact"/>
        <w:numPr>
          <w:numId w:val="1010"/>
          <w:ilvl w:val="0"/>
        </w:numPr>
      </w:pPr>
      <w:hyperlink r:id="rId109">
        <w:r>
          <w:rPr>
            <w:rStyle w:val="Hyperlink"/>
          </w:rPr>
          <w:t xml:space="preserve">Case on Google Scholar</w:t>
        </w:r>
      </w:hyperlink>
    </w:p>
    <w:p>
      <w:pPr>
        <w:pStyle w:val="Compact"/>
        <w:numPr>
          <w:numId w:val="1010"/>
          <w:ilvl w:val="0"/>
        </w:numPr>
      </w:pPr>
      <w:hyperlink r:id="rId110">
        <w:r>
          <w:rPr>
            <w:rStyle w:val="Hyperlink"/>
          </w:rPr>
          <w:t xml:space="preserve">Case on Westlaw</w:t>
        </w:r>
      </w:hyperlink>
    </w:p>
    <w:p>
      <w:pPr>
        <w:pStyle w:val="Compact"/>
        <w:numPr>
          <w:numId w:val="1010"/>
          <w:ilvl w:val="0"/>
        </w:numPr>
      </w:pPr>
      <w:hyperlink r:id="rId111">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2" w:name="i.a."/>
      <w:r>
        <w:t xml:space="preserve">I.A.</w:t>
      </w:r>
      <w:bookmarkEnd w:id="112"/>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3" w:name="i.b."/>
      <w:r>
        <w:t xml:space="preserve">I.B.</w:t>
      </w:r>
      <w:bookmarkEnd w:id="113"/>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4" w:name="i.c."/>
      <w:r>
        <w:t xml:space="preserve">I.C.</w:t>
      </w:r>
      <w:bookmarkEnd w:id="114"/>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5" w:name="ii.a."/>
      <w:r>
        <w:t xml:space="preserve">II.A.</w:t>
      </w:r>
      <w:bookmarkEnd w:id="115"/>
    </w:p>
    <w:p>
      <w:pPr>
        <w:pStyle w:val="FirstParagraph"/>
      </w:pPr>
      <w:r>
        <w:t xml:space="preserve">A statute is presumptively inconsistent with the First Amendment if it imposes a financial burden on speakers because of the content of their speech.</w:t>
      </w:r>
      <w:r>
        <w:t xml:space="preserve"> </w:t>
      </w:r>
      <w:hyperlink r:id="rId116">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7">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6">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hyperlink r:id="rId118">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19">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6">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w:t>
      </w:r>
      <w:r>
        <w:t xml:space="preserve">‘</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w:t>
      </w:r>
      <w:r>
        <w:t xml:space="preserve">”</w:t>
      </w:r>
      <w:r>
        <w:t xml:space="preserve"> </w:t>
      </w:r>
      <w:r>
        <w:rPr>
          <w:i/>
        </w:rPr>
        <w:t xml:space="preserve">Id.,</w:t>
      </w:r>
      <w:r>
        <w:t xml:space="preserve"> </w:t>
      </w:r>
      <w:r>
        <w:t xml:space="preserve">at 448-449 (quoting</w:t>
      </w:r>
      <w:r>
        <w:t xml:space="preserve"> </w:t>
      </w:r>
      <w:hyperlink r:id="rId120">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7">
        <w:r>
          <w:rPr>
            <w:i/>
            <w:rStyle w:val="Hyperlink"/>
          </w:rPr>
          <w:t xml:space="preserve">Arkansas Writers’ Project,</w:t>
        </w:r>
      </w:hyperlink>
      <w:r>
        <w:t xml:space="preserve">.</w:t>
      </w:r>
    </w:p>
    <w:p>
      <w:pPr>
        <w:pStyle w:val="Heading3"/>
      </w:pPr>
      <w:bookmarkStart w:id="121" w:name="ii.b."/>
      <w:r>
        <w:t xml:space="preserve">II.B.</w:t>
      </w:r>
      <w:bookmarkEnd w:id="121"/>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7">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2">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w:t>
      </w:r>
      <w:r>
        <w:t xml:space="preserve">‘</w:t>
      </w:r>
      <w:r>
        <w:t xml:space="preserve">If there is a bedrock principle underlying the First Amendment, it is that the Government may not prohibit the expression of an idea simply because society finds the idea itself offensive or disagreeable.</w:t>
      </w:r>
      <w:r>
        <w:t xml:space="preserve">’</w:t>
      </w:r>
      <w:r>
        <w:t xml:space="preserve">”</w:t>
      </w:r>
      <w:r>
        <w:t xml:space="preserv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3">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hyperlink r:id="rId124">
        <w:r>
          <w:rPr>
            <w:i/>
            <w:rStyle w:val="Hyperlink"/>
          </w:rPr>
          <w:t xml:space="preserve">Children of Bedford v. Petromelis,</w:t>
        </w:r>
      </w:hyperlink>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hyperlink r:id="rId125">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6" w:name="ii.c."/>
      <w:r>
        <w:t xml:space="preserve">II.C.</w:t>
      </w:r>
      <w:bookmarkEnd w:id="126"/>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7" w:name="iii"/>
      <w:r>
        <w:t xml:space="preserve">III</w:t>
      </w:r>
      <w:bookmarkEnd w:id="127"/>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8" w:name="son-of-sam-laws"/>
      <w:r>
        <w:t xml:space="preserve">Son of Sam Laws</w:t>
      </w:r>
      <w:bookmarkEnd w:id="128"/>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9">
        <w:r>
          <w:rPr>
            <w:rStyle w:val="Hyperlink"/>
          </w:rPr>
          <w:t xml:space="preserve">Wikipedia: Son of Sam Law</w:t>
        </w:r>
      </w:hyperlink>
      <w:r>
        <w:t xml:space="preserve">.</w:t>
      </w:r>
    </w:p>
    <w:p>
      <w:pPr>
        <w:pStyle w:val="Heading2"/>
      </w:pPr>
      <w:bookmarkStart w:id="130" w:name="transformation"/>
      <w:r>
        <w:t xml:space="preserve">Transformation</w:t>
      </w:r>
      <w:bookmarkEnd w:id="130"/>
    </w:p>
    <w:p>
      <w:pPr>
        <w:pStyle w:val="Heading3"/>
      </w:pPr>
      <w:bookmarkStart w:id="131" w:name="comedy-iii-productions-v.-gary-saderup-inc."/>
      <w:r>
        <w:rPr>
          <w:i/>
        </w:rPr>
        <w:t xml:space="preserve">Comedy III Productions v. Gary Saderup, Inc.</w:t>
      </w:r>
      <w:bookmarkEnd w:id="131"/>
    </w:p>
    <w:p>
      <w:pPr>
        <w:pStyle w:val="Heading6"/>
      </w:pPr>
      <w:bookmarkStart w:id="132" w:name="california-supreme-court-2001"/>
      <w:r>
        <w:t xml:space="preserve">California Supreme Court (2001)</w:t>
      </w:r>
      <w:bookmarkEnd w:id="132"/>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3" w:name="i.-the-statute"/>
      <w:r>
        <w:t xml:space="preserve">I. The Statute</w:t>
      </w:r>
      <w:bookmarkEnd w:id="133"/>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0">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4" w:name="ii.-facts"/>
      <w:r>
        <w:t xml:space="preserve">II. Facts</w:t>
      </w:r>
      <w:bookmarkEnd w:id="134"/>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5" w:name="iii.-discussion"/>
      <w:r>
        <w:t xml:space="preserve">III. Discussion</w:t>
      </w:r>
      <w:bookmarkEnd w:id="135"/>
    </w:p>
    <w:p>
      <w:pPr>
        <w:pStyle w:val="Heading4"/>
      </w:pPr>
      <w:bookmarkStart w:id="136" w:name="a.-the-statutory-issue"/>
      <w:r>
        <w:rPr>
          <w:i/>
        </w:rPr>
        <w:t xml:space="preserve">A. The Statutory Issue</w:t>
      </w:r>
      <w:bookmarkEnd w:id="136"/>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7" w:name="b.-the-constitutional-issue"/>
      <w:r>
        <w:rPr>
          <w:i/>
        </w:rPr>
        <w:t xml:space="preserve">B. The Constitutional Issue</w:t>
      </w:r>
      <w:bookmarkEnd w:id="137"/>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[An expressive activity] does not lose its constitutional protection because it is undertaken for profit.</w:t>
      </w:r>
      <w:r>
        <w:t xml:space="preserve">”</w:t>
      </w:r>
      <w:r>
        <w:t xml:space="preserve"> </w:t>
      </w:r>
      <w:r>
        <w:t xml:space="preserve">(</w:t>
      </w:r>
      <w:hyperlink r:id="rId138">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w:t>
      </w:r>
      <w:r>
        <w:t xml:space="preserve">to preserve an uninhibited marketplace of ideas</w:t>
      </w:r>
      <w:r>
        <w:t xml:space="preserve">’</w:t>
      </w:r>
      <w:r>
        <w:t xml:space="preserve"> </w:t>
      </w:r>
      <w:r>
        <w:t xml:space="preserve">and to repel efforts to limit the</w:t>
      </w:r>
      <w:r>
        <w:t xml:space="preserve"> </w:t>
      </w:r>
      <w:r>
        <w:t xml:space="preserve">‘</w:t>
      </w:r>
      <w:r>
        <w:t xml:space="preserve">“</w:t>
      </w:r>
      <w:r>
        <w:t xml:space="preserve">uninhibited, robust and wideopen</w:t>
      </w:r>
      <w:r>
        <w:t xml:space="preserve">”</w:t>
      </w:r>
      <w:r>
        <w:t xml:space="preserve"> </w:t>
      </w:r>
      <w:r>
        <w:t xml:space="preserve">debate on public issues.</w:t>
      </w:r>
      <w:r>
        <w:t xml:space="preserve">’</w:t>
      </w:r>
      <w:r>
        <w:t xml:space="preserve">”</w:t>
      </w:r>
      <w:r>
        <w:t xml:space="preserve"> </w:t>
      </w:r>
      <w:hyperlink r:id="rId138">
        <w:r>
          <w:rPr>
            <w:i/>
            <w:rStyle w:val="Hyperlink"/>
          </w:rPr>
          <w:t xml:space="preserve">Guglielmi</w:t>
        </w:r>
      </w:hyperlink>
      <w:r>
        <w:t xml:space="preserve">. 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1">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 the Court held that they were clearly protected expression under the First Amendment and indeed would be protected even if they conveyed</w:t>
      </w:r>
      <w:r>
        <w:t xml:space="preserve"> </w:t>
      </w:r>
      <w:r>
        <w:t xml:space="preserve">“</w:t>
      </w:r>
      <w:r>
        <w:t xml:space="preserve">no discernable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0">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4">
        <w:r>
          <w:rPr>
            <w:i/>
            <w:rStyle w:val="Hyperlink"/>
          </w:rPr>
          <w:t xml:space="preserve">Zacchini</w:t>
        </w:r>
      </w:hyperlink>
      <w:r>
        <w:t xml:space="preserve">,</w:t>
      </w:r>
      <w:r>
        <w:t xml:space="preserve"> </w:t>
      </w:r>
      <w:r>
        <w:t xml:space="preserve">and found two principles applicable to this case:</w:t>
      </w:r>
    </w:p>
    <w:p>
      <w:pPr>
        <w:pStyle w:val="Compact"/>
        <w:numPr>
          <w:numId w:val="1011"/>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1"/>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0">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8">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9">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4">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40">
        <w:r>
          <w:rPr>
            <w:i/>
            <w:rStyle w:val="Hyperlink"/>
          </w:rPr>
          <w:t xml:space="preserve">Cardtoons, L.C v. Major League Baseball</w:t>
        </w:r>
        <w:r>
          <w:rPr>
            <w:i/>
            <w:rStyle w:val="Hyperlink"/>
          </w:rPr>
          <w:t xml:space="preserve"> </w:t>
        </w:r>
        <w:r>
          <w:rPr>
            <w:i/>
            <w:rStyle w:val="Hyperlink"/>
          </w:rPr>
          <w:t xml:space="preserve">Players Association</w:t>
        </w:r>
        <w:r>
          <w:rPr>
            <w:rStyle w:val="Hyperlink"/>
          </w:rPr>
          <w:t xml:space="preserve"> </w:t>
        </w:r>
        <w:r>
          <w:rPr>
            <w:rStyle w:val="Hyperlink"/>
          </w:rPr>
          <w:t xml:space="preserve">(10th Cir. 1996)</w:t>
        </w:r>
      </w:hyperlink>
      <w:r>
        <w:t xml:space="preserve">.</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40">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7">
        <w:r>
          <w:rPr>
            <w:i/>
            <w:rStyle w:val="Hyperlink"/>
          </w:rPr>
          <w:t xml:space="preserve">Hustler Magazine v. Falwell</w:t>
        </w:r>
      </w:hyperlink>
      <w:r>
        <w:t xml:space="preserve">; see also</w:t>
      </w:r>
      <w:r>
        <w:t xml:space="preserve"> </w:t>
      </w:r>
      <w:hyperlink r:id="rId139">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41">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2">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3" w:name="iv.-disposition"/>
      <w:r>
        <w:t xml:space="preserve">IV. Disposition</w:t>
      </w:r>
      <w:bookmarkEnd w:id="143"/>
    </w:p>
    <w:p>
      <w:pPr>
        <w:pStyle w:val="FirstParagraph"/>
      </w:pPr>
      <w:r>
        <w:t xml:space="preserve">The judgment of the Court of Appeal is affirmed.</w:t>
      </w:r>
    </w:p>
    <w:p>
      <w:pPr>
        <w:pStyle w:val="Heading3"/>
      </w:pPr>
      <w:bookmarkStart w:id="144" w:name="news-note"/>
      <w:r>
        <w:t xml:space="preserve">News Note</w:t>
      </w:r>
      <w:bookmarkEnd w:id="144"/>
    </w:p>
    <w:p>
      <w:pPr>
        <w:pStyle w:val="FirstParagraph"/>
      </w:pPr>
      <w:r>
        <w:t xml:space="preserve">Dear Class:</w:t>
      </w:r>
    </w:p>
    <w:p>
      <w:pPr>
        <w:pStyle w:val="BodyText"/>
      </w:pPr>
      <w:r>
        <w:t xml:space="preserve">One of you gamers please pursue the below article and update me?</w:t>
      </w:r>
    </w:p>
    <w:p>
      <w:pPr>
        <w:pStyle w:val="BodyText"/>
      </w:pPr>
      <w:r>
        <w:t xml:space="preserve">RD</w:t>
      </w:r>
    </w:p>
    <w:p>
      <w:pPr>
        <w:pStyle w:val="Heading4"/>
      </w:pPr>
      <w:bookmarkStart w:id="145" w:name="davis-v.-electronic-arts-inc."/>
      <w:r>
        <w:t xml:space="preserve">Davis v. Electronic Arts, Inc.</w:t>
      </w:r>
      <w:bookmarkEnd w:id="145"/>
    </w:p>
    <w:p>
      <w:pPr>
        <w:pStyle w:val="Heading6"/>
      </w:pPr>
      <w:bookmarkStart w:id="146" w:name="appeal-from-9th-circuit-court-of-appeals"/>
      <w:r>
        <w:t xml:space="preserve">Appeal from 9th Circuit Court of Appeals</w:t>
      </w:r>
      <w:bookmarkEnd w:id="146"/>
    </w:p>
    <w:p>
      <w:pPr>
        <w:pStyle w:val="FirstParagraph"/>
      </w:pPr>
      <w:hyperlink r:id="rId147">
        <w:r>
          <w:rPr>
            <w:rStyle w:val="Hyperlink"/>
          </w:rPr>
          <w:t xml:space="preserve">Davis v. Electronic Arts, Inc.</w:t>
        </w:r>
      </w:hyperlink>
    </w:p>
    <w:p>
      <w:pPr>
        <w:pStyle w:val="BodyText"/>
      </w:pPr>
      <w:r>
        <w:t xml:space="preserve">Oct. 15 — A petition for Supreme Court review was filed Oct. 5 in a right of publicity case involving former National Football League players who sued Electronic Arts for including their likenesses in its Madden NFL video game without their permission (Elec. Arts Inc. v. Davis, U.S., No. 15-424, review sought 10/5/15).</w:t>
      </w:r>
    </w:p>
    <w:p>
      <w:pPr>
        <w:pStyle w:val="BodyText"/>
      </w:pPr>
      <w:r>
        <w:t xml:space="preserve">The U.S. Court of Appeals for the Ninth Circuit dismissed EA’s transformative-use defense to the claims in January. Davis v. Elec. Arts Inc., , 43 Med.L.Rptr. 1073, 9th Cir., No. 12-15737, 1/6/15.</w:t>
      </w:r>
    </w:p>
    <w:p>
      <w:pPr>
        <w:pStyle w:val="BodyText"/>
      </w:pPr>
      <w:r>
        <w:t xml:space="preserve">In the Ninth Circuit, a person’s right of publicity is not violated if their likeness is used in a transformative way—that is, if significant creative elements are added that transform the use into something more than just a celebrity likeness or imitation.</w:t>
      </w:r>
    </w:p>
    <w:p>
      <w:pPr>
        <w:pStyle w:val="BodyText"/>
      </w:pPr>
      <w:r>
        <w:t xml:space="preserve">However, the Ninth Circuit ruled that EA’s use of the players’ likenesses</w:t>
      </w:r>
      <w:r>
        <w:t xml:space="preserve"> </w:t>
      </w:r>
      <w:r>
        <w:t xml:space="preserve">“</w:t>
      </w:r>
      <w:r>
        <w:t xml:space="preserve">in the performance of the same activity for which they are known in real life—playing football for an NFL team</w:t>
      </w:r>
      <w:r>
        <w:t xml:space="preserve">”</w:t>
      </w:r>
      <w:r>
        <w:t xml:space="preserve">—was not transformative.</w:t>
      </w:r>
      <w:r>
        <w:t xml:space="preserve"> </w:t>
      </w:r>
      <w:r>
        <w:t xml:space="preserve">EA argued in the Supreme Court petition that the transformative-use test is</w:t>
      </w:r>
      <w:r>
        <w:t xml:space="preserve"> </w:t>
      </w:r>
      <w:r>
        <w:t xml:space="preserve">“</w:t>
      </w:r>
      <w:r>
        <w:t xml:space="preserve">constitutionally perverse,</w:t>
      </w:r>
      <w:r>
        <w:t xml:space="preserve">”</w:t>
      </w:r>
      <w:r>
        <w:t xml:space="preserve"> </w:t>
      </w:r>
      <w:r>
        <w:t xml:space="preserve">giving First Amendment protection</w:t>
      </w:r>
      <w:r>
        <w:t xml:space="preserve"> </w:t>
      </w:r>
      <w:r>
        <w:t xml:space="preserve">“</w:t>
      </w:r>
      <w:r>
        <w:t xml:space="preserve">only to fanciful or distorted portrayals, not accurate or realistic ones.</w:t>
      </w:r>
      <w:r>
        <w:t xml:space="preserve">”</w:t>
      </w:r>
      <w:r>
        <w:t xml:space="preserve"> </w:t>
      </w:r>
      <w:r>
        <w:t xml:space="preserve">The case would be only the second right of publicity case ever considered by the Supreme Court, after Zacchini v. Scripps-Howard Broadcasting Co., 433 U.S. 562, 2 Med.L.Rptr. 2089 (1977), in which the court ruled that a local news station had infringed a performer’s publicity rights by broadcasting the entirety of his 15 second</w:t>
      </w:r>
      <w:r>
        <w:t xml:space="preserve"> </w:t>
      </w:r>
      <w:r>
        <w:t xml:space="preserve">“</w:t>
      </w:r>
      <w:r>
        <w:t xml:space="preserve">human cannonball</w:t>
      </w:r>
      <w:r>
        <w:t xml:space="preserve">”</w:t>
      </w:r>
      <w:r>
        <w:t xml:space="preserve"> </w:t>
      </w:r>
      <w:r>
        <w:t xml:space="preserve">routine without his permission.</w:t>
      </w:r>
      <w:r>
        <w:t xml:space="preserve"> </w:t>
      </w:r>
      <w:r>
        <w:t xml:space="preserve">EA said that Zacchini</w:t>
      </w:r>
      <w:r>
        <w:t xml:space="preserve"> </w:t>
      </w:r>
      <w:r>
        <w:t xml:space="preserve">“</w:t>
      </w:r>
      <w:r>
        <w:t xml:space="preserve">offers little to no guidance in cases involving mere depictions of individuals, as opposed to appropriation of their actual performances in full.</w:t>
      </w:r>
      <w:r>
        <w:t xml:space="preserve">”</w:t>
      </w:r>
    </w:p>
    <w:p>
      <w:pPr>
        <w:pStyle w:val="BodyText"/>
      </w:pPr>
      <w:r>
        <w:t xml:space="preserve">Right of publicity law currently exists under a patchwork of state laws and court decisions—and in some states, this right is not recognized at all. EA said the Supreme Court’s review is</w:t>
      </w:r>
      <w:r>
        <w:t xml:space="preserve"> </w:t>
      </w:r>
      <w:r>
        <w:t xml:space="preserve">“</w:t>
      </w:r>
      <w:r>
        <w:t xml:space="preserve">urgently needed to resolve conflicting authority</w:t>
      </w:r>
      <w:r>
        <w:t xml:space="preserve">”</w:t>
      </w:r>
      <w:r>
        <w:t xml:space="preserve"> </w:t>
      </w:r>
      <w:r>
        <w:t xml:space="preserve">about the right of publicity and the First Amendment.</w:t>
      </w:r>
      <w:r>
        <w:t xml:space="preserve"> </w:t>
      </w:r>
      <w:r>
        <w:t xml:space="preserve">The transformative-use test is utilized by the Third and Ninth Circuits, while four other circuits have held—under what is called the Rogers test—that the right of publicity is only violated if the use of a likeness amounts to an unauthorized commercial endorsement.</w:t>
      </w:r>
      <w:r>
        <w:t xml:space="preserve"> </w:t>
      </w:r>
      <w:r>
        <w:t xml:space="preserve">EA said the Rogers test is more appropriate because it</w:t>
      </w:r>
      <w:r>
        <w:t xml:space="preserve"> </w:t>
      </w:r>
      <w:r>
        <w:t xml:space="preserve">“</w:t>
      </w:r>
      <w:r>
        <w:t xml:space="preserve">confines the right of publicity to circumstances where its application does not violate the First Amendment.</w:t>
      </w:r>
      <w:r>
        <w:t xml:space="preserve">”</w:t>
      </w:r>
    </w:p>
    <w:p>
      <w:pPr>
        <w:pStyle w:val="BodyText"/>
      </w:pPr>
      <w:r>
        <w:t xml:space="preserve">EA argued that the transformative-use test should be subject to strict scrutiny because it</w:t>
      </w:r>
      <w:r>
        <w:t xml:space="preserve"> </w:t>
      </w:r>
      <w:r>
        <w:t xml:space="preserve">“</w:t>
      </w:r>
      <w:r>
        <w:t xml:space="preserve">penalizes fully protected and valuable speech based on its content,</w:t>
      </w:r>
      <w:r>
        <w:t xml:space="preserve">”</w:t>
      </w:r>
      <w:r>
        <w:t xml:space="preserve"> </w:t>
      </w:r>
      <w:r>
        <w:t xml:space="preserve">by restricting protected speech because it includes the likeness of another person.</w:t>
      </w:r>
    </w:p>
    <w:p>
      <w:pPr>
        <w:pStyle w:val="BodyText"/>
      </w:pPr>
      <w:r>
        <w:t xml:space="preserve">The question presented in the petition for writ of certiorari is</w:t>
      </w:r>
      <w:r>
        <w:t xml:space="preserve"> </w:t>
      </w:r>
      <w:r>
        <w:t xml:space="preserve">“</w:t>
      </w:r>
      <w:r>
        <w:t xml:space="preserve">[w]hether the First Amendment protects a speaker against a state-law right-of-publicity claim that challenges the realistic portrayal of a person in an expressive work.</w:t>
      </w:r>
      <w:r>
        <w:t xml:space="preserve">”</w:t>
      </w:r>
    </w:p>
    <w:p>
      <w:pPr>
        <w:pStyle w:val="BodyText"/>
      </w:pPr>
      <w:r>
        <w:t xml:space="preserve">To contact the reporter on this story: Blake Brittain in Washington at bbrittain@bna.com</w:t>
      </w:r>
    </w:p>
    <w:p>
      <w:pPr>
        <w:pStyle w:val="BodyText"/>
      </w:pPr>
      <w:r>
        <w:t xml:space="preserve">To contact the editor responsible for this story: Mike Wilczek at mwilczek@bna.com</w:t>
      </w:r>
    </w:p>
    <w:p>
      <w:pPr>
        <w:pStyle w:val="Heading3"/>
      </w:pPr>
      <w:bookmarkStart w:id="148" w:name="other-cases-mentioned-in-class"/>
      <w:r>
        <w:t xml:space="preserve">Other Cases Mentioned In Class</w:t>
      </w:r>
      <w:bookmarkEnd w:id="148"/>
    </w:p>
    <w:p>
      <w:pPr>
        <w:pStyle w:val="Heading4"/>
      </w:pPr>
      <w:bookmarkStart w:id="149" w:name="parks-v.-laface-records"/>
      <w:r>
        <w:rPr>
          <w:i/>
        </w:rPr>
        <w:t xml:space="preserve">Parks v. LaFace Records</w:t>
      </w:r>
      <w:bookmarkEnd w:id="149"/>
    </w:p>
    <w:p>
      <w:pPr>
        <w:pStyle w:val="Heading6"/>
      </w:pPr>
      <w:bookmarkStart w:id="150" w:name="th-cir.-2001"/>
      <w:r>
        <w:t xml:space="preserve">(6th Cir. 2001)</w:t>
      </w:r>
      <w:bookmarkEnd w:id="150"/>
    </w:p>
    <w:p>
      <w:pPr>
        <w:pStyle w:val="Compact"/>
        <w:numPr>
          <w:numId w:val="1012"/>
          <w:ilvl w:val="0"/>
        </w:numPr>
      </w:pPr>
      <w:hyperlink r:id="rId151">
        <w:r>
          <w:rPr>
            <w:rStyle w:val="Hyperlink"/>
          </w:rPr>
          <w:t xml:space="preserve">case on Westlaw</w:t>
        </w:r>
      </w:hyperlink>
    </w:p>
    <w:p>
      <w:pPr>
        <w:pStyle w:val="Compact"/>
        <w:numPr>
          <w:numId w:val="1012"/>
          <w:ilvl w:val="0"/>
        </w:numPr>
      </w:pPr>
      <w:hyperlink r:id="rId152">
        <w:r>
          <w:rPr>
            <w:rStyle w:val="Hyperlink"/>
          </w:rPr>
          <w:t xml:space="preserve">case on Wikipedia</w:t>
        </w:r>
      </w:hyperlink>
    </w:p>
    <w:p>
      <w:pPr>
        <w:pStyle w:val="Heading4"/>
      </w:pPr>
      <w:bookmarkStart w:id="153" w:name="etw-corp.v.-jireh-publishing"/>
      <w:r>
        <w:rPr>
          <w:i/>
        </w:rPr>
        <w:t xml:space="preserve">ETW Corp. v. Jireh Publishing</w:t>
      </w:r>
      <w:bookmarkEnd w:id="153"/>
    </w:p>
    <w:p>
      <w:pPr>
        <w:pStyle w:val="Heading6"/>
      </w:pPr>
      <w:bookmarkStart w:id="154" w:name="th-cir.-2003"/>
      <w:r>
        <w:t xml:space="preserve">(6th Cir. 2003)</w:t>
      </w:r>
      <w:bookmarkEnd w:id="154"/>
    </w:p>
    <w:p>
      <w:pPr>
        <w:pStyle w:val="Compact"/>
        <w:numPr>
          <w:numId w:val="1013"/>
          <w:ilvl w:val="0"/>
        </w:numPr>
      </w:pPr>
      <w:hyperlink r:id="rId155">
        <w:r>
          <w:rPr>
            <w:rStyle w:val="Hyperlink"/>
          </w:rPr>
          <w:t xml:space="preserve">case on Westlaw</w:t>
        </w:r>
      </w:hyperlink>
    </w:p>
    <w:p>
      <w:pPr>
        <w:pStyle w:val="Compact"/>
        <w:numPr>
          <w:numId w:val="1013"/>
          <w:ilvl w:val="0"/>
        </w:numPr>
      </w:pPr>
      <w:hyperlink r:id="rId156">
        <w:r>
          <w:rPr>
            <w:rStyle w:val="Hyperlink"/>
          </w:rPr>
          <w:t xml:space="preserve">Art on Trial</w:t>
        </w:r>
      </w:hyperlink>
      <w:r>
        <w:t xml:space="preserve">.</w:t>
      </w:r>
    </w:p>
    <w:p>
      <w:pPr>
        <w:pStyle w:val="Heading4"/>
      </w:pPr>
      <w:bookmarkStart w:id="157" w:name="trademark-lanham-act-language"/>
      <w:r>
        <w:t xml:space="preserve">Trademark (Lanham Act) Language</w:t>
      </w:r>
      <w:bookmarkEnd w:id="157"/>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58" w:name="volokh-right-of-publicity-speech-categories"/>
      <w:r>
        <w:t xml:space="preserve">Volokh Right-Of-Publicity Speech Categories</w:t>
      </w:r>
      <w:bookmarkEnd w:id="158"/>
    </w:p>
    <w:p>
      <w:pPr>
        <w:pStyle w:val="Compact"/>
        <w:numPr>
          <w:numId w:val="1016"/>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59" w:name="referencefootnote-cases"/>
      <w:r>
        <w:t xml:space="preserve">Reference/Footnote Cases</w:t>
      </w:r>
      <w:bookmarkEnd w:id="159"/>
    </w:p>
    <w:p>
      <w:pPr>
        <w:pStyle w:val="Compact"/>
        <w:numPr>
          <w:numId w:val="1021"/>
          <w:ilvl w:val="0"/>
        </w:numPr>
      </w:pPr>
      <w:hyperlink r:id="rId160">
        <w:r>
          <w:rPr>
            <w:i/>
            <w:rStyle w:val="Hyperlink"/>
          </w:rPr>
          <w:t xml:space="preserve">Matthews v. Wozencraft,</w:t>
        </w:r>
      </w:hyperlink>
      <w:r>
        <w:t xml:space="preserve"> </w:t>
      </w:r>
      <w:r>
        <w:t xml:space="preserve">15 F.3d 432 (5th Cir. 1994).</w:t>
      </w:r>
    </w:p>
    <w:p>
      <w:pPr>
        <w:pStyle w:val="Compact"/>
        <w:numPr>
          <w:numId w:val="1021"/>
          <w:ilvl w:val="0"/>
        </w:numPr>
      </w:pPr>
      <w:hyperlink r:id="rId161">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62">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63">
        <w:r>
          <w:rPr>
            <w:rStyle w:val="Hyperlink"/>
          </w:rPr>
          <w:t xml:space="preserve">Juris Notes</w:t>
        </w:r>
      </w:hyperlink>
      <w:r>
        <w:t xml:space="preserve">.</w:t>
      </w:r>
    </w:p>
    <w:p>
      <w:pPr>
        <w:pStyle w:val="Compact"/>
        <w:numPr>
          <w:numId w:val="1021"/>
          <w:ilvl w:val="0"/>
        </w:numPr>
      </w:pPr>
      <w:hyperlink r:id="rId164">
        <w:r>
          <w:rPr>
            <w:i/>
            <w:rStyle w:val="Hyperlink"/>
          </w:rPr>
          <w:t xml:space="preserve">Zacchini v. Scripps-Howard Broadcasting</w:t>
        </w:r>
      </w:hyperlink>
      <w:r>
        <w:t xml:space="preserve">, 433 US 562 (1977).</w:t>
      </w:r>
      <w:r>
        <w:t xml:space="preserve"> </w:t>
      </w:r>
      <w:hyperlink r:id="rId55">
        <w:r>
          <w:rPr>
            <w:rStyle w:val="Hyperlink"/>
          </w:rPr>
          <w:t xml:space="preserve">Wikipedia</w:t>
        </w:r>
      </w:hyperlink>
      <w:r>
        <w:t xml:space="preserve">.</w:t>
      </w:r>
    </w:p>
    <w:p>
      <w:pPr>
        <w:pStyle w:val="Compact"/>
        <w:numPr>
          <w:numId w:val="1021"/>
          <w:ilvl w:val="0"/>
        </w:numPr>
      </w:pPr>
      <w:hyperlink r:id="rId165">
        <w:r>
          <w:rPr>
            <w:i/>
            <w:rStyle w:val="Hyperlink"/>
          </w:rPr>
          <w:t xml:space="preserve">Hicks v. Casablanca Records,</w:t>
        </w:r>
      </w:hyperlink>
      <w:r>
        <w:t xml:space="preserve"> </w:t>
      </w:r>
      <w:r>
        <w:t xml:space="preserve">464 F.Supp. 426 (SDNY 1978).</w:t>
      </w:r>
    </w:p>
    <w:p>
      <w:pPr>
        <w:pStyle w:val="Compact"/>
        <w:numPr>
          <w:numId w:val="1021"/>
          <w:ilvl w:val="0"/>
        </w:numPr>
      </w:pPr>
      <w:hyperlink r:id="rId166">
        <w:r>
          <w:rPr>
            <w:i/>
            <w:rStyle w:val="Hyperlink"/>
          </w:rPr>
          <w:t xml:space="preserve">Keenan v. Superior Court Los Angeles County,</w:t>
        </w:r>
      </w:hyperlink>
      <w:r>
        <w:t xml:space="preserve"> </w:t>
      </w:r>
      <w:r>
        <w:t xml:space="preserve">40 P.3d 718 (2002).</w:t>
      </w:r>
      <w:r>
        <w:t xml:space="preserve"> </w:t>
      </w:r>
      <w:hyperlink r:id="rId167">
        <w:r>
          <w:rPr>
            <w:rStyle w:val="Hyperlink"/>
          </w:rPr>
          <w:t xml:space="preserve">Reporters Committee For Freedom of the Press</w:t>
        </w:r>
      </w:hyperlink>
      <w:r>
        <w:t xml:space="preserve">.</w:t>
      </w:r>
    </w:p>
    <w:p>
      <w:pPr>
        <w:pStyle w:val="Heading5"/>
      </w:pPr>
      <w:bookmarkStart w:id="168" w:name="hurt-locker"/>
      <w:r>
        <w:t xml:space="preserve">Hurt Locker</w:t>
      </w:r>
      <w:bookmarkEnd w:id="168"/>
    </w:p>
    <w:p>
      <w:pPr>
        <w:pStyle w:val="FirstParagraph"/>
      </w:pPr>
      <w:hyperlink r:id="rId169">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70" w:name="totally-optional-readings-viewings"/>
      <w:r>
        <w:t xml:space="preserve">Totally Optional Readings &amp; Viewings</w:t>
      </w:r>
      <w:bookmarkEnd w:id="170"/>
    </w:p>
    <w:p>
      <w:pPr>
        <w:pStyle w:val="Compact"/>
        <w:numPr>
          <w:numId w:val="1022"/>
          <w:ilvl w:val="0"/>
        </w:numPr>
      </w:pPr>
      <w:hyperlink r:id="rId171">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2"/>
          <w:ilvl w:val="0"/>
        </w:numPr>
      </w:pPr>
      <w:hyperlink r:id="rId172">
        <w:r>
          <w:rPr>
            <w:rStyle w:val="Hyperlink"/>
          </w:rPr>
          <w:t xml:space="preserve">Katherine Heigl Sues Duane Reed Drug Stores Over Photo</w:t>
        </w:r>
      </w:hyperlink>
    </w:p>
    <w:p>
      <w:pPr>
        <w:pStyle w:val="Compact"/>
        <w:numPr>
          <w:numId w:val="1022"/>
          <w:ilvl w:val="0"/>
        </w:numPr>
      </w:pPr>
      <w:hyperlink r:id="rId173">
        <w:r>
          <w:rPr>
            <w:rStyle w:val="Hyperlink"/>
          </w:rPr>
          <w:t xml:space="preserve">Katherine Heigl Ends Lawsuit Over Duane Reade Tweet (Exclusive)</w:t>
        </w:r>
      </w:hyperlink>
    </w:p>
    <w:p>
      <w:pPr>
        <w:pStyle w:val="Compact"/>
        <w:numPr>
          <w:numId w:val="1022"/>
          <w:ilvl w:val="0"/>
        </w:numPr>
      </w:pPr>
      <w:hyperlink r:id="rId174">
        <w:r>
          <w:rPr>
            <w:rStyle w:val="Hyperlink"/>
          </w:rPr>
          <w:t xml:space="preserve">Lindsay Lohan is suing the makers of Grand Theft Auto V</w:t>
        </w:r>
      </w:hyperlink>
    </w:p>
    <w:p>
      <w:pPr>
        <w:pStyle w:val="Compact"/>
        <w:numPr>
          <w:numId w:val="1022"/>
          <w:ilvl w:val="0"/>
        </w:numPr>
      </w:pPr>
      <w:hyperlink r:id="rId175">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76">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55ebb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f0bc97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5af82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7d6b79c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0" Target="http://lawschool.westlaw.com/shared/westlawRedirect.aspx?task=find&amp;cite=15f3d432&amp;appflag=67.12" TargetMode="External" /><Relationship Type="http://schemas.openxmlformats.org/officeDocument/2006/relationships/hyperlink" Id="rId162" Target="http://lawschool.westlaw.com/shared/westlawRedirect.aspx?task=find&amp;cite=21+p3d+797&amp;appflag=67.12" TargetMode="External" /><Relationship Type="http://schemas.openxmlformats.org/officeDocument/2006/relationships/hyperlink" Id="rId166"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4" Target="http://lawschool.westlaw.com/shared/westlawRedirect.aspx?task=find&amp;cite=433us562&amp;appflag=67.12" TargetMode="External" /><Relationship Type="http://schemas.openxmlformats.org/officeDocument/2006/relationships/hyperlink" Id="rId165"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147" Target="http://medialaw.bna.com/medw/display/link_res.adp?lt=email&amp;fname=A0H4F2T4F5&amp;lf=eml&amp;emc=medw:medw:119"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0"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40" Target="http://scholar.google.com/scholar_case?case=16551870099624462955" TargetMode="External" /><Relationship Type="http://schemas.openxmlformats.org/officeDocument/2006/relationships/hyperlink" Id="rId139" Target="http://scholar.google.com/scholar_case?case=16686162998040575773" TargetMode="External" /><Relationship Type="http://schemas.openxmlformats.org/officeDocument/2006/relationships/hyperlink" Id="rId141"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2"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8" Target="http://scholar.google.com/scholar_case?case=3956106467746132778" TargetMode="External" /><Relationship Type="http://schemas.openxmlformats.org/officeDocument/2006/relationships/hyperlink" Id="rId48"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4"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61"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76" Target="http://www.hollywoodreporter.com/thr-esq/bing-crosbys-first-wife-denied-675755" TargetMode="External" /><Relationship Type="http://schemas.openxmlformats.org/officeDocument/2006/relationships/hyperlink" Id="rId171" Target="http://www.hollywoodreporter.com/thr-esq/call-duty-can-rudy-giuliani-734737" TargetMode="External" /><Relationship Type="http://schemas.openxmlformats.org/officeDocument/2006/relationships/hyperlink" Id="rId175" Target="http://www.hollywoodreporter.com/thr-esq/james-franco-sued-violating-film-699013" TargetMode="External" /><Relationship Type="http://schemas.openxmlformats.org/officeDocument/2006/relationships/hyperlink" Id="rId17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3" Target="http://www.jurisnotes.com/IP/articles/acriticalexam.htm" TargetMode="External" /><Relationship Type="http://schemas.openxmlformats.org/officeDocument/2006/relationships/hyperlink" Id="rId167"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2" Target="http://www.washingtonpost.com/entertainment/celebrities/actress-heigl-sues-pharmacy-company-over-photo/2014/04/09/ffa1b0aa-c03a-11e3-9ee7-02c1e10a03f0_story.html" TargetMode="External" /><Relationship Type="http://schemas.openxmlformats.org/officeDocument/2006/relationships/hyperlink" Id="rId129"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69" Target="https://www.hollywoodreporter.com/thr-esq/appeals-court-hurt-locker-is-866687" TargetMode="External" /></Relationships>
</file>

<file path=word/_rels/footnotes.xml.rels><?xml version="1.0" encoding="UTF-8"?>
<Relationships xmlns="http://schemas.openxmlformats.org/package/2006/relationships"><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0" Target="http://lawschool.westlaw.com/shared/westlawRedirect.aspx?task=find&amp;cite=15f3d432&amp;appflag=67.12" TargetMode="External" /><Relationship Type="http://schemas.openxmlformats.org/officeDocument/2006/relationships/hyperlink" Id="rId162" Target="http://lawschool.westlaw.com/shared/westlawRedirect.aspx?task=find&amp;cite=21+p3d+797&amp;appflag=67.12" TargetMode="External" /><Relationship Type="http://schemas.openxmlformats.org/officeDocument/2006/relationships/hyperlink" Id="rId166"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4" Target="http://lawschool.westlaw.com/shared/westlawRedirect.aspx?task=find&amp;cite=433us562&amp;appflag=67.12" TargetMode="External" /><Relationship Type="http://schemas.openxmlformats.org/officeDocument/2006/relationships/hyperlink" Id="rId165"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147" Target="http://medialaw.bna.com/medw/display/link_res.adp?lt=email&amp;fname=A0H4F2T4F5&amp;lf=eml&amp;emc=medw:medw:119"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0"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40" Target="http://scholar.google.com/scholar_case?case=16551870099624462955" TargetMode="External" /><Relationship Type="http://schemas.openxmlformats.org/officeDocument/2006/relationships/hyperlink" Id="rId139" Target="http://scholar.google.com/scholar_case?case=16686162998040575773" TargetMode="External" /><Relationship Type="http://schemas.openxmlformats.org/officeDocument/2006/relationships/hyperlink" Id="rId141"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2"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8" Target="http://scholar.google.com/scholar_case?case=3956106467746132778" TargetMode="External" /><Relationship Type="http://schemas.openxmlformats.org/officeDocument/2006/relationships/hyperlink" Id="rId48"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4"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61"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76" Target="http://www.hollywoodreporter.com/thr-esq/bing-crosbys-first-wife-denied-675755" TargetMode="External" /><Relationship Type="http://schemas.openxmlformats.org/officeDocument/2006/relationships/hyperlink" Id="rId171" Target="http://www.hollywoodreporter.com/thr-esq/call-duty-can-rudy-giuliani-734737" TargetMode="External" /><Relationship Type="http://schemas.openxmlformats.org/officeDocument/2006/relationships/hyperlink" Id="rId175" Target="http://www.hollywoodreporter.com/thr-esq/james-franco-sued-violating-film-699013" TargetMode="External" /><Relationship Type="http://schemas.openxmlformats.org/officeDocument/2006/relationships/hyperlink" Id="rId17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3" Target="http://www.jurisnotes.com/IP/articles/acriticalexam.htm" TargetMode="External" /><Relationship Type="http://schemas.openxmlformats.org/officeDocument/2006/relationships/hyperlink" Id="rId167"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2" Target="http://www.washingtonpost.com/entertainment/celebrities/actress-heigl-sues-pharmacy-company-over-photo/2014/04/09/ffa1b0aa-c03a-11e3-9ee7-02c1e10a03f0_story.html" TargetMode="External" /><Relationship Type="http://schemas.openxmlformats.org/officeDocument/2006/relationships/hyperlink" Id="rId129"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69" Target="https://www.hollywoodreporter.com/thr-esq/appeals-court-hurt-locker-is-86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2018-02-10T02:35:07Z</dcterms:created>
  <dcterms:modified xsi:type="dcterms:W3CDTF">2018-02-10T02:35:07Z</dcterms:modified>
</cp:coreProperties>
</file>