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doing-deals"/>
      <w:bookmarkEnd w:id="21"/>
      <w:r>
        <w:t xml:space="preserve">Doing Deals</w:t>
      </w:r>
    </w:p>
    <w:p>
      <w:pPr>
        <w:pStyle w:val="Heading6"/>
      </w:pPr>
      <w:bookmarkStart w:id="22" w:name="by-richard-dooling"/>
      <w:bookmarkEnd w:id="22"/>
      <w:r>
        <w:t xml:space="preserve">by Richard Dooling</w:t>
      </w:r>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 "we are closed,"</w:t>
      </w:r>
      <w:r>
        <w:t xml:space="preserve"> </w:t>
      </w:r>
      <w:r>
        <w:t xml:space="preserve">after which everybody makes friendly noises.</w:t>
      </w:r>
      <w:r>
        <w:t xml:space="preserve"> </w:t>
      </w:r>
      <w:r>
        <w:t xml:space="preserve">That means you have a deal,</w:t>
      </w:r>
      <w:r>
        <w:t xml:space="preserve"> </w:t>
      </w:r>
      <w:r>
        <w:t xml:space="preserve">and 99% of the time you DO 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to fuss over contract language and obtain signatures.</w:t>
      </w:r>
      <w:r>
        <w:t xml:space="preserve"> </w:t>
      </w:r>
      <w:r>
        <w:t xml:space="preserve">Usually the bargains struck work out fine.</w:t>
      </w:r>
      <w:r>
        <w:t xml:space="preserve"> </w:t>
      </w:r>
      <w:r>
        <w:t xml:space="preserve">Blockbusters and</w:t>
      </w:r>
      <w:r>
        <w:t xml:space="preserve"> </w:t>
      </w:r>
      <w:hyperlink r:id="rId23">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 "deal memo,"</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b/>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 "agree to agree" only after some uncertain event?</w:t>
      </w:r>
      <w:r>
        <w:t xml:space="preserve"> </w:t>
      </w:r>
      <w:r>
        <w:t xml:space="preserve">For example, "Yes, we agreed to make this deal,</w:t>
      </w:r>
      <w:r>
        <w:t xml:space="preserve"> </w:t>
      </w:r>
      <w:r>
        <w:t xml:space="preserve">but only if Spielberg directs and Daniel Craig plays the hero."</w:t>
      </w:r>
      <w:r>
        <w:t xml:space="preserve"> </w:t>
      </w:r>
      <w:r>
        <w:t xml:space="preserve">Is this a deal? Or just a deal to make a deal IF---?</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4" w:name="stages-of-film-production"/>
      <w:bookmarkEnd w:id="24"/>
      <w:r>
        <w:t xml:space="preserve">5 Stages of Film Production</w:t>
      </w:r>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5" w:name="a-deal-contract-contains-all-of-the-following"/>
      <w:bookmarkEnd w:id="25"/>
      <w:r>
        <w:t xml:space="preserve">A Deal (Contract) Contains All Of The Following:</w:t>
      </w:r>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6" w:name="offer-and-acceptance"/>
      <w:bookmarkEnd w:id="26"/>
      <w:r>
        <w:t xml:space="preserve">Offer and acceptance</w:t>
      </w:r>
    </w:p>
    <w:p>
      <w:pPr>
        <w:pStyle w:val="Heading3"/>
      </w:pPr>
      <w:bookmarkStart w:id="27" w:name="mainline-v.-basinger"/>
      <w:bookmarkEnd w:id="27"/>
      <w:r>
        <w:rPr>
          <w:i/>
        </w:rPr>
        <w:t xml:space="preserve">Mainline v. Basinger</w:t>
      </w:r>
    </w:p>
    <w:p>
      <w:pPr>
        <w:pStyle w:val="Heading6"/>
      </w:pPr>
      <w:bookmarkStart w:id="28" w:name="court-of-appeal-california-1994"/>
      <w:bookmarkEnd w:id="28"/>
      <w:r>
        <w:t xml:space="preserve">Court of Appeal, California (1994)</w:t>
      </w:r>
    </w:p>
    <w:p>
      <w:pPr>
        <w:pStyle w:val="Compact"/>
        <w:numPr>
          <w:numId w:val="1003"/>
          <w:ilvl w:val="0"/>
        </w:numPr>
      </w:pPr>
      <w:hyperlink r:id="rId29">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30">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1">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 “loan-out” 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 “Boxing Helena.”</w:t>
      </w:r>
      <w:r>
        <w:t xml:space="preserve"> </w:t>
      </w:r>
      <w:r>
        <w:t xml:space="preserve">(A “loan-out” corporation is a personal service corporation</w:t>
      </w:r>
      <w:r>
        <w:t xml:space="preserve"> </w:t>
      </w:r>
      <w:r>
        <w:t xml:space="preserve">which lends the services of an artist to a production company.)&amp;hellip;</w:t>
      </w:r>
    </w:p>
    <w:p>
      <w:pPr>
        <w:pStyle w:val="Heading4"/>
      </w:pPr>
      <w:bookmarkStart w:id="32" w:name="facts"/>
      <w:bookmarkEnd w:id="32"/>
      <w:r>
        <w:t xml:space="preserve">FACTS</w:t>
      </w:r>
    </w:p>
    <w:p>
      <w:pPr>
        <w:pStyle w:val="FirstParagraph"/>
      </w:pPr>
      <w:r>
        <w:t xml:space="preserve">In December 1990,</w:t>
      </w:r>
      <w:r>
        <w:t xml:space="preserve"> </w:t>
      </w:r>
      <w:r>
        <w:t xml:space="preserve">Main Line sent a copy of the screenplay of “Boxing Helena” to Basinger.</w:t>
      </w:r>
      <w:r>
        <w:t xml:space="preserve"> </w:t>
      </w:r>
      <w:r>
        <w:t xml:space="preserve">Basinger was a well known actress,</w:t>
      </w:r>
      <w:r>
        <w:t xml:space="preserve"> </w:t>
      </w:r>
      <w:r>
        <w:t xml:space="preserve">having starred in many movies,</w:t>
      </w:r>
      <w:r>
        <w:t xml:space="preserve"> </w:t>
      </w:r>
      <w:r>
        <w:t xml:space="preserve">including “Batman” and “9 1/2 Weeks.”</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 “loan-out” corporation, a company through</w:t>
      </w:r>
      <w:r>
        <w:t xml:space="preserve"> </w:t>
      </w:r>
      <w:r>
        <w:t xml:space="preserve">which Basinger “loaned” 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“Boxing Helena.”</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 “deal memo” dated February 27, 1991, setting forth</w:t>
      </w:r>
      <w:r>
        <w:t xml:space="preserve"> </w:t>
      </w:r>
      <w:r>
        <w:t xml:space="preserve">the contractual terms for Basinger's performance in “Boxing Helena.”</w:t>
      </w:r>
    </w:p>
    <w:p>
      <w:pPr>
        <w:pStyle w:val="BlockText"/>
      </w:pPr>
      <w:r>
        <w:t xml:space="preserve">The memorandum provided for “guaranteed compensation” of $600,000, “Gross deferment [compensation] payable out of first receipts of producer of $400,000, adjusted gross receipts &amp;hellip; of $1,000,000 payable out of 35% of producer's receipts &amp;hellip; adjusted gross receipts deferment of $1,000,000 payable out of 25% of producer's receipts &amp;hellip; and contingent compensation equal to 15% of producer's receipts thereafter.”</w:t>
      </w:r>
    </w:p>
    <w:p>
      <w:pPr>
        <w:pStyle w:val="FirstParagraph"/>
      </w:pPr>
      <w:r>
        <w:t xml:space="preserve">On February 28, 1991,</w:t>
      </w:r>
      <w:r>
        <w:t xml:space="preserve"> </w:t>
      </w:r>
      <w:r>
        <w:t xml:space="preserve">Attorney Philips sent an annotated copy of the “deal memo” 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&amp;hellip;</w:t>
      </w:r>
      <w:r>
        <w:t xml:space="preserve"> </w:t>
      </w:r>
      <w:r>
        <w:t xml:space="preserve">no frontal nudity - nothing graphic - more subliminal.</w:t>
      </w:r>
    </w:p>
    <w:p>
      <w:pPr>
        <w:pStyle w:val="FirstParagraph"/>
      </w:pPr>
      <w:r>
        <w:t xml:space="preserve">Attorney Philips also noted that the “Loan-out company is Mighty Wind</w:t>
      </w:r>
      <w:r>
        <w:t xml:space="preserve"> </w:t>
      </w:r>
      <w:r>
        <w:t xml:space="preserve">Productions.” Mazzocone understood Mighty Wind was “Kim's production</w:t>
      </w:r>
      <w:r>
        <w:t xml:space="preserve"> </w:t>
      </w:r>
      <w:r>
        <w:t xml:space="preserve">company and that's who the contract should be made with and that's where</w:t>
      </w:r>
      <w:r>
        <w:t xml:space="preserve"> </w:t>
      </w:r>
      <w:r>
        <w:t xml:space="preserve">the payment [was to] be paid -- to Mighty Wind.” 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 “deal memos.” 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 “long form agreement.” 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 “Acting Service Agreement”</w:t>
      </w:r>
      <w:r>
        <w:t xml:space="preserve"> </w:t>
      </w:r>
      <w:r>
        <w:t xml:space="preserve">and a “Producer's Standard Terms and Conditions for an Actor/Actress --</w:t>
      </w:r>
      <w:r>
        <w:t xml:space="preserve"> </w:t>
      </w:r>
      <w:r>
        <w:t xml:space="preserve">Loan-out.” An “Inducement” 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 “Boxing Helena,” 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 “Agreement</w:t>
      </w:r>
      <w:r>
        <w:t xml:space="preserve"> </w:t>
      </w:r>
      <w:r>
        <w:t xml:space="preserve">between Main Line Pictures, Inc. and Mighty Wind Productions, Inc. f/s/o</w:t>
      </w:r>
      <w:r>
        <w:t xml:space="preserve"> </w:t>
      </w:r>
      <w:r>
        <w:t xml:space="preserve">[for the services of] Kim Basinger.”</w:t>
      </w:r>
    </w:p>
    <w:p>
      <w:pPr>
        <w:pStyle w:val="BodyText"/>
      </w:pPr>
      <w:r>
        <w:t xml:space="preserve">The Acting Service Agreement described Main Line as “producer,” Mighty</w:t>
      </w:r>
      <w:r>
        <w:t xml:space="preserve"> </w:t>
      </w:r>
      <w:r>
        <w:t xml:space="preserve">Wind as “lender” and Basinger as “artist.” The Agreement called for “Lender [to] cause Artist to report for the rendition of exclusive services in connection with &amp;hellip; [‘Boxing</w:t>
      </w:r>
      <w:r>
        <w:t xml:space="preserve"> </w:t>
      </w:r>
      <w:r>
        <w:t xml:space="preserve">Helena.’]” 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 “Main Line</w:t>
      </w:r>
      <w:r>
        <w:t xml:space="preserve"> </w:t>
      </w:r>
      <w:r>
        <w:t xml:space="preserve">Pictures, Inc. By Carl Mazzocone” and “Mighty Wind Productions, Inc. By</w:t>
      </w:r>
      <w:r>
        <w:t xml:space="preserve"> </w:t>
      </w:r>
      <w:r>
        <w:t xml:space="preserve">Kim Basinger.” 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“employer,” agreed to “loan-out” 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 “Boxing Helena.”</w:t>
      </w:r>
    </w:p>
    <w:p>
      <w:pPr>
        <w:pStyle w:val="Heading4"/>
      </w:pPr>
      <w:bookmarkStart w:id="33" w:name="procedural-background"/>
      <w:bookmarkEnd w:id="33"/>
      <w:r>
        <w:t xml:space="preserve">PROCEDURAL BACKGROUND</w:t>
      </w:r>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services.&amp;hellip;</w:t>
      </w:r>
    </w:p>
    <w:p>
      <w:pPr>
        <w:pStyle w:val="BodyText"/>
      </w:pPr>
      <w:r>
        <w:t xml:space="preserve">The jury concluded that “Basinger and/or MightyWind” 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 “Basinger and/or Mighty Wind” 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&amp;hellip;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4" w:name="did-we-make-a-deal"/>
      <w:bookmarkEnd w:id="34"/>
      <w:r>
        <w:t xml:space="preserve">Did We Make A Deal?</w:t>
      </w:r>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5" w:name="statute-of-frauds"/>
      <w:bookmarkEnd w:id="35"/>
      <w:r>
        <w:t xml:space="preserve">Statute of Frauds</w:t>
      </w:r>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 MUST BE in writing,</w:t>
      </w:r>
      <w:r>
        <w:t xml:space="preserve"> </w:t>
      </w:r>
      <w:r>
        <w:t xml:space="preserve">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 COULD 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36" w:name="promissory-estoppel"/>
      <w:bookmarkEnd w:id="36"/>
      <w:r>
        <w:t xml:space="preserve">Promissory Estoppel</w:t>
      </w:r>
    </w:p>
    <w:p>
      <w:pPr>
        <w:pStyle w:val="BlockText"/>
      </w:pPr>
      <w:r>
        <w:t xml:space="preserve">"The law is simply expediency wearing a long white dress." --Quentin Crisp</w:t>
      </w:r>
    </w:p>
    <w:p>
      <w:pPr>
        <w:pStyle w:val="FirstParagraph"/>
      </w:pPr>
      <w:r>
        <w:t xml:space="preserve">The legal magic words</w:t>
      </w:r>
      <w:r>
        <w:t xml:space="preserve"> </w:t>
      </w:r>
      <w:r>
        <w:t xml:space="preserve">"promissory estoppel" and "detrimental reliance"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37" w:name="elvin-associates-v.-aretha-franklin"/>
      <w:bookmarkEnd w:id="37"/>
      <w:r>
        <w:rPr>
          <w:i/>
        </w:rPr>
        <w:t xml:space="preserve">Elvin Associates v. Aretha Franklin</w:t>
      </w:r>
    </w:p>
    <w:p>
      <w:pPr>
        <w:pStyle w:val="Heading6"/>
      </w:pPr>
      <w:bookmarkStart w:id="38" w:name="united-states-district-court-sdny-1990"/>
      <w:bookmarkEnd w:id="38"/>
      <w:r>
        <w:t xml:space="preserve">United States District Court SDNY (1990)</w:t>
      </w:r>
    </w:p>
    <w:p>
      <w:pPr>
        <w:pStyle w:val="Compact"/>
        <w:numPr>
          <w:numId w:val="1007"/>
          <w:ilvl w:val="0"/>
        </w:numPr>
      </w:pPr>
      <w:hyperlink r:id="rId39">
        <w:r>
          <w:rPr>
            <w:rStyle w:val="Hyperlink"/>
          </w:rPr>
          <w:t xml:space="preserve">Case on Westlaw</w:t>
        </w:r>
      </w:hyperlink>
    </w:p>
    <w:p>
      <w:pPr>
        <w:pStyle w:val="Compact"/>
        <w:numPr>
          <w:numId w:val="1007"/>
          <w:ilvl w:val="0"/>
        </w:numPr>
      </w:pPr>
      <w:hyperlink r:id="rId40">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"This is what I am doing," 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&amp;hellip;</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 "when countersigned by you" 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 "when signed by you."</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 "detrimentally relied" 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 "injured" (loses money, suffers other damages)</w:t>
      </w:r>
      <w:r>
        <w:t xml:space="preserve"> </w:t>
      </w:r>
      <w:r>
        <w:t xml:space="preserve">when A fails to keep the promise.</w:t>
      </w:r>
    </w:p>
    <w:p>
      <w:pPr>
        <w:pStyle w:val="Heading4"/>
      </w:pPr>
      <w:bookmarkStart w:id="41" w:name="excerpts-from-elvin-associates-v.-aretha-franklin"/>
      <w:bookmarkEnd w:id="41"/>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w:t>
      </w:r>
      <w:r>
        <w:t xml:space="preserve"> </w:t>
      </w:r>
      <w:r>
        <w:t xml:space="preserve">is whether &amp;hellip; the parties to that proposed contract &amp;hellip;</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execution.&amp;hellip;</w:t>
      </w:r>
    </w:p>
    <w:p>
      <w:pPr>
        <w:pStyle w:val="BodyText"/>
      </w:pPr>
      <w:r>
        <w:t xml:space="preserve">All of the incidental terms had been worked out by the final draft,</w:t>
      </w:r>
      <w:r>
        <w:t xml:space="preserve"> </w:t>
      </w:r>
      <w:r>
        <w:t xml:space="preserve">and &amp;hellip;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"This letter, when countersigned by you,</w:t>
      </w:r>
      <w:r>
        <w:t xml:space="preserve"> </w:t>
      </w:r>
      <w:r>
        <w:t xml:space="preserve">shall constitute our understanding</w:t>
      </w:r>
      <w:r>
        <w:t xml:space="preserve"> </w:t>
      </w:r>
      <w:r>
        <w:t xml:space="preserve">until a more formal agreement is prepared."</w:t>
      </w:r>
    </w:p>
    <w:p>
      <w:pPr>
        <w:pStyle w:val="FirstParagraph"/>
      </w:pPr>
      <w:r>
        <w:t xml:space="preserve">We &amp;hellip;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&amp;hellip;</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w:t>
      </w:r>
      <w:r>
        <w:t xml:space="preserve"> </w:t>
      </w:r>
      <w:r>
        <w:t xml:space="preserve">by the party to whom the promise is made;</w:t>
      </w:r>
    </w:p>
    <w:p>
      <w:pPr>
        <w:pStyle w:val="Compact"/>
        <w:numPr>
          <w:numId w:val="1009"/>
          <w:ilvl w:val="0"/>
        </w:numPr>
      </w:pPr>
      <w:r>
        <w:t xml:space="preserve">and an injury sustained by the party asserting the estoppel</w:t>
      </w:r>
      <w:r>
        <w:t xml:space="preserve"> </w:t>
      </w:r>
      <w:r>
        <w:t xml:space="preserve">by reason of his reliance.&amp;hellip;</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doctrine&amp;hellip;</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"This is what I am doing."</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"Mahalia." 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2" w:name="oral-deals-with-unsigned-writings"/>
      <w:bookmarkEnd w:id="42"/>
      <w:r>
        <w:t xml:space="preserve">Oral Deals With Unsigned Writings</w:t>
      </w:r>
    </w:p>
    <w:p>
      <w:pPr>
        <w:pStyle w:val="FirstParagraph"/>
      </w:pPr>
      <w:r>
        <w:t xml:space="preserve">The Second Circuit has a famous four-prong test it uses to "help determine whether the parties intended to be bound in the absence of a document executed by both sides."</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3">
        <w:r>
          <w:rPr>
            <w:rStyle w:val="Hyperlink"/>
          </w:rPr>
          <w:t xml:space="preserve">Winston v. Mediafare Entertainment,</w:t>
        </w:r>
      </w:hyperlink>
      <w:r>
        <w:t xml:space="preserve"> </w:t>
      </w:r>
      <w:r>
        <w:t xml:space="preserve">777 F.2d 78 (2nd Cir. 1985).</w:t>
      </w:r>
    </w:p>
    <w:p>
      <w:pPr>
        <w:pStyle w:val="Heading4"/>
      </w:pPr>
      <w:bookmarkStart w:id="44" w:name="restatement-2nd-of-contracts-27"/>
      <w:bookmarkEnd w:id="44"/>
      <w:r>
        <w:t xml:space="preserve">Restatement 2nd of Contracts § 27</w:t>
      </w:r>
    </w:p>
    <w:p>
      <w:pPr>
        <w:pStyle w:val="Heading6"/>
      </w:pPr>
      <w:bookmarkStart w:id="45" w:name="existence-of-contract-where-written-memorial-is-contemplated"/>
      <w:bookmarkEnd w:id="45"/>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 "oral testimony or by correspondence or other preliminary or partially complete writings."</w:t>
      </w:r>
    </w:p>
    <w:p>
      <w:pPr>
        <w:pStyle w:val="BodyText"/>
      </w:pPr>
      <w:hyperlink r:id="rId46">
        <w:r>
          <w:rPr>
            <w:rStyle w:val="Hyperlink"/>
          </w:rPr>
          <w:t xml:space="preserve">Restatement (2nd) Contracts § 27</w:t>
        </w:r>
      </w:hyperlink>
    </w:p>
    <w:p>
      <w:pPr>
        <w:pStyle w:val="Heading2"/>
      </w:pPr>
      <w:bookmarkStart w:id="47" w:name="definite-terms"/>
      <w:bookmarkEnd w:id="47"/>
      <w:r>
        <w:t xml:space="preserve">Definite terms</w:t>
      </w:r>
    </w:p>
    <w:p>
      <w:pPr>
        <w:pStyle w:val="FirstParagraph"/>
      </w:pPr>
      <w:r>
        <w:t xml:space="preserve">The eternal ambiguity. The parties shake hands (or trade emails) and say:</w:t>
      </w:r>
    </w:p>
    <w:p>
      <w:pPr>
        <w:pStyle w:val="BlockText"/>
      </w:pPr>
      <w:r>
        <w:t xml:space="preserve">"Hooray! We have a deal."</w:t>
      </w:r>
    </w:p>
    <w:p>
      <w:pPr>
        <w:pStyle w:val="FirstParagraph"/>
      </w:pPr>
      <w:r>
        <w:t xml:space="preserve">Do they mean: We have a deal NOW?</w:t>
      </w:r>
      <w:r>
        <w:t xml:space="preserve"> </w:t>
      </w:r>
      <w:r>
        <w:t xml:space="preserve">Or do they mean we WILL have a deal, once we sign contracts?</w:t>
      </w:r>
    </w:p>
    <w:p>
      <w:pPr>
        <w:pStyle w:val="Heading3"/>
      </w:pPr>
      <w:bookmarkStart w:id="48" w:name="gold-seal-v.-rko"/>
      <w:bookmarkEnd w:id="48"/>
      <w:r>
        <w:rPr>
          <w:i/>
        </w:rPr>
        <w:t xml:space="preserve">Gold Seal v. RKO</w:t>
      </w:r>
    </w:p>
    <w:p>
      <w:pPr>
        <w:pStyle w:val="Heading6"/>
      </w:pPr>
      <w:bookmarkStart w:id="49" w:name="district-court-of-appeal-california-1955"/>
      <w:bookmarkEnd w:id="49"/>
      <w:r>
        <w:t xml:space="preserve">District Court of Appeal California (1955)</w:t>
      </w:r>
    </w:p>
    <w:p>
      <w:pPr>
        <w:pStyle w:val="Compact"/>
        <w:numPr>
          <w:numId w:val="1011"/>
          <w:ilvl w:val="0"/>
        </w:numPr>
      </w:pPr>
      <w:hyperlink r:id="rId50">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"with or without Peck."</w:t>
      </w:r>
    </w:p>
    <w:p>
      <w:pPr>
        <w:pStyle w:val="BodyText"/>
      </w:pPr>
      <w:r>
        <w:t xml:space="preserve">Skirball and Rogell shook hands and said, "We have a deal."</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 "we have a deal" 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1" w:name="excerpts-from-gold-seal-v.-rko"/>
      <w:bookmarkEnd w:id="51"/>
      <w:r>
        <w:t xml:space="preserve">Excerpts from</w:t>
      </w:r>
      <w:r>
        <w:t xml:space="preserve"> </w:t>
      </w:r>
      <w:r>
        <w:rPr>
          <w:i/>
        </w:rPr>
        <w:t xml:space="preserve">Gold Seal v. RKO</w:t>
      </w:r>
    </w:p>
    <w:p>
      <w:pPr>
        <w:pStyle w:val="FirstParagraph"/>
      </w:pPr>
      <w:r>
        <w:t xml:space="preserve">RKO contends, as above stated,</w:t>
      </w:r>
      <w:r>
        <w:t xml:space="preserve"> </w:t>
      </w:r>
      <w:r>
        <w:t xml:space="preserve">that the evidence was insufficient to support the finding that the parties entered into a contract&amp;hellip;</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 "we have a deal" 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 "we have a deal,"</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 "felt" or "understood"</w:t>
      </w:r>
      <w:r>
        <w:t xml:space="preserve"> </w:t>
      </w:r>
      <w:r>
        <w:t xml:space="preserve">the parties were "bound" or "committed"</w:t>
      </w:r>
      <w:r>
        <w:t xml:space="preserve"> </w:t>
      </w:r>
      <w:r>
        <w:t xml:space="preserve">when they said they had a deal and then shook hands;</w:t>
      </w:r>
      <w:r>
        <w:t xml:space="preserve"> </w:t>
      </w:r>
      <w:r>
        <w:t xml:space="preserve">and appellant is also referring to the testimony of Rogell to the effect that the handshaking was "in a manner in which you shake hands when you have concluded a deal." &amp;hellip;</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&amp;hellip;</w:t>
      </w:r>
    </w:p>
    <w:p>
      <w:pPr>
        <w:pStyle w:val="BodyText"/>
      </w:pPr>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Text"/>
      </w:pPr>
      <w:r>
        <w:t xml:space="preserve">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&amp;hellip;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&amp;hellip;</w:t>
      </w:r>
    </w:p>
    <w:p>
      <w:pPr>
        <w:pStyle w:val="FirstParagraph"/>
      </w:pPr>
      <w:r>
        <w:t xml:space="preserve">The significance of shaking hands, under such circumstances and following the conversation hereinbefore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pPr>
        <w:pStyle w:val="BodyText"/>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2" w:name="consideration-and-mutuality"/>
      <w:bookmarkEnd w:id="52"/>
      <w:r>
        <w:t xml:space="preserve">Consideration and Mutuality</w:t>
      </w:r>
    </w:p>
    <w:p>
      <w:pPr>
        <w:pStyle w:val="FirstParagraph"/>
      </w:pPr>
      <w:r>
        <w:t xml:space="preserve">"Consideration" 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2"/>
      </w:pPr>
      <w:bookmarkStart w:id="53" w:name="bonner-v.-westbound-records"/>
      <w:bookmarkEnd w:id="53"/>
      <w:r>
        <w:t xml:space="preserve">Bonner v. Westbound Records</w:t>
      </w:r>
    </w:p>
    <w:p>
      <w:pPr>
        <w:pStyle w:val="Heading6"/>
      </w:pPr>
      <w:bookmarkStart w:id="54" w:name="illinois-court-of-appeals-1979"/>
      <w:bookmarkEnd w:id="54"/>
      <w:r>
        <w:t xml:space="preserve">Illinois Court of Appeals (1979)</w:t>
      </w:r>
    </w:p>
    <w:p>
      <w:pPr>
        <w:pStyle w:val="FirstParagraph"/>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 FUNKY WORM,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 "Mercury" 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&amp;hellip;</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 "an advance against royalties" 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advantage.&amp;hellip;</w:t>
      </w:r>
    </w:p>
    <w:p>
      <w:pPr>
        <w:pStyle w:val="BodyText"/>
      </w:pPr>
      <w:r>
        <w:t xml:space="preserve">The agreements are valid and enforceable even if they lack mutuality because they are supported by the executed consideration of $4,000</w:t>
      </w:r>
      <w:r>
        <w:t xml:space="preserve"> </w:t>
      </w:r>
      <w:r>
        <w:t xml:space="preserve">passing from the defendants to The Ohio Players.&amp;hellip;</w:t>
      </w:r>
    </w:p>
    <w:p>
      <w:pPr>
        <w:pStyle w:val="BodyText"/>
      </w:pPr>
      <w:r>
        <w:t xml:space="preserve">Even had the defendants not made the $4,000 advance, the plaintiffs</w:t>
      </w:r>
      <w:r>
        <w:t xml:space="preserve"> </w:t>
      </w:r>
      <w:r>
        <w:t xml:space="preserve">could not prevail. The circuit court judge erred in finding that "there</w:t>
      </w:r>
      <w:r>
        <w:t xml:space="preserve"> </w:t>
      </w:r>
      <w:r>
        <w:t xml:space="preserve">was no obligation on the part of the defendants to do anything under</w:t>
      </w:r>
      <w:r>
        <w:t xml:space="preserve"> </w:t>
      </w:r>
      <w:r>
        <w:t xml:space="preserve">their respective agreements" 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therewith.&amp;hellip;</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55">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w:t>
      </w:r>
      <w:r>
        <w:t xml:space="preserve"> </w:t>
      </w:r>
      <w:r>
        <w:t xml:space="preserve">anything.</w:t>
      </w:r>
      <w:r>
        <w:t xml:space="preserve"> </w:t>
      </w:r>
      <w:r>
        <w:rPr>
          <w:i/>
        </w:rPr>
        <w:t xml:space="preserve">It is true that he does not promise in so many words that</w:t>
      </w:r>
      <w:r>
        <w:rPr>
          <w:i/>
        </w:rPr>
        <w:t xml:space="preserve"> </w:t>
      </w:r>
      <w:r>
        <w:rPr>
          <w:i/>
        </w:rPr>
        <w:t xml:space="preserve">he will use reasonable efforts to place the defendant's indorsements</w:t>
      </w:r>
      <w:r>
        <w:rPr>
          <w:i/>
        </w:rPr>
        <w:t xml:space="preserve"> </w:t>
      </w:r>
      <w:r>
        <w:rPr>
          <w:i/>
        </w:rPr>
        <w:t xml:space="preserve">and market her designs. We think, however, that such a</w:t>
      </w:r>
      <w:r>
        <w:t xml:space="preserve"> </w:t>
      </w:r>
      <w:r>
        <w:rPr>
          <w:i/>
        </w:rPr>
        <w:t xml:space="preserve">promise is fairly</w:t>
      </w:r>
      <w:r>
        <w:rPr>
          <w:i/>
        </w:rPr>
        <w:t xml:space="preserve"> </w:t>
      </w:r>
      <w:r>
        <w:rPr>
          <w:i/>
        </w:rPr>
        <w:t xml:space="preserve">to be implied.</w:t>
      </w:r>
      <w:r>
        <w:t xml:space="preserve"> </w:t>
      </w:r>
      <w:r>
        <w:t xml:space="preserve">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 `instinct with an obligation,'</w:t>
      </w:r>
      <w:r>
        <w:t xml:space="preserve"> </w:t>
      </w:r>
      <w:r>
        <w:t xml:space="preserve">imperfectly expressed. [Citations.] If that is so, there is a</w:t>
      </w:r>
      <w:r>
        <w:t xml:space="preserve"> </w:t>
      </w:r>
      <w:r>
        <w:t xml:space="preserve">contract."</w:t>
      </w:r>
      <w:r>
        <w:t xml:space="preserve"> </w:t>
      </w:r>
      <w:hyperlink r:id="rId55">
        <w:r>
          <w:rPr>
            <w:rStyle w:val="Hyperlink"/>
          </w:rPr>
          <w:t xml:space="preserve">222 N.Y. 88, 90-91, 118 N.E.</w:t>
        </w:r>
        <w:r>
          <w:rPr>
            <w:rStyle w:val="Hyperlink"/>
          </w:rPr>
          <w:t xml:space="preserve"> </w:t>
        </w:r>
        <w:r>
          <w:rPr>
            <w:rStyle w:val="Hyperlink"/>
          </w:rPr>
          <w:t xml:space="preserve">214</w:t>
        </w:r>
      </w:hyperlink>
      <w:r>
        <w:t xml:space="preserve">.</w:t>
      </w:r>
      <w:r>
        <w:t xml:space="preserve"> </w:t>
      </w:r>
      <w:r>
        <w:t xml:space="preserve">(Emphasis added.)</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"We are not to suppose that one party was to be placed at the mercy of</w:t>
      </w:r>
      <w:r>
        <w:t xml:space="preserve"> </w:t>
      </w:r>
      <w:r>
        <w:t xml:space="preserve">the other."</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existence.&amp;hellip;</w:t>
      </w:r>
    </w:p>
    <w:p>
      <w:pPr>
        <w:pStyle w:val="BodyText"/>
      </w:pPr>
      <w:r>
        <w:t xml:space="preserve">The plaintiffs attempt to distinguish</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efforts.&amp;hellip;</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p>
    <w:p>
      <w:pPr>
        <w:pStyle w:val="FirstParagraph"/>
      </w:pPr>
      <w:r>
        <w:t xml:space="preserve">The publishing agreement provided:</w:t>
      </w:r>
    </w:p>
    <w:p>
      <w:pPr>
        <w:pStyle w:val="BlockText"/>
      </w:pP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agreements&amp;hellip;</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promise.&amp;hellip;</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investment.&amp;hellip;</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56" w:name="notes-on-bonner-v.-westbound-records"/>
      <w:bookmarkEnd w:id="56"/>
      <w:r>
        <w:t xml:space="preserve">Notes on</w:t>
      </w:r>
      <w:r>
        <w:t xml:space="preserve"> </w:t>
      </w:r>
      <w:r>
        <w:rPr>
          <w:i/>
        </w:rPr>
        <w:t xml:space="preserve">Bonner v. Westbound Records</w:t>
      </w:r>
    </w:p>
    <w:p>
      <w:pPr>
        <w:pStyle w:val="Compact"/>
        <w:numPr>
          <w:numId w:val="1013"/>
          <w:ilvl w:val="0"/>
        </w:numPr>
      </w:pPr>
      <w:r>
        <w:t xml:space="preserve">Ohio Players (OP) enter into a recording agreement with Westbound Records in 1972.</w:t>
      </w:r>
    </w:p>
    <w:p>
      <w:pPr>
        <w:pStyle w:val="Compact"/>
        <w:numPr>
          <w:numId w:val="1013"/>
          <w:ilvl w:val="0"/>
        </w:numPr>
      </w:pPr>
      <w:r>
        <w:t xml:space="preserve">Contract requires OP to make records ONLY for Westbound for a 5-year period.</w:t>
      </w:r>
    </w:p>
    <w:p>
      <w:pPr>
        <w:pStyle w:val="Compact"/>
        <w:numPr>
          <w:numId w:val="1013"/>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advantage&amp;hellip;It is not the function of either the circuit court or this court to review the amount of the consideration which passed to decide whether either party made a bad bargain&amp;hellip;unless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57" w:name="legal-capacity"/>
      <w:bookmarkEnd w:id="57"/>
      <w:r>
        <w:t xml:space="preserve">Legal capacity</w:t>
      </w:r>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58">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4"/>
          <w:ilvl w:val="0"/>
        </w:numPr>
      </w:pPr>
      <w:r>
        <w:t xml:space="preserve">For a nice discussion on the statutory safeguards in place and how they can be improved:</w:t>
      </w:r>
      <w:r>
        <w:t xml:space="preserve"> </w:t>
      </w:r>
      <w:hyperlink r:id="rId59">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well.&amp;hellip;</w:t>
      </w:r>
    </w:p>
    <w:p>
      <w:pPr>
        <w:pStyle w:val="Heading3"/>
      </w:pPr>
      <w:bookmarkStart w:id="60" w:name="scott-eden-management-v.-kavovit"/>
      <w:bookmarkEnd w:id="60"/>
      <w:r>
        <w:rPr>
          <w:i/>
        </w:rPr>
        <w:t xml:space="preserve">Scott Eden Management v. Kavovit</w:t>
      </w:r>
    </w:p>
    <w:p>
      <w:pPr>
        <w:pStyle w:val="Heading6"/>
      </w:pPr>
      <w:bookmarkStart w:id="61" w:name="nys2d-1001-ny-1990"/>
      <w:bookmarkEnd w:id="61"/>
      <w:r>
        <w:t xml:space="preserve">563 NYS2d 1001 (NY 1990)</w:t>
      </w:r>
    </w:p>
    <w:p>
      <w:pPr>
        <w:pStyle w:val="Compact"/>
        <w:numPr>
          <w:numId w:val="1015"/>
          <w:ilvl w:val="0"/>
        </w:numPr>
      </w:pPr>
      <w:hyperlink r:id="rId62">
        <w:r>
          <w:rPr>
            <w:rStyle w:val="Hyperlink"/>
          </w:rPr>
          <w:t xml:space="preserve">Case at Westlaw</w:t>
        </w:r>
      </w:hyperlink>
    </w:p>
    <w:p>
      <w:pPr>
        <w:pStyle w:val="Heading4"/>
      </w:pPr>
      <w:bookmarkStart w:id="63" w:name="facts-1"/>
      <w:bookmarkEnd w:id="63"/>
      <w:r>
        <w:t xml:space="preserve">Facts</w:t>
      </w:r>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disaffirm.&amp;hellip;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&amp;hellip;</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4" w:name="duration"/>
      <w:bookmarkEnd w:id="64"/>
      <w:r>
        <w:t xml:space="preserve">Duration</w:t>
      </w:r>
    </w:p>
    <w:p>
      <w:pPr>
        <w:pStyle w:val="Heading3"/>
      </w:pPr>
      <w:bookmarkStart w:id="65" w:name="de-havilland-v.-warner-bros."/>
      <w:bookmarkEnd w:id="65"/>
      <w:r>
        <w:t xml:space="preserve">De Havilland v. Warner Bros.</w:t>
      </w:r>
    </w:p>
    <w:p>
      <w:pPr>
        <w:pStyle w:val="Compact"/>
        <w:numPr>
          <w:numId w:val="1016"/>
          <w:ilvl w:val="0"/>
        </w:numPr>
      </w:pPr>
      <w:hyperlink r:id="rId66">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&amp;hellip;</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4"/>
      </w:pPr>
      <w:bookmarkStart w:id="68" w:name="caa-vs.-uta-corporate-raiding-and-the-ghost-of-ed-limato-analysis"/>
      <w:bookmarkEnd w:id="68"/>
      <w:hyperlink r:id="rId67">
        <w:r>
          <w:rPr>
            <w:rStyle w:val="Hyperlink"/>
          </w:rPr>
          <w:t xml:space="preserve">CAA vs. UTA, Corporate Raiding and the Ghost of Ed Limato (Analysis)</w:t>
        </w:r>
      </w:hyperlink>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 "illegal"</w:t>
      </w:r>
      <w:r>
        <w:t xml:space="preserve"> </w:t>
      </w:r>
      <w:r>
        <w:t xml:space="preserve">because it violated California's strict "seven-year rule"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 "suspending" 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 "de Havilland law"</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69" w:name="the-movie-option"/>
      <w:bookmarkEnd w:id="69"/>
      <w:r>
        <w:t xml:space="preserve">The Movie Option</w:t>
      </w:r>
    </w:p>
    <w:p>
      <w:pPr>
        <w:pStyle w:val="Heading6"/>
      </w:pPr>
      <w:bookmarkStart w:id="70" w:name="where-publishing-meets-hollywood"/>
      <w:bookmarkEnd w:id="70"/>
      <w:r>
        <w:t xml:space="preserve">Where Publishing Meets Hollywood</w:t>
      </w:r>
    </w:p>
    <w:p>
      <w:pPr>
        <w:pStyle w:val="FirstParagraph"/>
      </w:pPr>
      <w:r>
        <w:t xml:space="preserve">What does</w:t>
      </w:r>
      <w:r>
        <w:t xml:space="preserve"> </w:t>
      </w:r>
      <w:hyperlink r:id="rId71">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71">
        <w:r>
          <w:rPr>
            <w:rStyle w:val="Hyperlink"/>
          </w:rPr>
          <w:t xml:space="preserve">at his blog for screenwriters</w:t>
        </w:r>
      </w:hyperlink>
      <w:r>
        <w:t xml:space="preserve">.</w:t>
      </w:r>
    </w:p>
    <w:p>
      <w:pPr>
        <w:pStyle w:val="BlockText"/>
      </w:pPr>
      <w:r>
        <w:t xml:space="preserve">"I’m gonna pay you $1000 today. In exchange for that $1000, you promise you won’t sell anyone else the rights during the next twelve months. Also, any time during these twelve months, I can pay you $25,000 and you’ll sell me all the film rights to the book."</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1">
        <w:r>
          <w:rPr>
            <w:rStyle w:val="Hyperlink"/>
          </w:rPr>
          <w:t xml:space="preserve">"Optioning your book"</w:t>
        </w:r>
      </w:hyperlink>
      <w:r>
        <w:t xml:space="preserve">, by</w:t>
      </w:r>
      <w:r>
        <w:t xml:space="preserve"> </w:t>
      </w:r>
      <w:hyperlink r:id="rId72">
        <w:r>
          <w:rPr>
            <w:rStyle w:val="Hyperlink"/>
          </w:rPr>
          <w:t xml:space="preserve">John August</w:t>
        </w:r>
      </w:hyperlink>
      <w:r>
        <w:t xml:space="preserve">.</w:t>
      </w:r>
    </w:p>
    <w:p>
      <w:pPr>
        <w:pStyle w:val="Heading3"/>
      </w:pPr>
      <w:bookmarkStart w:id="73" w:name="options"/>
      <w:bookmarkEnd w:id="73"/>
      <w:r>
        <w:t xml:space="preserve">Options</w:t>
      </w:r>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74">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5" w:name="three-essential-terms-of-any-option-agreement"/>
      <w:bookmarkEnd w:id="75"/>
      <w:r>
        <w:t xml:space="preserve">Three Essential Terms of any Option Agreement</w:t>
      </w:r>
    </w:p>
    <w:p>
      <w:pPr>
        <w:pStyle w:val="Compact"/>
        <w:numPr>
          <w:numId w:val="1017"/>
          <w:ilvl w:val="0"/>
        </w:numPr>
      </w:pPr>
      <w:r>
        <w:t xml:space="preserve">The option period (for how long?);</w:t>
      </w:r>
    </w:p>
    <w:p>
      <w:pPr>
        <w:pStyle w:val="Compact"/>
        <w:numPr>
          <w:numId w:val="1017"/>
          <w:ilvl w:val="0"/>
        </w:numPr>
      </w:pPr>
      <w:r>
        <w:t xml:space="preserve">The option payment (how much for the right to buy the rights?);</w:t>
      </w:r>
    </w:p>
    <w:p>
      <w:pPr>
        <w:pStyle w:val="Compact"/>
        <w:numPr>
          <w:numId w:val="1017"/>
          <w:ilvl w:val="0"/>
        </w:numPr>
      </w:pPr>
      <w:r>
        <w:t xml:space="preserve">The purchase price (how much to actually buy the rights?)</w:t>
      </w:r>
    </w:p>
    <w:p>
      <w:pPr>
        <w:pStyle w:val="Heading5"/>
      </w:pPr>
      <w:bookmarkStart w:id="76" w:name="the-option-period."/>
      <w:bookmarkEnd w:id="76"/>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pPr>
        <w:pStyle w:val="BodyText"/>
      </w:pPr>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77" w:name="the-option-payment"/>
      <w:bookmarkEnd w:id="77"/>
      <w:r>
        <w:t xml:space="preserve">2. The Option Payment</w:t>
      </w:r>
    </w:p>
    <w:p>
      <w:pPr>
        <w:pStyle w:val="FirstParagraph"/>
      </w:pPr>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78" w:name="the-purchase-price"/>
      <w:bookmarkEnd w:id="78"/>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79" w:name="more-on-movie-options"/>
      <w:bookmarkEnd w:id="79"/>
      <w:r>
        <w:t xml:space="preserve">More on Movie Options</w:t>
      </w:r>
    </w:p>
    <w:p>
      <w:pPr>
        <w:pStyle w:val="Compact"/>
        <w:numPr>
          <w:numId w:val="1018"/>
          <w:ilvl w:val="0"/>
        </w:numPr>
      </w:pPr>
      <w:r>
        <w:t xml:space="preserve">See</w:t>
      </w:r>
      <w:r>
        <w:t xml:space="preserve"> </w:t>
      </w:r>
      <w:hyperlink r:id="rId80">
        <w:r>
          <w:rPr>
            <w:rStyle w:val="Hyperlink"/>
          </w:rPr>
          <w:t xml:space="preserve">Would My Book Make A Good Movie?</w:t>
        </w:r>
      </w:hyperlink>
      <w:r>
        <w:t xml:space="preserve"> </w:t>
      </w:r>
      <w:r>
        <w:t xml:space="preserve">by Richard Dooling.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96a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6baf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95811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0" Target="http://dooling.com/index.php/2006/02/23/would-my-book-make-a-good-movie/" TargetMode="External" /><Relationship Type="http://schemas.openxmlformats.org/officeDocument/2006/relationships/hyperlink" Id="rId66" Target="http://en.wikipedia.org/wiki/De_Havilland_Law" TargetMode="External" /><Relationship Type="http://schemas.openxmlformats.org/officeDocument/2006/relationships/hyperlink" Id="rId74" Target="http://en.wikipedia.org/wiki/Stradivarius" TargetMode="External" /><Relationship Type="http://schemas.openxmlformats.org/officeDocument/2006/relationships/hyperlink" Id="rId72" Target="http://johnaugust.com" TargetMode="External" /><Relationship Type="http://schemas.openxmlformats.org/officeDocument/2006/relationships/hyperlink" Id="rId71"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62"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58" Target="http://www.celebritynetworth.com/richest-celebrities/actors/macaulay-culkin-net-worth/" TargetMode="External" /><Relationship Type="http://schemas.openxmlformats.org/officeDocument/2006/relationships/hyperlink" Id="rId67"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59"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0" Target="http://dooling.com/index.php/2006/02/23/would-my-book-make-a-good-movie/" TargetMode="External" /><Relationship Type="http://schemas.openxmlformats.org/officeDocument/2006/relationships/hyperlink" Id="rId66" Target="http://en.wikipedia.org/wiki/De_Havilland_Law" TargetMode="External" /><Relationship Type="http://schemas.openxmlformats.org/officeDocument/2006/relationships/hyperlink" Id="rId74" Target="http://en.wikipedia.org/wiki/Stradivarius" TargetMode="External" /><Relationship Type="http://schemas.openxmlformats.org/officeDocument/2006/relationships/hyperlink" Id="rId72" Target="http://johnaugust.com" TargetMode="External" /><Relationship Type="http://schemas.openxmlformats.org/officeDocument/2006/relationships/hyperlink" Id="rId71"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62"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58" Target="http://www.celebritynetworth.com/richest-celebrities/actors/macaulay-culkin-net-worth/" TargetMode="External" /><Relationship Type="http://schemas.openxmlformats.org/officeDocument/2006/relationships/hyperlink" Id="rId67"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59"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