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efamation"/>
      <w:r>
        <w:t xml:space="preserve">Defamation</w:t>
      </w:r>
      <w:bookmarkEnd w:id="21"/>
    </w:p>
    <w:p>
      <w:pPr>
        <w:pStyle w:val="Heading6"/>
      </w:pPr>
      <w:bookmarkStart w:id="22" w:name="by-richard-dooling"/>
      <w:r>
        <w:t xml:space="preserve">by Richard Dooling</w:t>
      </w:r>
      <w:bookmarkEnd w:id="22"/>
    </w:p>
    <w:p>
      <w:pPr>
        <w:pStyle w:val="FirstParagraph"/>
      </w:pPr>
      <w:r>
        <w:t xml:space="preserve">Artists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his tale?</w:t>
      </w:r>
      <w:r>
        <w:t xml:space="preserve"> </w:t>
      </w:r>
      <w:r>
        <w:t xml:space="preserve">What if by telling her own story,</w:t>
      </w:r>
      <w:r>
        <w:t xml:space="preserve"> </w:t>
      </w:r>
      <w:r>
        <w:t xml:space="preserve">she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Imagine documentary filmmakers wearing hidden microphones</w:t>
      </w:r>
      <w:r>
        <w:t xml:space="preserve"> </w:t>
      </w:r>
      <w:r>
        <w:t xml:space="preserve">and cameras making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Compact"/>
        <w:numPr>
          <w:numId w:val="1001"/>
          <w:ilvl w:val="0"/>
        </w:numPr>
      </w:pPr>
      <w:hyperlink r:id="rId23">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24">
        <w:r>
          <w:rPr>
            <w:rStyle w:val="Hyperlink"/>
          </w:rPr>
          <w:t xml:space="preserve">Independent Producers Survival Guide: A Business and Legal Sourcebook</w:t>
        </w:r>
      </w:hyperlink>
      <w:r>
        <w:t xml:space="preserve"> </w:t>
      </w:r>
      <w:r>
        <w:t xml:space="preserve">4th Ed. 2009.</w:t>
      </w:r>
    </w:p>
    <w:p>
      <w:pPr>
        <w:pStyle w:val="Compact"/>
        <w:numPr>
          <w:numId w:val="1001"/>
          <w:ilvl w:val="0"/>
        </w:numPr>
      </w:pPr>
      <w:hyperlink r:id="rId25">
        <w:r>
          <w:rPr>
            <w:rStyle w:val="Hyperlink"/>
          </w:rPr>
          <w:t xml:space="preserve">Defamation Law Made Simple at Nolo.com.</w:t>
        </w:r>
      </w:hyperlink>
    </w:p>
    <w:p>
      <w:pPr>
        <w:pStyle w:val="Compact"/>
        <w:numPr>
          <w:numId w:val="1001"/>
          <w:ilvl w:val="0"/>
        </w:numPr>
      </w:pPr>
      <w:hyperlink r:id="rId26">
        <w:r>
          <w:rPr>
            <w:rStyle w:val="Hyperlink"/>
          </w:rPr>
          <w:t xml:space="preserve">FreeAdvice: How to Prove Libel or Slander</w:t>
        </w:r>
      </w:hyperlink>
      <w:r>
        <w:t xml:space="preserve">.</w:t>
      </w:r>
    </w:p>
    <w:p>
      <w:pPr>
        <w:pStyle w:val="Compact"/>
        <w:numPr>
          <w:numId w:val="1001"/>
          <w:ilvl w:val="0"/>
        </w:numPr>
      </w:pPr>
      <w:hyperlink r:id="rId27">
        <w:r>
          <w:rPr>
            <w:rStyle w:val="Hyperlink"/>
          </w:rPr>
          <w:t xml:space="preserve">Eric E. Johnson</w:t>
        </w:r>
      </w:hyperlink>
      <w:r>
        <w:t xml:space="preserve">,</w:t>
      </w:r>
      <w:r>
        <w:t xml:space="preserve"> </w:t>
      </w:r>
      <w:hyperlink r:id="rId28">
        <w:r>
          <w:rPr>
            <w:rStyle w:val="Hyperlink"/>
          </w:rPr>
          <w:t xml:space="preserve">Defamation Flowchart</w:t>
        </w:r>
      </w:hyperlink>
      <w:r>
        <w:t xml:space="preserve">.</w:t>
      </w:r>
    </w:p>
    <w:p>
      <w:pPr>
        <w:pStyle w:val="Heading2"/>
      </w:pPr>
      <w:bookmarkStart w:id="29" w:name="libel-v.-slander"/>
      <w:r>
        <w:t xml:space="preserve">Libel v. Slander</w:t>
      </w:r>
      <w:bookmarkEnd w:id="29"/>
    </w:p>
    <w:p>
      <w:pPr>
        <w:pStyle w:val="FirstParagraph"/>
      </w:pPr>
      <w:r>
        <w:t xml:space="preserve">Two forms: Libel and slander.</w:t>
      </w:r>
    </w:p>
    <w:p>
      <w:pPr>
        <w:pStyle w:val="Compact"/>
        <w:numPr>
          <w:numId w:val="1002"/>
          <w:ilvl w:val="0"/>
        </w:numPr>
      </w:pPr>
      <w:r>
        <w:t xml:space="preserve">Libel (mneumonic sounds like</w:t>
      </w:r>
      <w:r>
        <w:t xml:space="preserve"> </w:t>
      </w:r>
      <w:r>
        <w:t xml:space="preserve">“</w:t>
      </w:r>
      <w:r>
        <w:t xml:space="preserve">label</w:t>
      </w:r>
      <w:r>
        <w:t xml:space="preserve">”</w:t>
      </w:r>
      <w:r>
        <w:t xml:space="preserve">)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30" w:name="defamation-per-se"/>
      <w:r>
        <w:t xml:space="preserve">Defamation Per Se</w:t>
      </w:r>
      <w:bookmarkEnd w:id="30"/>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3"/>
          <w:ilvl w:val="0"/>
        </w:numPr>
      </w:pPr>
      <w:r>
        <w:t xml:space="preserve">Allegations or imputations</w:t>
      </w:r>
      <w:r>
        <w:t xml:space="preserve"> </w:t>
      </w:r>
      <w:r>
        <w:t xml:space="preserve">“</w:t>
      </w:r>
      <w:r>
        <w:t xml:space="preserve">injurious to another in their trade, business, or profession</w:t>
      </w:r>
      <w:r>
        <w:t xml:space="preserve">”</w:t>
      </w:r>
    </w:p>
    <w:p>
      <w:pPr>
        <w:pStyle w:val="Compact"/>
        <w:numPr>
          <w:numId w:val="1003"/>
          <w:ilvl w:val="0"/>
        </w:numPr>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pStyle w:val="Compact"/>
        <w:numPr>
          <w:numId w:val="1003"/>
          <w:ilvl w:val="0"/>
        </w:numPr>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1">
        <w:r>
          <w:rPr>
            <w:rStyle w:val="Hyperlink"/>
          </w:rPr>
          <w:t xml:space="preserve">moral turpitude</w:t>
        </w:r>
      </w:hyperlink>
      <w:r>
        <w:t xml:space="preserve">)</w:t>
      </w:r>
    </w:p>
    <w:p>
      <w:pPr>
        <w:pStyle w:val="FirstParagraph"/>
      </w:pPr>
      <w:hyperlink r:id="rId32">
        <w:r>
          <w:rPr>
            <w:rStyle w:val="Hyperlink"/>
          </w:rPr>
          <w:t xml:space="preserve">Wikipedia: Defamation Per Se</w:t>
        </w:r>
      </w:hyperlink>
    </w:p>
    <w:p>
      <w:pPr>
        <w:pStyle w:val="Heading3"/>
      </w:pPr>
      <w:bookmarkStart w:id="33" w:name="defamation-meets-first-amendment"/>
      <w:r>
        <w:t xml:space="preserve">Defamation Meets First Amendment</w:t>
      </w:r>
      <w:bookmarkEnd w:id="33"/>
    </w:p>
    <w:p>
      <w:pPr>
        <w:pStyle w:val="FirstParagraph"/>
      </w:pPr>
      <w:r>
        <w:t xml:space="preserve">Sometimes called the constitutionalization of defamation law,</w:t>
      </w:r>
      <w:r>
        <w:t xml:space="preserve"> </w:t>
      </w:r>
      <w:hyperlink r:id="rId34">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4"/>
      </w:pPr>
      <w:bookmarkStart w:id="35" w:name="elements"/>
      <w:r>
        <w:t xml:space="preserve">Elements</w:t>
      </w:r>
      <w:bookmarkEnd w:id="35"/>
    </w:p>
    <w:p>
      <w:pPr>
        <w:pStyle w:val="FirstParagraph"/>
      </w:pPr>
      <w:r>
        <w:t xml:space="preserve">First let’s look at the rules for stating a claim for defamation as they existed before</w:t>
      </w:r>
      <w:r>
        <w:t xml:space="preserve"> </w:t>
      </w:r>
      <w:hyperlink r:id="rId34">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w:t>
      </w:r>
      <w:r>
        <w:t xml:space="preserve"> </w:t>
      </w:r>
      <w:r>
        <w:t xml:space="preserve">“</w:t>
      </w:r>
      <w:r>
        <w:t xml:space="preserve">published</w:t>
      </w:r>
      <w:r>
        <w:t xml:space="preserve">”</w:t>
      </w:r>
      <w:r>
        <w:t xml:space="preserve"> </w:t>
      </w:r>
      <w:r>
        <w:t xml:space="preserve">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FirstParagraph"/>
      </w:pPr>
      <w:hyperlink r:id="rId36">
        <w:r>
          <w:rPr>
            <w:rStyle w:val="Hyperlink"/>
          </w:rPr>
          <w:t xml:space="preserve">Restatement 2nd of Torts §559</w:t>
        </w:r>
      </w:hyperlink>
      <w:r>
        <w:t xml:space="preserve">.</w:t>
      </w:r>
    </w:p>
    <w:p>
      <w:pPr>
        <w:pStyle w:val="Heading2"/>
      </w:pPr>
      <w:bookmarkStart w:id="37" w:name="new-york-times-v.-sullivan"/>
      <w:r>
        <w:rPr>
          <w:i/>
        </w:rPr>
        <w:t xml:space="preserve">New York Times v. Sullivan</w:t>
      </w:r>
      <w:bookmarkEnd w:id="37"/>
    </w:p>
    <w:p>
      <w:pPr>
        <w:pStyle w:val="Heading6"/>
      </w:pPr>
      <w:bookmarkStart w:id="38" w:name="us-supreme-court-1964"/>
      <w:r>
        <w:t xml:space="preserve">US Supreme Court 1964</w:t>
      </w:r>
      <w:bookmarkEnd w:id="38"/>
    </w:p>
    <w:p>
      <w:pPr>
        <w:pStyle w:val="Compact"/>
        <w:numPr>
          <w:numId w:val="1005"/>
          <w:ilvl w:val="0"/>
        </w:numPr>
      </w:pPr>
      <w:hyperlink r:id="rId39">
        <w:r>
          <w:rPr>
            <w:i/>
            <w:rStyle w:val="Hyperlink"/>
          </w:rPr>
          <w:t xml:space="preserve">New York Times Co. v. Sullivan</w:t>
        </w:r>
      </w:hyperlink>
      <w:r>
        <w:t xml:space="preserve">, 376 U.S. 254 (1964).</w:t>
      </w:r>
    </w:p>
    <w:p>
      <w:pPr>
        <w:pStyle w:val="Compact"/>
        <w:numPr>
          <w:numId w:val="1005"/>
          <w:ilvl w:val="0"/>
        </w:numPr>
      </w:pPr>
      <w:hyperlink r:id="rId40">
        <w:r>
          <w:rPr>
            <w:rStyle w:val="Hyperlink"/>
          </w:rPr>
          <w:t xml:space="preserve">Wikipedia</w:t>
        </w:r>
      </w:hyperlink>
      <w:r>
        <w:t xml:space="preserve">.</w:t>
      </w:r>
    </w:p>
    <w:p>
      <w:pPr>
        <w:pStyle w:val="Compact"/>
        <w:numPr>
          <w:numId w:val="1005"/>
          <w:ilvl w:val="0"/>
        </w:numPr>
      </w:pPr>
      <w:hyperlink r:id="rId41">
        <w:r>
          <w:rPr>
            <w:rStyle w:val="Hyperlink"/>
          </w:rPr>
          <w:t xml:space="preserve">NYTimes Editorial: The Uninhibited Press 50 Years Later</w:t>
        </w:r>
      </w:hyperlink>
      <w:r>
        <w:t xml:space="preserve">.</w:t>
      </w:r>
    </w:p>
    <w:p>
      <w:pPr>
        <w:pStyle w:val="Compact"/>
        <w:numPr>
          <w:numId w:val="1005"/>
          <w:ilvl w:val="0"/>
        </w:numPr>
      </w:pPr>
      <w:hyperlink r:id="rId42">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pStyle w:val="Compact"/>
        <w:numPr>
          <w:numId w:val="1005"/>
          <w:ilvl w:val="0"/>
        </w:numPr>
      </w:pPr>
      <w:hyperlink r:id="rId43">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2">
        <w:r>
          <w:rPr>
            <w:rStyle w:val="Hyperlink"/>
          </w:rPr>
          <w:t xml:space="preserve">“</w:t>
        </w:r>
        <w:r>
          <w:rPr>
            <w:rStyle w:val="Hyperlink"/>
          </w:rPr>
          <w:t xml:space="preserve">Heed Their Rising Voices,</w:t>
        </w:r>
        <w:r>
          <w:rPr>
            <w:rStyle w:val="Hyperlink"/>
          </w:rPr>
          <w:t xml:space="preserve">”</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4"/>
      </w:pPr>
      <w:bookmarkStart w:id="44" w:name="lawsuits-over-false-statements-of-fact"/>
      <w:r>
        <w:t xml:space="preserve">Lawsuits Over False Statements of Fact</w:t>
      </w:r>
      <w:bookmarkEnd w:id="44"/>
    </w:p>
    <w:p>
      <w:pPr>
        <w:pStyle w:val="FirstParagraph"/>
      </w:pPr>
      <w:r>
        <w:t xml:space="preserve">In the wake of</w:t>
      </w:r>
      <w:r>
        <w:t xml:space="preserve"> </w:t>
      </w:r>
      <w:hyperlink r:id="rId34">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5">
        <w:r>
          <w:rPr>
            <w:rStyle w:val="Hyperlink"/>
          </w:rPr>
          <w:t xml:space="preserve">actual malice</w:t>
        </w:r>
      </w:hyperlink>
      <w:r>
        <w:t xml:space="preserve">.</w:t>
      </w:r>
    </w:p>
    <w:p>
      <w:pPr>
        <w:pStyle w:val="BlockText"/>
      </w:pPr>
      <w:r>
        <w:t xml:space="preserve">One who publishes a false and defamatory communication</w:t>
      </w:r>
      <w:r>
        <w:t xml:space="preserve"> </w:t>
      </w:r>
      <w:r>
        <w:t xml:space="preserve">concerning a public official or public figure</w:t>
      </w:r>
      <w:r>
        <w:t xml:space="preserve"> </w:t>
      </w:r>
      <w:r>
        <w:t xml:space="preserve">in regard to his conduct, fitness or role in that capacity</w:t>
      </w:r>
      <w:r>
        <w:t xml:space="preserve"> </w:t>
      </w:r>
      <w:r>
        <w:t xml:space="preserve">is subject to liability, if, but only if, he:</w:t>
      </w:r>
    </w:p>
    <w:p>
      <w:pPr>
        <w:pStyle w:val="Compact"/>
        <w:pStyle w:val="BlockText"/>
        <w:numPr>
          <w:numId w:val="1007"/>
          <w:ilvl w:val="0"/>
        </w:numPr>
      </w:pPr>
      <w:r>
        <w:t xml:space="preserve">knows that the statement is false and that it defames the other person, or</w:t>
      </w:r>
    </w:p>
    <w:p>
      <w:pPr>
        <w:pStyle w:val="Compact"/>
        <w:pStyle w:val="BlockText"/>
        <w:numPr>
          <w:numId w:val="1007"/>
          <w:ilvl w:val="0"/>
        </w:numPr>
      </w:pPr>
      <w:r>
        <w:t xml:space="preserve">acts in reckless disregard of these matters.</w:t>
      </w:r>
    </w:p>
    <w:p>
      <w:pPr>
        <w:pStyle w:val="FirstParagraph"/>
      </w:pPr>
      <w:hyperlink r:id="rId46">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Heading4"/>
      </w:pPr>
      <w:bookmarkStart w:id="47" w:name="complexity"/>
      <w:r>
        <w:t xml:space="preserve">Complexity</w:t>
      </w:r>
      <w:bookmarkEnd w:id="47"/>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48">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48">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49" w:name="international-comparisons"/>
      <w:r>
        <w:t xml:space="preserve">International Comparisons</w:t>
      </w:r>
      <w:bookmarkEnd w:id="49"/>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0">
        <w:r>
          <w:rPr>
            <w:i/>
            <w:rStyle w:val="Hyperlink"/>
          </w:rPr>
          <w:t xml:space="preserve">Derbyshire County Council v. Times Newspapers Ltd</w:t>
        </w:r>
      </w:hyperlink>
      <w:r>
        <w:t xml:space="preserve"> </w:t>
      </w:r>
      <w:r>
        <w:t xml:space="preserve">(1993), and it was also rejected in Canada in</w:t>
      </w:r>
      <w:r>
        <w:t xml:space="preserve"> </w:t>
      </w:r>
      <w:hyperlink r:id="rId51">
        <w:r>
          <w:rPr>
            <w:i/>
            <w:rStyle w:val="Hyperlink"/>
          </w:rPr>
          <w:t xml:space="preserve">Hill v. Church of Scientology of Toronto</w:t>
        </w:r>
      </w:hyperlink>
      <w:r>
        <w:t xml:space="preserve"> </w:t>
      </w:r>
      <w:r>
        <w:t xml:space="preserve">(1995), and more recently in</w:t>
      </w:r>
      <w:r>
        <w:t xml:space="preserve"> </w:t>
      </w:r>
      <w:hyperlink r:id="rId52">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3">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4">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5" w:name="davis-v.-constantin-costa-gavras"/>
      <w:r>
        <w:rPr>
          <w:i/>
        </w:rPr>
        <w:t xml:space="preserve">Davis v. Constantin Costa-Gavras</w:t>
      </w:r>
      <w:bookmarkEnd w:id="55"/>
    </w:p>
    <w:p>
      <w:pPr>
        <w:pStyle w:val="Heading6"/>
      </w:pPr>
      <w:bookmarkStart w:id="56" w:name="us-district-court-s.d.-new-york-1987"/>
      <w:r>
        <w:t xml:space="preserve">US District Court, S.D. New York (1987)</w:t>
      </w:r>
      <w:bookmarkEnd w:id="56"/>
    </w:p>
    <w:p>
      <w:pPr>
        <w:pStyle w:val="Compact"/>
        <w:numPr>
          <w:numId w:val="1008"/>
          <w:ilvl w:val="0"/>
        </w:numPr>
      </w:pPr>
      <w:hyperlink r:id="rId57">
        <w:r>
          <w:rPr>
            <w:rStyle w:val="Hyperlink"/>
          </w:rPr>
          <w:t xml:space="preserve">case at Google Scholar</w:t>
        </w:r>
      </w:hyperlink>
    </w:p>
    <w:p>
      <w:pPr>
        <w:pStyle w:val="Compact"/>
        <w:numPr>
          <w:numId w:val="1008"/>
          <w:ilvl w:val="0"/>
        </w:numPr>
      </w:pPr>
      <w:hyperlink r:id="rId58">
        <w:r>
          <w:rPr>
            <w:rStyle w:val="Hyperlink"/>
          </w:rPr>
          <w:t xml:space="preserve">case at Westlaw</w:t>
        </w:r>
      </w:hyperlink>
    </w:p>
    <w:p>
      <w:pPr>
        <w:pStyle w:val="Compact"/>
        <w:numPr>
          <w:numId w:val="1008"/>
          <w:ilvl w:val="0"/>
        </w:numPr>
      </w:pPr>
      <w:hyperlink r:id="rId59">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34">
        <w:r>
          <w:rPr>
            <w:i/>
            <w:rStyle w:val="Hyperlink"/>
          </w:rPr>
          <w:t xml:space="preserve">New York Times v. Sullivan,</w:t>
        </w:r>
        <w:r>
          <w:rPr>
            <w:rStyle w:val="Hyperlink"/>
          </w:rPr>
          <w:t xml:space="preserve"> </w:t>
        </w:r>
        <w:r>
          <w:rPr>
            <w:rStyle w:val="Hyperlink"/>
          </w:rPr>
          <w:t xml:space="preserve">(S.Ct. 1964)</w:t>
        </w:r>
      </w:hyperlink>
      <w:r>
        <w:t xml:space="preserve">. Reckless disregard in such a case means that a defendant published after he</w:t>
      </w:r>
      <w:r>
        <w:t xml:space="preserve"> </w:t>
      </w:r>
      <w:r>
        <w:t xml:space="preserve">“</w:t>
      </w:r>
      <w:r>
        <w:t xml:space="preserve">in fact entertained serious doubts as to the truth of his publication.</w:t>
      </w:r>
      <w:r>
        <w:t xml:space="preserve">”</w:t>
      </w:r>
      <w:r>
        <w:t xml:space="preserve"> </w:t>
      </w:r>
      <w:hyperlink r:id="rId60">
        <w:r>
          <w:rPr>
            <w:i/>
            <w:rStyle w:val="Hyperlink"/>
          </w:rPr>
          <w:t xml:space="preserve">St. Amant v. Thompson</w:t>
        </w:r>
        <w:r>
          <w:rPr>
            <w:rStyle w:val="Hyperlink"/>
          </w:rPr>
          <w:t xml:space="preserve"> </w:t>
        </w:r>
        <w:r>
          <w:rPr>
            <w:rStyle w:val="Hyperlink"/>
          </w:rPr>
          <w:t xml:space="preserve">(S.Ct. 1968.)</w:t>
        </w:r>
      </w:hyperlink>
    </w:p>
    <w:p>
      <w:pPr>
        <w:pStyle w:val="Heading3"/>
      </w:pPr>
      <w:bookmarkStart w:id="61" w:name="designated-evidence-offered-by-plaintiff"/>
      <w:r>
        <w:rPr>
          <w:i/>
        </w:rPr>
        <w:t xml:space="preserve">Designated Evidence Offered by Plaintiff</w:t>
      </w:r>
      <w:bookmarkEnd w:id="61"/>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09"/>
          <w:ilvl w:val="0"/>
        </w:numPr>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pStyle w:val="Compact"/>
        <w:numPr>
          <w:numId w:val="1009"/>
          <w:ilvl w:val="0"/>
        </w:numPr>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2" w:name="a.-the-thesis-of-the-film"/>
      <w:r>
        <w:t xml:space="preserve">A.</w:t>
      </w:r>
      <w:r>
        <w:t xml:space="preserve"> </w:t>
      </w:r>
      <w:r>
        <w:rPr>
          <w:i/>
        </w:rPr>
        <w:t xml:space="preserve">The Thesis of the Film</w:t>
      </w:r>
      <w:bookmarkEnd w:id="62"/>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3" w:name="b.-defendants-reliance-on-hausers-book"/>
      <w:r>
        <w:t xml:space="preserve">B.</w:t>
      </w:r>
      <w:r>
        <w:t xml:space="preserve"> </w:t>
      </w:r>
      <w:r>
        <w:rPr>
          <w:i/>
        </w:rPr>
        <w:t xml:space="preserve">Defendants’ Reliance on Hauser’s Book</w:t>
      </w:r>
      <w:bookmarkEnd w:id="63"/>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r>
        <w:t xml:space="preserve"> </w:t>
      </w:r>
      <w:hyperlink r:id="rId64">
        <w:r>
          <w:rPr>
            <w:i/>
            <w:rStyle w:val="Hyperlink"/>
          </w:rPr>
          <w:t xml:space="preserve">Gertz v. Robert Welch</w:t>
        </w:r>
        <w:r>
          <w:rPr>
            <w:rStyle w:val="Hyperlink"/>
          </w:rPr>
          <w:t xml:space="preserve"> </w:t>
        </w:r>
        <w:r>
          <w:rPr>
            <w:rStyle w:val="Hyperlink"/>
          </w:rPr>
          <w:t xml:space="preserve">(S.Ct. 1974)</w:t>
        </w:r>
      </w:hyperlink>
      <w:r>
        <w:t xml:space="preserve">,</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5">
        <w:r>
          <w:rPr>
            <w:i/>
            <w:rStyle w:val="Hyperlink"/>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60">
        <w:r>
          <w:rPr>
            <w:i/>
            <w:rStyle w:val="Hyperlink"/>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p>
      <w:pPr>
        <w:pStyle w:val="Heading4"/>
      </w:pPr>
      <w:bookmarkStart w:id="66" w:name="c.-failure-to-consult-plaintiff-prior-to-making-film"/>
      <w:r>
        <w:t xml:space="preserve">C.</w:t>
      </w:r>
      <w:r>
        <w:t xml:space="preserve"> </w:t>
      </w:r>
      <w:r>
        <w:rPr>
          <w:i/>
        </w:rPr>
        <w:t xml:space="preserve">Failure to Consult Plaintiff Prior to Making Film</w:t>
      </w:r>
      <w:bookmarkEnd w:id="66"/>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7">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4">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r>
        <w:t xml:space="preserve"> </w:t>
      </w:r>
      <w:hyperlink r:id="rId68">
        <w:r>
          <w:rPr>
            <w:i/>
            <w:rStyle w:val="Hyperlink"/>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69" w:name="d.-scenes-in-missing-as-evidence-of-actual-malice"/>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bookmarkEnd w:id="69"/>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0">
        <w:r>
          <w:rPr>
            <w:i/>
            <w:rStyle w:val="Hyperlink"/>
          </w:rPr>
          <w:t xml:space="preserve">Street v. National Broadcasting Co.</w:t>
        </w:r>
        <w:r>
          <w:rPr>
            <w:rStyle w:val="Hyperlink"/>
          </w:rPr>
          <w:t xml:space="preserve"> </w:t>
        </w:r>
        <w:r>
          <w:rPr>
            <w:rStyle w:val="Hyperlink"/>
          </w:rPr>
          <w:t xml:space="preserve">(6th Cir.),</w:t>
        </w:r>
      </w:hyperlink>
      <w:r>
        <w:t xml:space="preserve">, the</w:t>
      </w:r>
      <w:r>
        <w:t xml:space="preserve"> </w:t>
      </w:r>
      <w:r>
        <w:t xml:space="preserve">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4">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71">
        <w:r>
          <w:rPr>
            <w:i/>
            <w:rStyle w:val="Hyperlink"/>
          </w:rPr>
          <w:t xml:space="preserve">Hotchner v. Castillo-Puche</w:t>
        </w:r>
        <w:r>
          <w:rPr>
            <w:rStyle w:val="Hyperlink"/>
          </w:rPr>
          <w:t xml:space="preserve"> </w:t>
        </w:r>
        <w:r>
          <w:rPr>
            <w:rStyle w:val="Hyperlink"/>
          </w:rPr>
          <w:t xml:space="preserve">(2d Cir. 1977)</w:t>
        </w:r>
      </w:hyperlink>
      <w:r>
        <w:t xml:space="preserve">.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w:t>
      </w:r>
      <w:r>
        <w:t xml:space="preserve"> </w:t>
      </w:r>
      <w:r>
        <w:t xml:space="preserve">“</w:t>
      </w:r>
      <w:r>
        <w:t xml:space="preserve">was fictionalizing to some extent.</w:t>
      </w:r>
      <w:r>
        <w:t xml:space="preserve">”</w:t>
      </w:r>
      <w:r>
        <w:t xml:space="preserve"> </w:t>
      </w:r>
      <w:hyperlink r:id="rId71">
        <w:r>
          <w:rPr>
            <w:i/>
            <w:rStyle w:val="Hyperlink"/>
          </w:rPr>
          <w:t xml:space="preserve">Hotchner,</w:t>
        </w:r>
        <w:r>
          <w:rPr>
            <w:rStyle w:val="Hyperlink"/>
          </w:rPr>
          <w:t xml:space="preserve"> </w:t>
        </w:r>
        <w:r>
          <w:rPr>
            <w:rStyle w:val="Hyperlink"/>
          </w:rPr>
          <w:t xml:space="preserve">551 F.2d at 914</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w:t>
      </w:r>
      <w:r>
        <w:t xml:space="preserve">the change did not increase the defamatory impact or alter the</w:t>
      </w:r>
      <w:r>
        <w:t xml:space="preserve"> </w:t>
      </w:r>
      <w:r>
        <w:t xml:space="preserve">substantive content</w:t>
      </w:r>
      <w:r>
        <w:t xml:space="preserve">”</w:t>
      </w:r>
      <w:r>
        <w:t xml:space="preserve"> </w:t>
      </w:r>
      <w:r>
        <w:t xml:space="preserve">of Hemingway’s original statement which defendants</w:t>
      </w:r>
      <w:r>
        <w:t xml:space="preserve"> </w:t>
      </w:r>
      <w:r>
        <w:t xml:space="preserve">relied upon.</w:t>
      </w:r>
      <w:r>
        <w:t xml:space="preserve"> </w:t>
      </w:r>
      <w:r>
        <w:rPr>
          <w:i/>
        </w:rPr>
        <w:t xml:space="preserve">Id.</w:t>
      </w:r>
    </w:p>
    <w:p>
      <w:pPr>
        <w:pStyle w:val="Heading4"/>
      </w:pPr>
      <w:bookmarkStart w:id="72" w:name="conclusion"/>
      <w:r>
        <w:rPr>
          <w:i/>
        </w:rPr>
        <w:t xml:space="preserve">Conclusion</w:t>
      </w:r>
      <w:bookmarkEnd w:id="72"/>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73" w:name="appendix"/>
      <w:r>
        <w:t xml:space="preserve">APPENDIX</w:t>
      </w:r>
      <w:bookmarkEnd w:id="73"/>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5"/>
      </w:pPr>
      <w:bookmarkStart w:id="74" w:name="initial-embassy-scene"/>
      <w:r>
        <w:t xml:space="preserve">1.</w:t>
      </w:r>
      <w:r>
        <w:t xml:space="preserve"> </w:t>
      </w:r>
      <w:r>
        <w:rPr>
          <w:i/>
        </w:rPr>
        <w:t xml:space="preserve">Initial Embassy Scene</w:t>
      </w:r>
      <w:bookmarkEnd w:id="74"/>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5"/>
      </w:pPr>
      <w:bookmarkStart w:id="75" w:name="the-hotel-meeting"/>
      <w:r>
        <w:t xml:space="preserve">2.</w:t>
      </w:r>
      <w:r>
        <w:t xml:space="preserve"> </w:t>
      </w:r>
      <w:r>
        <w:rPr>
          <w:i/>
        </w:rPr>
        <w:t xml:space="preserve">The Hotel Meeting</w:t>
      </w:r>
      <w:bookmarkEnd w:id="75"/>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p>
      <w:pPr>
        <w:pStyle w:val="Heading5"/>
      </w:pPr>
      <w:bookmarkStart w:id="76" w:name="the-stadium"/>
      <w:r>
        <w:t xml:space="preserve">3.</w:t>
      </w:r>
      <w:r>
        <w:t xml:space="preserve"> </w:t>
      </w:r>
      <w:r>
        <w:rPr>
          <w:i/>
        </w:rPr>
        <w:t xml:space="preserve">The Stadium</w:t>
      </w:r>
      <w:bookmarkEnd w:id="76"/>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p>
      <w:pPr>
        <w:pStyle w:val="Heading5"/>
      </w:pPr>
      <w:bookmarkStart w:id="77" w:name="the-final-embassy-meeting"/>
      <w:r>
        <w:t xml:space="preserve">4.</w:t>
      </w:r>
      <w:r>
        <w:t xml:space="preserve"> </w:t>
      </w:r>
      <w:r>
        <w:rPr>
          <w:i/>
        </w:rPr>
        <w:t xml:space="preserve">The Final Embassy Meeting</w:t>
      </w:r>
      <w:bookmarkEnd w:id="77"/>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8" w:name="the-airport-scene"/>
      <w:r>
        <w:t xml:space="preserve">5.</w:t>
      </w:r>
      <w:r>
        <w:t xml:space="preserve"> </w:t>
      </w:r>
      <w:r>
        <w:rPr>
          <w:i/>
        </w:rPr>
        <w:t xml:space="preserve">The Airport Scene</w:t>
      </w:r>
      <w:bookmarkEnd w:id="78"/>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5"/>
      </w:pPr>
      <w:bookmarkStart w:id="79" w:name="the-bathroom-scene"/>
      <w:r>
        <w:t xml:space="preserve">6.</w:t>
      </w:r>
      <w:r>
        <w:t xml:space="preserve"> </w:t>
      </w:r>
      <w:r>
        <w:rPr>
          <w:i/>
        </w:rPr>
        <w:t xml:space="preserve">The Bathroom Scene</w:t>
      </w:r>
      <w:bookmarkEnd w:id="79"/>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5"/>
      </w:pPr>
      <w:bookmarkStart w:id="80" w:name="the-meeting-with-paris"/>
      <w:r>
        <w:t xml:space="preserve">7.</w:t>
      </w:r>
      <w:r>
        <w:t xml:space="preserve"> </w:t>
      </w:r>
      <w:r>
        <w:rPr>
          <w:i/>
        </w:rPr>
        <w:t xml:space="preserve">The Meeting with Paris</w:t>
      </w:r>
      <w:bookmarkEnd w:id="80"/>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5"/>
      </w:pPr>
      <w:bookmarkStart w:id="81" w:name="the-mafia-speech"/>
      <w:r>
        <w:t xml:space="preserve">8.</w:t>
      </w:r>
      <w:r>
        <w:t xml:space="preserve"> </w:t>
      </w:r>
      <w:r>
        <w:rPr>
          <w:i/>
        </w:rPr>
        <w:t xml:space="preserve">The Mafia Speech</w:t>
      </w:r>
      <w:bookmarkEnd w:id="81"/>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5"/>
      </w:pPr>
      <w:bookmarkStart w:id="82" w:name="the-telephone-repair-scene"/>
      <w:r>
        <w:t xml:space="preserve">9.</w:t>
      </w:r>
      <w:r>
        <w:t xml:space="preserve"> </w:t>
      </w:r>
      <w:r>
        <w:rPr>
          <w:i/>
        </w:rPr>
        <w:t xml:space="preserve">The Telephone Repair Scene</w:t>
      </w:r>
      <w:bookmarkEnd w:id="82"/>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3" w:name="public-figures"/>
      <w:r>
        <w:t xml:space="preserve">Public Figures</w:t>
      </w:r>
      <w:r>
        <w:t xml:space="preserve"> </w:t>
      </w:r>
      <w:bookmarkEnd w:id="83"/>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0"/>
          <w:ilvl w:val="0"/>
        </w:numPr>
      </w:pPr>
      <w:r>
        <w:t xml:space="preserve">General-purpose public figures;</w:t>
      </w:r>
    </w:p>
    <w:p>
      <w:pPr>
        <w:pStyle w:val="Compact"/>
        <w:numPr>
          <w:numId w:val="1010"/>
          <w:ilvl w:val="0"/>
        </w:numPr>
      </w:pPr>
      <w:r>
        <w:t xml:space="preserve">Limited-purpose public figures;</w:t>
      </w:r>
    </w:p>
    <w:p>
      <w:pPr>
        <w:pStyle w:val="Compact"/>
        <w:numPr>
          <w:numId w:val="1010"/>
          <w:ilvl w:val="0"/>
        </w:numPr>
      </w:pPr>
      <w:r>
        <w:t xml:space="preserve">Involuntary public figures.</w:t>
      </w:r>
    </w:p>
    <w:p>
      <w:pPr>
        <w:pStyle w:val="Heading4"/>
      </w:pPr>
      <w:bookmarkStart w:id="84" w:name="general-purpose-public-figures."/>
      <w:r>
        <w:t xml:space="preserve">General Purpose Public Figures.</w:t>
      </w:r>
      <w:bookmarkEnd w:id="84"/>
    </w:p>
    <w:p>
      <w:pPr>
        <w:pStyle w:val="FirstParagraph"/>
      </w:pPr>
      <w:r>
        <w:t xml:space="preserve">These are easy to spot, as the D.C. Circuit put it in</w:t>
      </w:r>
      <w:r>
        <w:t xml:space="preserve"> </w:t>
      </w:r>
      <w:hyperlink r:id="rId85">
        <w:r>
          <w:rPr>
            <w:i/>
            <w:rStyle w:val="Hyperlink"/>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6" w:name="limited-purpose-public-figure"/>
      <w:r>
        <w:t xml:space="preserve">Limited-Purpose Public Figure</w:t>
      </w:r>
      <w:bookmarkEnd w:id="86"/>
    </w:p>
    <w:p>
      <w:pPr>
        <w:pStyle w:val="FirstParagraph"/>
      </w:pPr>
      <w:r>
        <w:t xml:space="preserve">In its leading opinion on public</w:t>
      </w:r>
      <w:r>
        <w:t xml:space="preserve"> </w:t>
      </w:r>
      <w:r>
        <w:rPr>
          <w:i/>
        </w:rPr>
        <w:t xml:space="preserve">figures</w:t>
      </w:r>
      <w:r>
        <w:t xml:space="preserve">,</w:t>
      </w:r>
      <w:r>
        <w:t xml:space="preserve"> </w:t>
      </w:r>
      <w:hyperlink r:id="rId64">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34">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1"/>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1"/>
          <w:ilvl w:val="0"/>
        </w:numPr>
      </w:pPr>
      <w:r>
        <w:t xml:space="preserve">The plaintiff must have more than a trivial or tangential role in the controversy; and,</w:t>
      </w:r>
    </w:p>
    <w:p>
      <w:pPr>
        <w:pStyle w:val="Compact"/>
        <w:numPr>
          <w:numId w:val="1011"/>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2"/>
          <w:ilvl w:val="0"/>
        </w:numPr>
      </w:pPr>
      <w:r>
        <w:t xml:space="preserve">Successfully invited public attention to his views in an effort to influence others prior to the incident that is the subject of litigation;</w:t>
      </w:r>
    </w:p>
    <w:p>
      <w:pPr>
        <w:pStyle w:val="Compact"/>
        <w:numPr>
          <w:numId w:val="1012"/>
          <w:ilvl w:val="0"/>
        </w:numPr>
      </w:pPr>
      <w:r>
        <w:t xml:space="preserve">Voluntarily injected himself into a public controversy related to the subject of the litigation;</w:t>
      </w:r>
    </w:p>
    <w:p>
      <w:pPr>
        <w:pStyle w:val="Compact"/>
        <w:numPr>
          <w:numId w:val="1012"/>
          <w:ilvl w:val="0"/>
        </w:numPr>
      </w:pPr>
      <w:r>
        <w:t xml:space="preserve">Assumed a position of prominence in the public controversy; and</w:t>
      </w:r>
    </w:p>
    <w:p>
      <w:pPr>
        <w:pStyle w:val="Compact"/>
        <w:numPr>
          <w:numId w:val="1012"/>
          <w:ilvl w:val="0"/>
        </w:numPr>
      </w:pPr>
      <w:r>
        <w:t xml:space="preserve">Maintained regular and continuing access to the media.</w:t>
      </w:r>
    </w:p>
    <w:p>
      <w:pPr>
        <w:pStyle w:val="FirstParagraph"/>
      </w:pPr>
      <w:hyperlink r:id="rId87">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88" w:name="involuntary-public-figures"/>
      <w:r>
        <w:t xml:space="preserve">Involuntary Public Figures</w:t>
      </w:r>
      <w:bookmarkEnd w:id="88"/>
    </w:p>
    <w:p>
      <w:pPr>
        <w:pStyle w:val="FirstParagraph"/>
      </w:pPr>
      <w:r>
        <w:t xml:space="preserve">Some read</w:t>
      </w:r>
      <w:r>
        <w:t xml:space="preserve"> </w:t>
      </w:r>
      <w:hyperlink r:id="rId64">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89" w:name="street-v.-national-broadcasting-co."/>
      <w:r>
        <w:rPr>
          <w:i/>
        </w:rPr>
        <w:t xml:space="preserve">Street v. National Broadcasting Co.</w:t>
      </w:r>
      <w:bookmarkEnd w:id="89"/>
    </w:p>
    <w:p>
      <w:pPr>
        <w:pStyle w:val="Heading6"/>
      </w:pPr>
      <w:bookmarkStart w:id="90" w:name="th-circuit-1981"/>
      <w:r>
        <w:t xml:space="preserve">(6th Circuit 1981)</w:t>
      </w:r>
      <w:bookmarkEnd w:id="90"/>
    </w:p>
    <w:p>
      <w:pPr>
        <w:pStyle w:val="Compact"/>
        <w:numPr>
          <w:numId w:val="1013"/>
          <w:ilvl w:val="0"/>
        </w:numPr>
      </w:pPr>
      <w:hyperlink r:id="rId91">
        <w:r>
          <w:rPr>
            <w:rStyle w:val="Hyperlink"/>
          </w:rPr>
          <w:t xml:space="preserve">Case in Google Scholar</w:t>
        </w:r>
      </w:hyperlink>
    </w:p>
    <w:p>
      <w:pPr>
        <w:pStyle w:val="Compact"/>
        <w:numPr>
          <w:numId w:val="1013"/>
          <w:ilvl w:val="0"/>
        </w:numPr>
      </w:pPr>
      <w:hyperlink r:id="rId92">
        <w:r>
          <w:rPr>
            <w:rStyle w:val="Hyperlink"/>
          </w:rPr>
          <w:t xml:space="preserve">Case in Wikipedia</w:t>
        </w:r>
      </w:hyperlink>
    </w:p>
    <w:p>
      <w:pPr>
        <w:pStyle w:val="Compact"/>
        <w:numPr>
          <w:numId w:val="1013"/>
          <w:ilvl w:val="0"/>
        </w:numPr>
      </w:pPr>
      <w:hyperlink r:id="rId93">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w:t>
      </w:r>
      <w:r>
        <w:t xml:space="preserve"> </w:t>
      </w:r>
      <w:r>
        <w:t xml:space="preserve">“</w:t>
      </w:r>
      <w:r>
        <w:t xml:space="preserve">Judge Horton and the Scottsboro Boys,</w:t>
      </w:r>
      <w:r>
        <w:t xml:space="preserve">”</w:t>
      </w:r>
      <w:r>
        <w:t xml:space="preserve"> </w:t>
      </w:r>
      <w:r>
        <w:t xml:space="preserve">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w:t>
      </w:r>
      <w:r>
        <w:t xml:space="preserve"> </w:t>
      </w:r>
      <w:r>
        <w:t xml:space="preserve">“</w:t>
      </w:r>
      <w:r>
        <w:t xml:space="preserve">false light</w:t>
      </w:r>
      <w:r>
        <w:t xml:space="preserve">”</w:t>
      </w:r>
      <w:r>
        <w:t xml:space="preserve"> </w:t>
      </w:r>
      <w:r>
        <w:t xml:space="preserve">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w:t>
      </w:r>
      <w:r>
        <w:t xml:space="preserve"> </w:t>
      </w:r>
      <w:r>
        <w:t xml:space="preserve">“</w:t>
      </w:r>
      <w:r>
        <w:t xml:space="preserve">public</w:t>
      </w:r>
      <w:r>
        <w:t xml:space="preserve">”</w:t>
      </w:r>
      <w:r>
        <w:t xml:space="preserve"> </w:t>
      </w:r>
      <w:r>
        <w:t xml:space="preserve">as distinguished from</w:t>
      </w:r>
      <w:r>
        <w:t xml:space="preserve"> </w:t>
      </w:r>
      <w:r>
        <w:t xml:space="preserve">“</w:t>
      </w:r>
      <w:r>
        <w:t xml:space="preserve">private.</w:t>
      </w:r>
      <w:r>
        <w:t xml:space="preserve">”</w:t>
      </w:r>
      <w:r>
        <w:t xml:space="preserve"> </w:t>
      </w:r>
      <w:r>
        <w:t xml:space="preserve">A malice standard applies to public figures under the First Amendment, and there is no evidence that the play was published with malice.</w:t>
      </w:r>
    </w:p>
    <w:p>
      <w:pPr>
        <w:pStyle w:val="Heading3"/>
      </w:pPr>
      <w:bookmarkStart w:id="94" w:name="i.-statement-of-facts"/>
      <w:r>
        <w:t xml:space="preserve">I. STATEMENT OF FACTS</w:t>
      </w:r>
      <w:bookmarkEnd w:id="94"/>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w:t>
      </w:r>
      <w:r>
        <w:t xml:space="preserve"> </w:t>
      </w:r>
      <w:r>
        <w:t xml:space="preserve">“</w:t>
      </w:r>
      <w:r>
        <w:t xml:space="preserve">Judge Horton and the Scottsboro Boys,</w:t>
      </w:r>
      <w:r>
        <w:t xml:space="preserve">”</w:t>
      </w:r>
      <w:r>
        <w:t xml:space="preserve"> </w:t>
      </w:r>
      <w:r>
        <w:t xml:space="preserve">plaintiff notified NBC that she was living, and shortly thereafter she filed suit. Soon after plaintiff filed suit, NBC rebroadcast the dramatization</w:t>
      </w:r>
      <w:r>
        <w:t xml:space="preserve"> </w:t>
      </w:r>
      <w:r>
        <w:t xml:space="preserve">omitting the statement that plaintiff was no longer living.</w:t>
      </w:r>
    </w:p>
    <w:p>
      <w:pPr>
        <w:pStyle w:val="Heading4"/>
      </w:pPr>
      <w:bookmarkStart w:id="95" w:name="the-dramatization"/>
      <w:r>
        <w:t xml:space="preserve">The Dramatization</w:t>
      </w:r>
      <w:bookmarkEnd w:id="95"/>
    </w:p>
    <w:p>
      <w:pPr>
        <w:pStyle w:val="FirstParagraph"/>
      </w:pPr>
      <w:r>
        <w:t xml:space="preserve">The script for</w:t>
      </w:r>
      <w:r>
        <w:t xml:space="preserve"> </w:t>
      </w:r>
      <w:r>
        <w:t xml:space="preserve">“</w:t>
      </w:r>
      <w:r>
        <w:t xml:space="preserve">Judge Horton and the Scottsboro Boys</w:t>
      </w:r>
      <w:r>
        <w:t xml:space="preserve">”</w:t>
      </w:r>
      <w:r>
        <w:t xml:space="preserve"> </w:t>
      </w:r>
      <w:r>
        <w:t xml:space="preserve">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14"/>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numId w:val="1014"/>
          <w:ilvl w:val="0"/>
        </w:numPr>
      </w:pPr>
      <w:r>
        <w:t xml:space="preserve">As plaintiff and Ruby Bates are led away from the tracks by the sheriff and his men, the sheriff in the play calls the two women a</w:t>
      </w:r>
      <w:r>
        <w:t xml:space="preserve"> </w:t>
      </w:r>
      <w:r>
        <w:t xml:space="preserve">“</w:t>
      </w:r>
      <w:r>
        <w:t xml:space="preserve">couple of bums.</w:t>
      </w:r>
      <w:r>
        <w:t xml:space="preserve">”</w:t>
      </w:r>
      <w:r>
        <w:t xml:space="preserve"> </w:t>
      </w:r>
      <w:r>
        <w:t xml:space="preserve">There is no indication in Judge Horton’s opinion, in the 1933 trial transcript, or in Dr. Carter’s book that this comment was</w:t>
      </w:r>
      <w:r>
        <w:t xml:space="preserve"> </w:t>
      </w:r>
      <w:r>
        <w:t xml:space="preserve">actually made.</w:t>
      </w:r>
    </w:p>
    <w:p>
      <w:pPr>
        <w:numPr>
          <w:numId w:val="1014"/>
          <w:ilvl w:val="0"/>
        </w:numPr>
      </w:pPr>
      <w:r>
        <w:t xml:space="preserve">In a pretrial conversation between two lawyers representing the defendant, the play portrays one of them as advising restraint in the cross-examination of plaintiff Price. He says to the other defense lawyer:</w:t>
      </w:r>
      <w:r>
        <w:t xml:space="preserve"> </w:t>
      </w:r>
      <w:r>
        <w:t xml:space="preserve">“</w:t>
      </w:r>
      <w:r>
        <w:t xml:space="preserve">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w:t>
      </w:r>
      <w:r>
        <w:t xml:space="preserve">”</w:t>
      </w:r>
      <w:r>
        <w:t xml:space="preserve"> </w:t>
      </w:r>
      <w:r>
        <w:t xml:space="preserve">(Emphasis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4"/>
          <w:ilvl w:val="0"/>
        </w:numPr>
      </w:pPr>
      <w:r>
        <w:t xml:space="preserve">Plaintiff in this action contends that the movie falsely portrays her as defensive and evasive during her direct and cross-examination.</w:t>
      </w:r>
    </w:p>
    <w:p>
      <w:pPr>
        <w:numPr>
          <w:numId w:val="1014"/>
          <w:ilvl w:val="0"/>
        </w:numPr>
      </w:pPr>
      <w:r>
        <w:t xml:space="preserve">Plaintiff claims that the last question put to her on</w:t>
      </w:r>
      <w:r>
        <w:t xml:space="preserve"> </w:t>
      </w:r>
      <w:r>
        <w:t xml:space="preserve">cross-examination in the play is inaccurate. In the movie the defense attorney asks:</w:t>
      </w:r>
      <w:r>
        <w:t xml:space="preserve"> </w:t>
      </w:r>
      <w:r>
        <w:t xml:space="preserve">“</w:t>
      </w:r>
      <w:r>
        <w:t xml:space="preserve">One more question: have you ever heard of a white woman being arrested for perjury when she was the complaining witness against Negroes in the entire history of the state of Alabama?</w:t>
      </w:r>
      <w:r>
        <w:t xml:space="preserve">”</w:t>
      </w:r>
      <w:r>
        <w:t xml:space="preserve"> </w:t>
      </w:r>
      <w:r>
        <w:t xml:space="preserve">According to the 1933 trial transcript, the actual question was,</w:t>
      </w:r>
      <w:r>
        <w:t xml:space="preserve"> </w:t>
      </w:r>
      <w:r>
        <w:t xml:space="preserve">“</w:t>
      </w:r>
      <w:r>
        <w:t xml:space="preserve">I want to ask you if you have ever heard of any single white woman ever being locked up in jail when she is the complaining witness against Negroes in the history of the state of Alabama?</w:t>
      </w:r>
      <w:r>
        <w:t xml:space="preserve">”</w:t>
      </w:r>
      <w:r>
        <w:t xml:space="preserve"> </w:t>
      </w:r>
      <w:r>
        <w:t xml:space="preserve">Plaintiff objects to the insertion of the word</w:t>
      </w:r>
      <w:r>
        <w:t xml:space="preserve"> </w:t>
      </w:r>
      <w:r>
        <w:t xml:space="preserve">“</w:t>
      </w:r>
      <w:r>
        <w:t xml:space="preserve">perjury</w:t>
      </w:r>
      <w:r>
        <w:t xml:space="preserve">”</w:t>
      </w:r>
      <w:r>
        <w:t xml:space="preserve"> </w:t>
      </w:r>
      <w:r>
        <w:t xml:space="preserve">in the play.</w:t>
      </w:r>
    </w:p>
    <w:p>
      <w:pPr>
        <w:numPr>
          <w:numId w:val="1014"/>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numId w:val="1014"/>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w:t>
      </w:r>
      <w:r>
        <w:t xml:space="preserve"> </w:t>
      </w:r>
      <w:r>
        <w:t xml:space="preserve">“</w:t>
      </w:r>
      <w:r>
        <w:t xml:space="preserve">[m]aybe Ruby and me could hustle there while you two [Carter and Tiller] got some kind of fill-in</w:t>
      </w:r>
      <w:r>
        <w:t xml:space="preserve"> </w:t>
      </w:r>
      <w:r>
        <w:t xml:space="preserve">work. What do you say?</w:t>
      </w:r>
      <w:r>
        <w:t xml:space="preserve">”</w:t>
      </w:r>
      <w:r>
        <w:t xml:space="preserve"> </w:t>
      </w:r>
      <w:r>
        <w:t xml:space="preserve">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numId w:val="1014"/>
          <w:ilvl w:val="0"/>
        </w:numPr>
      </w:pPr>
      <w:r>
        <w:t xml:space="preserve">Lester Carter also testifies in the play that plaintiff urged him to say that he had seen her raped. The 1933 trial transcript reveals that Carter actually testified that he overheard plaintiff tell another white youth that</w:t>
      </w:r>
      <w:r>
        <w:t xml:space="preserve"> </w:t>
      </w:r>
      <w:r>
        <w:t xml:space="preserve">“</w:t>
      </w:r>
      <w:r>
        <w:t xml:space="preserve">if you don’t testify according to what I testify I will see that you are took off the witness stand.…</w:t>
      </w:r>
      <w:r>
        <w:t xml:space="preserve">”</w:t>
      </w:r>
      <w:r>
        <w:t xml:space="preserve"> </w:t>
      </w:r>
      <w:r>
        <w:t xml:space="preserve">Judge Horton in his opinion observed that there was evidence presented at the trial showing that Price encouraged others to support her version of what had happened.</w:t>
      </w:r>
    </w:p>
    <w:p>
      <w:pPr>
        <w:numPr>
          <w:numId w:val="1014"/>
          <w:ilvl w:val="0"/>
        </w:numPr>
      </w:pPr>
      <w:r>
        <w:t xml:space="preserve">Another witness in the play, Dallas Ramsey, testifies that he saw plaintiff and Ruby Bates in a</w:t>
      </w:r>
      <w:r>
        <w:t xml:space="preserve"> </w:t>
      </w:r>
      <w:r>
        <w:t xml:space="preserve">“</w:t>
      </w:r>
      <w:r>
        <w:t xml:space="preserve">hobo jungle</w:t>
      </w:r>
      <w:r>
        <w:t xml:space="preserve">”</w:t>
      </w:r>
      <w:r>
        <w:t xml:space="preserve"> </w:t>
      </w:r>
      <w:r>
        <w:t xml:space="preserve">near the train tracks in Chattanooga the night before the train trip back to Alabama. Ramsey testifies that plaintiff stated that she and her husband were looking</w:t>
      </w:r>
      <w:r>
        <w:t xml:space="preserve"> </w:t>
      </w:r>
      <w:r>
        <w:t xml:space="preserve">for work and that</w:t>
      </w:r>
      <w:r>
        <w:t xml:space="preserve"> </w:t>
      </w:r>
      <w:r>
        <w:t xml:space="preserve">“</w:t>
      </w:r>
      <w:r>
        <w:t xml:space="preserve">her old man</w:t>
      </w:r>
      <w:r>
        <w:t xml:space="preserve">”</w:t>
      </w:r>
      <w:r>
        <w:t xml:space="preserve"> </w:t>
      </w:r>
      <w:r>
        <w:t xml:space="preserve">was uptown scrounging for food. The play dramatizes Ramsey’s testimony while he is on the stand by a flashback to the scene at the</w:t>
      </w:r>
      <w:r>
        <w:t xml:space="preserve"> </w:t>
      </w:r>
      <w:r>
        <w:t xml:space="preserve">“</w:t>
      </w:r>
      <w:r>
        <w:t xml:space="preserve">hobo jungle.</w:t>
      </w:r>
      <w:r>
        <w:t xml:space="preserve">”</w:t>
      </w:r>
      <w:r>
        <w:t xml:space="preserve"> </w:t>
      </w:r>
      <w:r>
        <w:t xml:space="preserve">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96" w:name="ii.-common-law-claims-and-defenses"/>
      <w:r>
        <w:t xml:space="preserve">II. COMMON LAW CLAIMS AND DEFENSES</w:t>
      </w:r>
      <w:bookmarkEnd w:id="96"/>
    </w:p>
    <w:p>
      <w:pPr>
        <w:pStyle w:val="Heading4"/>
      </w:pPr>
      <w:bookmarkStart w:id="97" w:name="a.-defamatory-nature-of-the-published-material"/>
      <w:r>
        <w:t xml:space="preserve">A. Defamatory Nature of the Published Material</w:t>
      </w:r>
      <w:bookmarkEnd w:id="97"/>
    </w:p>
    <w:p>
      <w:pPr>
        <w:pStyle w:val="FirstParagraph"/>
      </w:pPr>
      <w:r>
        <w:t xml:space="preserve">Taken as a whole, the play conveys a defamatory image of the plaintiff. Although the words</w:t>
      </w:r>
      <w:r>
        <w:t xml:space="preserve"> </w:t>
      </w:r>
      <w:r>
        <w:t xml:space="preserve">“</w:t>
      </w:r>
      <w:r>
        <w:t xml:space="preserve">bum</w:t>
      </w:r>
      <w:r>
        <w:t xml:space="preserve">”</w:t>
      </w:r>
      <w:r>
        <w:t xml:space="preserve"> </w:t>
      </w:r>
      <w:r>
        <w:t xml:space="preserve">and</w:t>
      </w:r>
      <w:r>
        <w:t xml:space="preserve"> </w:t>
      </w:r>
      <w:r>
        <w:t xml:space="preserve">“</w:t>
      </w:r>
      <w:r>
        <w:t xml:space="preserve">hustle</w:t>
      </w:r>
      <w:r>
        <w:t xml:space="preserve">”</w:t>
      </w:r>
      <w:r>
        <w:t xml:space="preserve"> </w:t>
      </w:r>
      <w:r>
        <w:t xml:space="preserve">may be considered rhetorical hyperbole and therefore not necessarily defamatory,</w:t>
      </w:r>
      <w:r>
        <w:t xml:space="preserve"> </w:t>
      </w:r>
      <w:hyperlink r:id="rId98">
        <w:r>
          <w:rPr>
            <w:i/>
            <w:rStyle w:val="Hyperlink"/>
          </w:rPr>
          <w:t xml:space="preserve">Letter Carriers v. Austin,</w:t>
        </w:r>
        <w:r>
          <w:rPr>
            <w:rStyle w:val="Hyperlink"/>
          </w:rPr>
          <w:t xml:space="preserve"> </w:t>
        </w:r>
        <w:r>
          <w:rPr>
            <w:rStyle w:val="Hyperlink"/>
          </w:rPr>
          <w:t xml:space="preserve">(S.Ct. 1974),</w:t>
        </w:r>
      </w:hyperlink>
      <w:r>
        <w:t xml:space="preserve"> </w:t>
      </w:r>
      <w:r>
        <w:t xml:space="preserve">the reference to plaintiff as a</w:t>
      </w:r>
      <w:r>
        <w:t xml:space="preserve"> </w:t>
      </w:r>
      <w:r>
        <w:t xml:space="preserve">“</w:t>
      </w:r>
      <w:r>
        <w:t xml:space="preserve">whore</w:t>
      </w:r>
      <w:r>
        <w:t xml:space="preserve">”</w:t>
      </w:r>
      <w:r>
        <w:t xml:space="preserve"> </w:t>
      </w:r>
      <w:r>
        <w:t xml:space="preserve">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99" w:name="b.-the-privilege-of-fair-comment"/>
      <w:r>
        <w:t xml:space="preserve">B. The Privilege of Fair Comment</w:t>
      </w:r>
      <w:bookmarkEnd w:id="99"/>
    </w:p>
    <w:p>
      <w:pPr>
        <w:pStyle w:val="FirstParagraph"/>
      </w:pPr>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00">
        <w:r>
          <w:rPr>
            <w:i/>
            <w:rStyle w:val="Hyperlink"/>
          </w:rPr>
          <w:t xml:space="preserve">Venn v. Tennessean Newspapers, Inc.,</w:t>
        </w:r>
        <w:r>
          <w:rPr>
            <w:rStyle w:val="Hyperlink"/>
          </w:rPr>
          <w:t xml:space="preserve">(M.D.Tenn. 1962),</w:t>
        </w:r>
      </w:hyperlink>
      <w:r>
        <w:t xml:space="preserve"> </w:t>
      </w:r>
      <w:r>
        <w:rPr>
          <w:i/>
        </w:rPr>
        <w:t xml:space="preserve">aff’d,</w:t>
      </w:r>
      <w:r>
        <w:t xml:space="preserve"> </w:t>
      </w:r>
      <w:hyperlink r:id="rId101">
        <w:r>
          <w:rPr>
            <w:rStyle w:val="Hyperlink"/>
          </w:rPr>
          <w:t xml:space="preserve">313 F.2d 639 (6th Cir.),</w:t>
        </w:r>
      </w:hyperlink>
      <w:r>
        <w:t xml:space="preserve"> </w:t>
      </w:r>
      <w:r>
        <w:rPr>
          <w:i/>
        </w:rPr>
        <w:t xml:space="preserve">cert. denied,</w:t>
      </w:r>
      <w:r>
        <w:t xml:space="preserve"> </w:t>
      </w:r>
      <w:hyperlink r:id="rId102">
        <w:r>
          <w:rPr>
            <w:rStyle w:val="Hyperlink"/>
          </w:rPr>
          <w:t xml:space="preserve">374 U.S. 830 (1963),</w:t>
        </w:r>
      </w:hyperlink>
      <w:r>
        <w:t xml:space="preserve"> </w:t>
      </w:r>
      <w:r>
        <w:t xml:space="preserve">is now protected as opinion under the First Amendment,</w:t>
      </w:r>
      <w:r>
        <w:t xml:space="preserve"> </w:t>
      </w:r>
      <w:hyperlink r:id="rId64">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103">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p>
      <w:pPr>
        <w:pStyle w:val="Heading4"/>
      </w:pPr>
      <w:bookmarkStart w:id="104" w:name="c.-the-defense-of-truth-and-the-privilege-of-fair-report-of-a-judicial-proceeding"/>
      <w:r>
        <w:t xml:space="preserve">C. The Defense of Truth and the Privilege of Fair Report of a Judicial Proceeding</w:t>
      </w:r>
      <w:bookmarkEnd w:id="104"/>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05">
        <w:r>
          <w:rPr>
            <w:i/>
            <w:rStyle w:val="Hyperlink"/>
          </w:rPr>
          <w:t xml:space="preserve">Langford v. Vanderbilt University,</w:t>
        </w:r>
        <w:r>
          <w:rPr>
            <w:rStyle w:val="Hyperlink"/>
          </w:rPr>
          <w:t xml:space="preserve"> </w:t>
        </w:r>
        <w:r>
          <w:rPr>
            <w:rStyle w:val="Hyperlink"/>
          </w:rPr>
          <w:t xml:space="preserve">(Tenn.App. 1958)</w:t>
        </w:r>
      </w:hyperlink>
      <w:r>
        <w:t xml:space="preserve">.</w:t>
      </w:r>
    </w:p>
    <w:p>
      <w:pPr>
        <w:pStyle w:val="Heading3"/>
      </w:pPr>
      <w:bookmarkStart w:id="106" w:name="iii.-the-first-amendment-defenses"/>
      <w:r>
        <w:t xml:space="preserve">III. THE FIRST AMENDMENT DEFENSES</w:t>
      </w:r>
      <w:bookmarkEnd w:id="106"/>
    </w:p>
    <w:p>
      <w:pPr>
        <w:pStyle w:val="Heading4"/>
      </w:pPr>
      <w:bookmarkStart w:id="107" w:name="a.-plaintiff-was-a-public-figure-during-the-scottsboro-trials"/>
      <w:r>
        <w:t xml:space="preserve">A. Plaintiff was a Public Figure During the Scottsboro Trials</w:t>
      </w:r>
      <w:bookmarkEnd w:id="107"/>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w:t>
      </w:r>
      <w:r>
        <w:t xml:space="preserve"> </w:t>
      </w:r>
      <w:r>
        <w:t xml:space="preserve">“</w:t>
      </w:r>
      <w:r>
        <w:t xml:space="preserve">public figure.</w:t>
      </w:r>
      <w:r>
        <w:t xml:space="preserve">”</w:t>
      </w:r>
      <w:r>
        <w:t xml:space="preserve"> </w:t>
      </w:r>
      <w:r>
        <w:t xml:space="preserve">In</w:t>
      </w:r>
      <w:r>
        <w:t xml:space="preserve"> </w:t>
      </w:r>
      <w:r>
        <w:rPr>
          <w:i/>
        </w:rPr>
        <w:t xml:space="preserve">Gertz,</w:t>
      </w:r>
      <w:r>
        <w:t xml:space="preserve"> </w:t>
      </w:r>
      <w:r>
        <w:t xml:space="preserve">the Supreme Court held that one characterized as a</w:t>
      </w:r>
      <w:r>
        <w:t xml:space="preserve"> </w:t>
      </w:r>
      <w:r>
        <w:t xml:space="preserve">“</w:t>
      </w:r>
      <w:r>
        <w:t xml:space="preserve">public</w:t>
      </w:r>
      <w:r>
        <w:t xml:space="preserve"> </w:t>
      </w:r>
      <w:r>
        <w:t xml:space="preserve">figure,</w:t>
      </w:r>
      <w:r>
        <w:t xml:space="preserve">”</w:t>
      </w:r>
      <w:r>
        <w:t xml:space="preserve"> </w:t>
      </w:r>
      <w:r>
        <w:t xml:space="preserve">as distinguished from a private individual,</w:t>
      </w:r>
      <w:r>
        <w:t xml:space="preserve"> </w:t>
      </w:r>
      <w:r>
        <w:t xml:space="preserve">“</w:t>
      </w:r>
      <w:r>
        <w:t xml:space="preserve">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4">
        <w:r>
          <w:rPr>
            <w:i/>
            <w:rStyle w:val="Hyperlink"/>
          </w:rPr>
          <w:t xml:space="preserve">Gertz</w:t>
        </w:r>
      </w:hyperlink>
      <w:r>
        <w:t xml:space="preserve"> </w:t>
      </w:r>
      <w:r>
        <w:t xml:space="preserve">(emphasis added). In balancing the need to protect</w:t>
      </w:r>
      <w:r>
        <w:t xml:space="preserve"> </w:t>
      </w:r>
      <w:r>
        <w:t xml:space="preserve">“</w:t>
      </w:r>
      <w:r>
        <w:t xml:space="preserve">private</w:t>
      </w:r>
      <w:r>
        <w:t xml:space="preserve"> </w:t>
      </w:r>
      <w:r>
        <w:t xml:space="preserve">personality</w:t>
      </w:r>
      <w:r>
        <w:t xml:space="preserve">”</w:t>
      </w:r>
      <w:r>
        <w:t xml:space="preserve"> </w:t>
      </w:r>
      <w:r>
        <w:t xml:space="preserve">and reputation against the need</w:t>
      </w:r>
      <w:r>
        <w:t xml:space="preserve"> </w:t>
      </w:r>
      <w:r>
        <w:t xml:space="preserve">“</w:t>
      </w:r>
      <w:r>
        <w:t xml:space="preserve">to assure to</w:t>
      </w:r>
      <w:r>
        <w:t xml:space="preserve"> </w:t>
      </w:r>
      <w:r>
        <w:t xml:space="preserve">the freedoms of speech and press that</w:t>
      </w:r>
      <w:r>
        <w:t xml:space="preserve"> </w:t>
      </w:r>
      <w:r>
        <w:t xml:space="preserve">‘</w:t>
      </w:r>
      <w:r>
        <w:t xml:space="preserve">breathing space</w:t>
      </w:r>
      <w:r>
        <w:t xml:space="preserve">’</w:t>
      </w:r>
      <w:r>
        <w:t xml:space="preserve"> </w:t>
      </w:r>
      <w:r>
        <w:t xml:space="preserve">essential to</w:t>
      </w:r>
      <w:r>
        <w:t xml:space="preserve"> </w:t>
      </w:r>
      <w:r>
        <w:t xml:space="preserve">their free exercise,</w:t>
      </w:r>
      <w:r>
        <w:t xml:space="preserve">”</w:t>
      </w:r>
      <w:r>
        <w:t xml:space="preserve"> </w:t>
      </w:r>
      <w:r>
        <w:t xml:space="preserve">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w:t>
      </w:r>
      <w:r>
        <w:t xml:space="preserve"> </w:t>
      </w:r>
      <w:r>
        <w:t xml:space="preserve">“</w:t>
      </w:r>
      <w:r>
        <w:t xml:space="preserve">public controversy</w:t>
      </w:r>
      <w:r>
        <w:t xml:space="preserve">”</w:t>
      </w:r>
      <w:r>
        <w:t xml:space="preserve"> </w:t>
      </w:r>
      <w:r>
        <w:t xml:space="preserve">exist? Second, what</w:t>
      </w:r>
      <w:r>
        <w:t xml:space="preserve"> </w:t>
      </w:r>
      <w:r>
        <w:t xml:space="preserve">is</w:t>
      </w:r>
      <w:r>
        <w:t xml:space="preserve"> </w:t>
      </w:r>
      <w:r>
        <w:t xml:space="preserve">“</w:t>
      </w:r>
      <w:r>
        <w:t xml:space="preserve">the nature and extent of [the] individual’s participation</w:t>
      </w:r>
      <w:r>
        <w:t xml:space="preserve">”</w:t>
      </w:r>
      <w:r>
        <w:t xml:space="preserve"> </w:t>
      </w:r>
      <w:r>
        <w:t xml:space="preserve">in that</w:t>
      </w:r>
      <w:r>
        <w:t xml:space="preserve"> </w:t>
      </w:r>
      <w:r>
        <w:t xml:space="preserve">public controversy?</w:t>
      </w:r>
      <w:r>
        <w:t xml:space="preserve"> </w:t>
      </w:r>
      <w:hyperlink r:id="rId108">
        <w:r>
          <w:rPr>
            <w:i/>
            <w:rStyle w:val="Hyperlink"/>
          </w:rPr>
          <w:t xml:space="preserve">Gertz</w:t>
        </w:r>
      </w:hyperlink>
      <w:r>
        <w:t xml:space="preserve">.</w:t>
      </w:r>
      <w:r>
        <w:t xml:space="preserve"> </w:t>
      </w:r>
      <w:r>
        <w:t xml:space="preserve">Three factors determine the</w:t>
      </w:r>
      <w:r>
        <w:t xml:space="preserve"> </w:t>
      </w:r>
      <w:r>
        <w:t xml:space="preserve">“</w:t>
      </w:r>
      <w:r>
        <w:t xml:space="preserve">nature and extent</w:t>
      </w:r>
      <w:r>
        <w:t xml:space="preserve">”</w:t>
      </w:r>
      <w:r>
        <w:t xml:space="preserve"> </w:t>
      </w:r>
      <w:r>
        <w:t xml:space="preserve">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8">
        <w:r>
          <w:rPr>
            <w:i/>
            <w:rStyle w:val="Hyperlink"/>
          </w:rPr>
          <w:t xml:space="preserve">Gertz</w:t>
        </w:r>
      </w:hyperlink>
      <w:r>
        <w:t xml:space="preserve">.</w:t>
      </w:r>
    </w:p>
    <w:p>
      <w:pPr>
        <w:pStyle w:val="BodyText"/>
      </w:pPr>
      <w:r>
        <w:t xml:space="preserve">The Supreme Court has not clearly defined the elements of a</w:t>
      </w:r>
      <w:r>
        <w:t xml:space="preserve"> </w:t>
      </w:r>
      <w:r>
        <w:t xml:space="preserve">“</w:t>
      </w:r>
      <w:r>
        <w:t xml:space="preserve">public controversy.</w:t>
      </w:r>
      <w:r>
        <w:t xml:space="preserve">”</w:t>
      </w:r>
      <w:r>
        <w:t xml:space="preserve"> </w:t>
      </w:r>
      <w:r>
        <w:t xml:space="preserve">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w:t>
      </w:r>
      <w:r>
        <w:t xml:space="preserve"> </w:t>
      </w:r>
      <w:r>
        <w:t xml:space="preserve">“</w:t>
      </w:r>
      <w:r>
        <w:t xml:space="preserve">access to the channels of effective communication and</w:t>
      </w:r>
      <w:r>
        <w:t xml:space="preserve"> </w:t>
      </w:r>
      <w:r>
        <w:t xml:space="preserve">hence … a … realistic opportunity to counteract false statements.</w:t>
      </w:r>
      <w:r>
        <w:t xml:space="preserve">”</w:t>
      </w:r>
      <w:r>
        <w:t xml:space="preserve"> </w:t>
      </w:r>
      <w:hyperlink r:id="rId64">
        <w:r>
          <w:rPr>
            <w:i/>
            <w:rStyle w:val="Hyperlink"/>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w:t>
      </w:r>
      <w:r>
        <w:t xml:space="preserve"> </w:t>
      </w:r>
      <w:r>
        <w:t xml:space="preserve">“</w:t>
      </w:r>
      <w:r>
        <w:t xml:space="preserve">voluntarily</w:t>
      </w:r>
      <w:r>
        <w:t xml:space="preserve">”</w:t>
      </w:r>
      <w:r>
        <w:t xml:space="preserve"> </w:t>
      </w:r>
      <w:r>
        <w:t xml:space="preserve">“</w:t>
      </w:r>
      <w:r>
        <w:t xml:space="preserve">thrust</w:t>
      </w:r>
      <w:r>
        <w:t xml:space="preserve">”</w:t>
      </w:r>
      <w:r>
        <w:t xml:space="preserve"> </w:t>
      </w:r>
      <w:r>
        <w:t xml:space="preserve">herself to the forefront of this public controversy. It cannot be said</w:t>
      </w:r>
      <w:r>
        <w:t xml:space="preserve"> </w:t>
      </w:r>
      <w:r>
        <w:t xml:space="preserve">that a rape victim</w:t>
      </w:r>
      <w:r>
        <w:t xml:space="preserve"> </w:t>
      </w:r>
      <w:r>
        <w:t xml:space="preserve">“</w:t>
      </w:r>
      <w:r>
        <w:t xml:space="preserve">voluntarily</w:t>
      </w:r>
      <w:r>
        <w:t xml:space="preserve">”</w:t>
      </w:r>
      <w:r>
        <w:t xml:space="preserve"> </w:t>
      </w:r>
      <w:r>
        <w:t xml:space="preserve">injects herself into a criminal</w:t>
      </w:r>
      <w:r>
        <w:t xml:space="preserve"> </w:t>
      </w:r>
      <w:r>
        <w:t xml:space="preserve">prosecution for rape.</w:t>
      </w:r>
      <w:r>
        <w:t xml:space="preserve"> </w:t>
      </w:r>
      <w:r>
        <w:rPr>
          <w:i/>
        </w:rPr>
        <w:t xml:space="preserve">See</w:t>
      </w:r>
      <w:r>
        <w:t xml:space="preserve"> </w:t>
      </w:r>
      <w:hyperlink r:id="rId109">
        <w:r>
          <w:rPr>
            <w:i/>
            <w:rStyle w:val="Hyperlink"/>
          </w:rPr>
          <w:t xml:space="preserve">Time, Inc. v. Firestone,</w:t>
        </w:r>
        <w:r>
          <w:rPr>
            <w:rStyle w:val="Hyperlink"/>
          </w:rPr>
          <w:t xml:space="preserve"> </w:t>
        </w:r>
        <w:r>
          <w:rPr>
            <w:rStyle w:val="Hyperlink"/>
          </w:rPr>
          <w:t xml:space="preserve">(S.Ct. 1976)</w:t>
        </w:r>
      </w:hyperlink>
      <w:r>
        <w:t xml:space="preserve">.</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w:t>
      </w:r>
      <w:r>
        <w:t xml:space="preserve"> </w:t>
      </w:r>
      <w:r>
        <w:t xml:space="preserve">“</w:t>
      </w:r>
      <w:r>
        <w:t xml:space="preserve">voluntary.</w:t>
      </w:r>
      <w:r>
        <w:t xml:space="preserve">”</w:t>
      </w:r>
      <w:r>
        <w:t xml:space="preserve"> </w:t>
      </w:r>
      <w:r>
        <w:t xml:space="preserve">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w:t>
      </w:r>
      <w:r>
        <w:t xml:space="preserve"> </w:t>
      </w:r>
      <w:r>
        <w:t xml:space="preserve">“</w:t>
      </w:r>
      <w:r>
        <w:t xml:space="preserve">voluntarily</w:t>
      </w:r>
      <w:r>
        <w:t xml:space="preserve">”</w:t>
      </w:r>
      <w:r>
        <w:t xml:space="preserve"> </w:t>
      </w:r>
      <w:r>
        <w:t xml:space="preserve">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p>
      <w:pPr>
        <w:pStyle w:val="Heading4"/>
      </w:pPr>
      <w:bookmarkStart w:id="110" w:name="b.-plaintiff-remains-a-public-figure"/>
      <w:r>
        <w:t xml:space="preserve">B. Plaintiff Remains a Public Figure</w:t>
      </w:r>
      <w:bookmarkEnd w:id="110"/>
    </w:p>
    <w:p>
      <w:pPr>
        <w:pStyle w:val="FirstParagraph"/>
      </w:pPr>
      <w:r>
        <w:t xml:space="preserve">The Supreme Court has explicitly reserved the question of</w:t>
      </w:r>
      <w:r>
        <w:t xml:space="preserve"> </w:t>
      </w:r>
      <w:r>
        <w:t xml:space="preserve">“</w:t>
      </w:r>
      <w:r>
        <w:t xml:space="preserve">whether or</w:t>
      </w:r>
      <w:r>
        <w:t xml:space="preserve"> </w:t>
      </w:r>
      <w:r>
        <w:t xml:space="preserve">when an individual who was once a public figure may lose that status by</w:t>
      </w:r>
      <w:r>
        <w:t xml:space="preserve"> </w:t>
      </w:r>
      <w:r>
        <w:t xml:space="preserve">the passage of time.</w:t>
      </w:r>
      <w:r>
        <w:t xml:space="preserve">”</w:t>
      </w:r>
      <w:r>
        <w:t xml:space="preserve"> </w:t>
      </w:r>
      <w:hyperlink r:id="rId111">
        <w:r>
          <w:rPr>
            <w:i/>
            <w:rStyle w:val="Hyperlink"/>
          </w:rPr>
          <w:t xml:space="preserve">Wolston v. Reader’s Digest Ass’n, Inc.,</w:t>
        </w:r>
        <w:r>
          <w:rPr>
            <w:rStyle w:val="Hyperlink"/>
          </w:rPr>
          <w:t xml:space="preserve"> </w:t>
        </w:r>
        <w:r>
          <w:rPr>
            <w:rStyle w:val="Hyperlink"/>
          </w:rPr>
          <w:t xml:space="preserve">(S.Ct. 1979)</w:t>
        </w:r>
      </w:hyperlink>
      <w:r>
        <w:t xml:space="preserve">.</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12">
        <w:r>
          <w:rPr>
            <w:i/>
            <w:rStyle w:val="Hyperlink"/>
          </w:rPr>
          <w:t xml:space="preserve">Brewer v. Memphis</w:t>
        </w:r>
        <w:r>
          <w:rPr>
            <w:i/>
            <w:rStyle w:val="Hyperlink"/>
          </w:rPr>
          <w:t xml:space="preserve"> </w:t>
        </w:r>
        <w:r>
          <w:rPr>
            <w:i/>
            <w:rStyle w:val="Hyperlink"/>
          </w:rPr>
          <w:t xml:space="preserve">Publishing Co., Inc.,</w:t>
        </w:r>
        <w:r>
          <w:rPr>
            <w:rStyle w:val="Hyperlink"/>
          </w:rPr>
          <w:t xml:space="preserve"> </w:t>
        </w:r>
        <w:r>
          <w:rPr>
            <w:rStyle w:val="Hyperlink"/>
          </w:rPr>
          <w:t xml:space="preserve">(5th Cir. 1980),</w:t>
        </w:r>
      </w:hyperlink>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13">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14">
        <w:r>
          <w:rPr>
            <w:rStyle w:val="Hyperlink"/>
          </w:rPr>
          <w:t xml:space="preserve">(S.Ct.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w:t>
      </w:r>
      <w:r>
        <w:t xml:space="preserve">newsworthiness</w:t>
      </w:r>
      <w:r>
        <w:t xml:space="preserve">”</w:t>
      </w:r>
      <w:r>
        <w:t xml:space="preserve"> </w:t>
      </w:r>
      <w:r>
        <w:t xml:space="preserve">analysis to support a finding that the passage of time</w:t>
      </w:r>
      <w:r>
        <w:t xml:space="preserve"> </w:t>
      </w:r>
      <w:r>
        <w:t xml:space="preserve">did not alter the standard of liability.</w:t>
      </w:r>
    </w:p>
    <w:p>
      <w:pPr>
        <w:pStyle w:val="BodyText"/>
      </w:pPr>
      <w:r>
        <w:t xml:space="preserve">Our nation depends on</w:t>
      </w:r>
      <w:r>
        <w:t xml:space="preserve"> </w:t>
      </w:r>
      <w:r>
        <w:t xml:space="preserve">“</w:t>
      </w:r>
      <w:r>
        <w:t xml:space="preserve">robust debate</w:t>
      </w:r>
      <w:r>
        <w:t xml:space="preserve">”</w:t>
      </w:r>
      <w:r>
        <w:t xml:space="preserve"> </w:t>
      </w:r>
      <w:r>
        <w:t xml:space="preserve">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p>
      <w:pPr>
        <w:pStyle w:val="Heading4"/>
      </w:pPr>
      <w:bookmarkStart w:id="115" w:name="c.-evidence-insufficient-to-support-malice"/>
      <w:r>
        <w:t xml:space="preserve">C. Evidence Insufficient to Support Malice</w:t>
      </w:r>
      <w:bookmarkEnd w:id="115"/>
    </w:p>
    <w:p>
      <w:pPr>
        <w:pStyle w:val="FirstParagraph"/>
      </w:pPr>
      <w:r>
        <w:t xml:space="preserve">A plaintiff may not recover under the malice standard unless there is</w:t>
      </w:r>
      <w:r>
        <w:t xml:space="preserve"> </w:t>
      </w:r>
      <w:r>
        <w:t xml:space="preserve">“</w:t>
      </w:r>
      <w:r>
        <w:t xml:space="preserve">clear and convincing proof</w:t>
      </w:r>
      <w:r>
        <w:t xml:space="preserve">”</w:t>
      </w:r>
      <w:r>
        <w:t xml:space="preserve"> </w:t>
      </w:r>
      <w:r>
        <w:t xml:space="preserve">that the defamation was published</w:t>
      </w:r>
      <w:r>
        <w:t xml:space="preserve"> </w:t>
      </w:r>
      <w:r>
        <w:t xml:space="preserve">“</w:t>
      </w:r>
      <w:r>
        <w:t xml:space="preserve">with</w:t>
      </w:r>
      <w:r>
        <w:t xml:space="preserve"> </w:t>
      </w:r>
      <w:r>
        <w:t xml:space="preserve">knowledge of its falsity or with reckless disregard for the truth.</w:t>
      </w:r>
      <w:r>
        <w:t xml:space="preserve">”</w:t>
      </w:r>
      <w:r>
        <w:t xml:space="preserve"> </w:t>
      </w:r>
      <w:hyperlink r:id="rId108">
        <w:r>
          <w:rPr>
            <w:i/>
            <w:rStyle w:val="Hyperlink"/>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w:t>
      </w:r>
      <w:r>
        <w:t xml:space="preserve"> </w:t>
      </w:r>
      <w:r>
        <w:t xml:space="preserve">“</w:t>
      </w:r>
      <w:r>
        <w:t xml:space="preserve">big political lie,</w:t>
      </w:r>
      <w:r>
        <w:t xml:space="preserve">”</w:t>
      </w:r>
      <w:r>
        <w:t xml:space="preserve"> </w:t>
      </w:r>
      <w:r>
        <w:t xml:space="preserve">the conscious or reckless falsehood. We do not</w:t>
      </w:r>
      <w:r>
        <w:t xml:space="preserve"> </w:t>
      </w:r>
      <w:r>
        <w:t xml:space="preserve">have that in this case.</w:t>
      </w:r>
    </w:p>
    <w:p>
      <w:pPr>
        <w:pStyle w:val="BodyText"/>
      </w:pPr>
      <w:r>
        <w:t xml:space="preserve">Accordingly, the judgment of the District Court is affirmed.</w:t>
      </w:r>
    </w:p>
    <w:p>
      <w:pPr>
        <w:pStyle w:val="Heading2"/>
      </w:pPr>
      <w:bookmarkStart w:id="116" w:name="what-about-other-torts"/>
      <w:r>
        <w:t xml:space="preserve">What About Other Torts?</w:t>
      </w:r>
      <w:bookmarkEnd w:id="116"/>
    </w:p>
    <w:p>
      <w:pPr>
        <w:pStyle w:val="FirstParagraph"/>
      </w:pPr>
      <w:r>
        <w:t xml:space="preserve">What if instead of suing for defamation, the unhappy public figure sues for intentional infliction of emotional distress?</w:t>
      </w:r>
    </w:p>
    <w:p>
      <w:pPr>
        <w:pStyle w:val="Heading2"/>
      </w:pPr>
      <w:bookmarkStart w:id="117" w:name="hustler-magazine-inc.v.-falwell"/>
      <w:r>
        <w:rPr>
          <w:i/>
        </w:rPr>
        <w:t xml:space="preserve">Hustler Magazine, Inc. v. Falwell,</w:t>
      </w:r>
      <w:bookmarkEnd w:id="117"/>
    </w:p>
    <w:p>
      <w:pPr>
        <w:pStyle w:val="Heading6"/>
      </w:pPr>
      <w:bookmarkStart w:id="118" w:name="united-states-supreme-court-1988"/>
      <w:r>
        <w:t xml:space="preserve">United States Supreme Court (1988)</w:t>
      </w:r>
      <w:bookmarkEnd w:id="118"/>
    </w:p>
    <w:p>
      <w:pPr>
        <w:pStyle w:val="Compact"/>
        <w:numPr>
          <w:numId w:val="1015"/>
          <w:ilvl w:val="0"/>
        </w:numPr>
      </w:pPr>
      <w:hyperlink r:id="rId119">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5"/>
          <w:ilvl w:val="0"/>
        </w:numPr>
      </w:pPr>
      <w:hyperlink r:id="rId120">
        <w:r>
          <w:rPr>
            <w:i/>
            <w:rStyle w:val="Hyperlink"/>
          </w:rPr>
          <w:t xml:space="preserve">Hustler v. Falwell</w:t>
        </w:r>
        <w:r>
          <w:rPr>
            <w:rStyle w:val="Hyperlink"/>
          </w:rPr>
          <w:t xml:space="preserve"> </w:t>
        </w:r>
        <w:r>
          <w:rPr>
            <w:rStyle w:val="Hyperlink"/>
          </w:rPr>
          <w:t xml:space="preserve">at Westlaw</w:t>
        </w:r>
      </w:hyperlink>
      <w:r>
        <w:t xml:space="preserve">.</w:t>
      </w:r>
    </w:p>
    <w:p>
      <w:pPr>
        <w:pStyle w:val="Compact"/>
        <w:numPr>
          <w:numId w:val="1015"/>
          <w:ilvl w:val="0"/>
        </w:numPr>
      </w:pPr>
      <w:hyperlink r:id="rId121">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5"/>
          <w:ilvl w:val="0"/>
        </w:numPr>
      </w:pPr>
      <w:hyperlink r:id="rId122">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respondent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34">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4">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3">
        <w:r>
          <w:rPr>
            <w:i/>
            <w:rStyle w:val="Hyperlink"/>
          </w:rPr>
          <w:t xml:space="preserve">Gertz,</w:t>
        </w:r>
        <w:r>
          <w:rPr>
            <w:rStyle w:val="Hyperlink"/>
          </w:rPr>
          <w:t xml:space="preserve"> </w:t>
        </w:r>
        <w:r>
          <w:rPr>
            <w:rStyle w:val="Hyperlink"/>
          </w:rPr>
          <w:t xml:space="preserve">418 U. S., at 340, 344, n.</w:t>
        </w:r>
        <w:r>
          <w:rPr>
            <w:rStyle w:val="Hyperlink"/>
          </w:rPr>
          <w:t xml:space="preserve"> </w:t>
        </w:r>
        <w:r>
          <w:rPr>
            <w:rStyle w:val="Hyperlink"/>
          </w:rPr>
          <w:t xml:space="preserve">9</w:t>
        </w:r>
      </w:hyperlink>
      <w:r>
        <w:t xml:space="preserve">.</w:t>
      </w:r>
      <w:r>
        <w:t xml:space="preserve"> </w:t>
      </w: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w:t>
      </w:r>
      <w:r>
        <w:t xml:space="preserve">”</w:t>
      </w:r>
      <w:r>
        <w:t xml:space="preserve"> </w:t>
      </w:r>
      <w:r>
        <w:t xml:space="preserve">‘</w:t>
      </w:r>
      <w:r>
        <w:t xml:space="preserve">breathing space.</w:t>
      </w:r>
      <w:r>
        <w:t xml:space="preserve">’</w:t>
      </w:r>
      <w:r>
        <w:t xml:space="preserv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4">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433 U. S. 562</w:t>
        </w:r>
        <w:r>
          <w:rPr>
            <w:rStyle w:val="Hyperlink"/>
          </w:rPr>
          <w:t xml:space="preserve"> </w:t>
        </w:r>
        <w:r>
          <w:rPr>
            <w:rStyle w:val="Hyperlink"/>
          </w:rPr>
          <w:t xml:space="preserve">(1977)</w:t>
        </w:r>
      </w:hyperlink>
      <w:r>
        <w:t xml:space="preserve"> </w:t>
      </w:r>
      <w:r>
        <w:t xml:space="preserve">(ruling that the</w:t>
      </w:r>
      <w:r>
        <w:t xml:space="preserve"> </w:t>
      </w:r>
      <w:r>
        <w:t xml:space="preserve">“</w:t>
      </w:r>
      <w:r>
        <w:t xml:space="preserve">actual malice</w:t>
      </w:r>
      <w:r>
        <w:t xml:space="preserve">”</w:t>
      </w:r>
      <w:r>
        <w:t xml:space="preserve"> </w:t>
      </w:r>
      <w:r>
        <w:t xml:space="preserve">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 In</w:t>
      </w:r>
      <w:r>
        <w:t xml:space="preserve"> </w:t>
      </w:r>
      <w:hyperlink r:id="rId125">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379 U.</w:t>
        </w:r>
        <w:r>
          <w:rPr>
            <w:rStyle w:val="Hyperlink"/>
          </w:rPr>
          <w:t xml:space="preserve"> </w:t>
        </w:r>
        <w:r>
          <w:rPr>
            <w:rStyle w:val="Hyperlink"/>
          </w:rPr>
          <w:t xml:space="preserve">S. 64</w:t>
        </w:r>
        <w:r>
          <w:rPr>
            <w:rStyle w:val="Hyperlink"/>
          </w:rPr>
          <w:t xml:space="preserve"> </w:t>
        </w:r>
        <w:r>
          <w:rPr>
            <w:rStyle w:val="Hyperlink"/>
          </w:rPr>
          <w:t xml:space="preserve">(1964),</w:t>
        </w:r>
      </w:hyperlink>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6">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(S.Ct. 1982)</w:t>
        </w:r>
      </w:hyperlink>
      <w:r>
        <w:t xml:space="preserve"> </w:t>
      </w:r>
      <w:r>
        <w:t xml:space="preserve">(</w:t>
      </w:r>
      <w:r>
        <w:t xml:space="preserve">“</w:t>
      </w:r>
      <w:r>
        <w:t xml:space="preserve">Speech does not lose its protected character. . . simply because it may embarrass others or coerce them into action</w:t>
      </w:r>
      <w:r>
        <w:t xml:space="preserve">”</w:t>
      </w:r>
      <w:r>
        <w:t xml:space="preserv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4"/>
      </w:pPr>
      <w:bookmarkStart w:id="127" w:name="referencefootnote-cases"/>
      <w:r>
        <w:t xml:space="preserve">Reference/Footnote Cases</w:t>
      </w:r>
      <w:bookmarkEnd w:id="127"/>
    </w:p>
    <w:p>
      <w:pPr>
        <w:pStyle w:val="Compact"/>
        <w:numPr>
          <w:numId w:val="1016"/>
          <w:ilvl w:val="0"/>
        </w:numPr>
      </w:pPr>
      <w:hyperlink r:id="rId128">
        <w:r>
          <w:rPr>
            <w:i/>
            <w:rStyle w:val="Hyperlink"/>
          </w:rPr>
          <w:t xml:space="preserve">Spahn v. Julian Mesner,</w:t>
        </w:r>
      </w:hyperlink>
      <w:r>
        <w:t xml:space="preserve">, 260 NYS2d 451 (1965).</w:t>
      </w:r>
    </w:p>
    <w:p>
      <w:pPr>
        <w:pStyle w:val="Compact"/>
        <w:numPr>
          <w:numId w:val="1016"/>
          <w:ilvl w:val="0"/>
        </w:numPr>
      </w:pPr>
      <w:hyperlink r:id="rId129">
        <w:r>
          <w:rPr>
            <w:rStyle w:val="Hyperlink"/>
          </w:rPr>
          <w:t xml:space="preserve">False Light at Wikipedia</w:t>
        </w:r>
      </w:hyperlink>
      <w:r>
        <w:t xml:space="preserve">.</w:t>
      </w:r>
    </w:p>
    <w:p>
      <w:pPr>
        <w:pStyle w:val="Heading4"/>
      </w:pPr>
      <w:bookmarkStart w:id="130" w:name="totally-optional-readings-viewings"/>
      <w:r>
        <w:t xml:space="preserve">Totally Optional Readings &amp; Viewings</w:t>
      </w:r>
      <w:bookmarkEnd w:id="130"/>
    </w:p>
    <w:p>
      <w:pPr>
        <w:pStyle w:val="Heading5"/>
      </w:pPr>
      <w:bookmarkStart w:id="131" w:name="american-hustle-sparks-1-million-libel-lawsuit"/>
      <w:r>
        <w:t xml:space="preserve">‘</w:t>
      </w:r>
      <w:r>
        <w:t xml:space="preserve">American Hustle</w:t>
      </w:r>
      <w:r>
        <w:t xml:space="preserve">’</w:t>
      </w:r>
      <w:r>
        <w:t xml:space="preserve"> </w:t>
      </w:r>
      <w:r>
        <w:t xml:space="preserve">Sparks $1 Million Libel Lawsuit</w:t>
      </w:r>
      <w:bookmarkEnd w:id="131"/>
    </w:p>
    <w:p>
      <w:pPr>
        <w:pStyle w:val="FirstParagraph"/>
      </w:pPr>
      <w:r>
        <w:t xml:space="preserve">Former New Yorker writer and journalist,</w:t>
      </w:r>
      <w:r>
        <w:t xml:space="preserve"> </w:t>
      </w:r>
      <w:hyperlink r:id="rId132">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w:t>
      </w:r>
      <w:r>
        <w:t xml:space="preserve"> </w:t>
      </w:r>
      <w:r>
        <w:t xml:space="preserve">“</w:t>
      </w:r>
      <w:r>
        <w:t xml:space="preserve">That’s bullshit,</w:t>
      </w:r>
      <w:r>
        <w:t xml:space="preserve">”</w:t>
      </w:r>
      <w:r>
        <w:t xml:space="preserve"> </w:t>
      </w:r>
      <w:r>
        <w:t xml:space="preserve">Irving replies, 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33">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5"/>
      </w:pPr>
      <w:bookmarkStart w:id="134" w:name="wolf-of-wall-street-defamation-lawsuit"/>
      <w:r>
        <w:t xml:space="preserve">“</w:t>
      </w:r>
      <w:r>
        <w:t xml:space="preserve">Wolf of Wall Street</w:t>
      </w:r>
      <w:r>
        <w:t xml:space="preserve">”</w:t>
      </w:r>
      <w:r>
        <w:t xml:space="preserve"> </w:t>
      </w:r>
      <w:r>
        <w:t xml:space="preserve">Defamation Lawsuit</w:t>
      </w:r>
      <w:bookmarkEnd w:id="134"/>
    </w:p>
    <w:p>
      <w:pPr>
        <w:pStyle w:val="FirstParagraph"/>
      </w:pPr>
      <w:hyperlink r:id="rId135">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p>
      <w:pPr>
        <w:pStyle w:val="Heading5"/>
      </w:pPr>
      <w:bookmarkStart w:id="136" w:name="more"/>
      <w:r>
        <w:t xml:space="preserve">More</w:t>
      </w:r>
      <w:bookmarkEnd w:id="136"/>
    </w:p>
    <w:p>
      <w:pPr>
        <w:pStyle w:val="Compact"/>
        <w:numPr>
          <w:numId w:val="1017"/>
          <w:ilvl w:val="0"/>
        </w:numPr>
      </w:pPr>
      <w:hyperlink r:id="rId137">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1">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17"/>
          <w:ilvl w:val="0"/>
        </w:numPr>
      </w:pPr>
      <w:r>
        <w:t xml:space="preserve">Amy J. Field,</w:t>
      </w:r>
      <w:r>
        <w:t xml:space="preserve"> </w:t>
      </w:r>
      <w:hyperlink r:id="rId59">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7"/>
          <w:ilvl w:val="0"/>
        </w:numPr>
      </w:pPr>
      <w:r>
        <w:rPr>
          <w:i/>
        </w:rPr>
        <w:t xml:space="preserve">Deangelo Bailey v. Marshall Bruce Mathers, III, aka Eminem Slim Shady,</w:t>
      </w:r>
      <w:r>
        <w:t xml:space="preserve"> </w:t>
      </w:r>
      <w:r>
        <w:t xml:space="preserve">Macomb County Court (Michigan 2003):</w:t>
      </w:r>
    </w:p>
    <w:p>
      <w:pPr>
        <w:pStyle w:val="Compact"/>
        <w:numPr>
          <w:numId w:val="1018"/>
          <w:ilvl w:val="1"/>
        </w:numPr>
      </w:pPr>
      <w:hyperlink r:id="rId138">
        <w:r>
          <w:rPr>
            <w:rStyle w:val="Hyperlink"/>
          </w:rPr>
          <w:t xml:space="preserve">summary of case</w:t>
        </w:r>
      </w:hyperlink>
    </w:p>
    <w:p>
      <w:pPr>
        <w:pStyle w:val="Compact"/>
        <w:numPr>
          <w:numId w:val="1018"/>
          <w:ilvl w:val="1"/>
        </w:numPr>
      </w:pPr>
      <w:hyperlink r:id="rId139">
        <w:r>
          <w:rPr>
            <w:rStyle w:val="Hyperlink"/>
          </w:rPr>
          <w:t xml:space="preserve">fyi the full opinion</w:t>
        </w:r>
      </w:hyperlink>
      <w:r>
        <w:t xml:space="preserve">(optional reading)</w:t>
      </w:r>
    </w:p>
    <w:p>
      <w:pPr>
        <w:pStyle w:val="Compact"/>
        <w:numPr>
          <w:numId w:val="1017"/>
          <w:ilvl w:val="0"/>
        </w:numPr>
      </w:pPr>
      <w:hyperlink r:id="rId140">
        <w:r>
          <w:rPr>
            <w:rStyle w:val="Hyperlink"/>
          </w:rPr>
          <w:t xml:space="preserve">Reverse defamation, the Newsweek Bitcoin story, and Satoshi Nakamoto</w:t>
        </w:r>
      </w:hyperlink>
    </w:p>
    <w:p>
      <w:pPr>
        <w:pStyle w:val="Compact"/>
        <w:numPr>
          <w:numId w:val="1017"/>
          <w:ilvl w:val="0"/>
        </w:numPr>
      </w:pPr>
      <w:hyperlink r:id="rId141">
        <w:r>
          <w:rPr>
            <w:rStyle w:val="Hyperlink"/>
          </w:rPr>
          <w:t xml:space="preserve">What is More Defamatory? A False Accusation of Homophobia or of Homosexuality?</w:t>
        </w:r>
      </w:hyperlink>
    </w:p>
    <w:p>
      <w:pPr>
        <w:pStyle w:val="Heading5"/>
      </w:pPr>
      <w:bookmarkStart w:id="142" w:name="scarlett-johannsen-sues-french-novelist"/>
      <w:r>
        <w:t xml:space="preserve">Scarlett Johannsen Sues French Novelist</w:t>
      </w:r>
      <w:bookmarkEnd w:id="142"/>
    </w:p>
    <w:p>
      <w:pPr>
        <w:pStyle w:val="Compact"/>
        <w:numPr>
          <w:numId w:val="1019"/>
          <w:ilvl w:val="0"/>
        </w:numPr>
      </w:pPr>
      <w:hyperlink r:id="rId143">
        <w:r>
          <w:rPr>
            <w:rStyle w:val="Hyperlink"/>
          </w:rPr>
          <w:t xml:space="preserve">Seeing read: Scarlett Johansson sues French novelist</w:t>
        </w:r>
      </w:hyperlink>
      <w:r>
        <w:t xml:space="preserve">.</w:t>
      </w:r>
    </w:p>
    <w:p>
      <w:pPr>
        <w:pStyle w:val="Compact"/>
        <w:numPr>
          <w:numId w:val="1019"/>
          <w:ilvl w:val="0"/>
        </w:numPr>
      </w:pPr>
      <w:hyperlink r:id="rId144">
        <w:r>
          <w:rPr>
            <w:rStyle w:val="Hyperlink"/>
          </w:rPr>
          <w:t xml:space="preserve">Scarlett Johansson wins defamation case against French novelist</w:t>
        </w:r>
      </w:hyperlink>
      <w:r>
        <w:t xml:space="preserve">.</w:t>
      </w:r>
    </w:p>
    <w:p>
      <w:pPr>
        <w:pStyle w:val="Heading5"/>
      </w:pPr>
      <w:bookmarkStart w:id="145" w:name="courtney-love-defamation-via-twitter"/>
      <w:r>
        <w:t xml:space="preserve">Courtney Love &amp; Defamation via Twitter</w:t>
      </w:r>
      <w:bookmarkEnd w:id="145"/>
    </w:p>
    <w:p>
      <w:pPr>
        <w:pStyle w:val="Compact"/>
        <w:numPr>
          <w:numId w:val="1020"/>
          <w:ilvl w:val="0"/>
        </w:numPr>
      </w:pPr>
      <w:hyperlink r:id="rId146">
        <w:r>
          <w:rPr>
            <w:rStyle w:val="Hyperlink"/>
          </w:rPr>
          <w:t xml:space="preserve">Courtney Love commits defamation via Twitter–Twice!</w:t>
        </w:r>
      </w:hyperlink>
    </w:p>
    <w:p>
      <w:pPr>
        <w:pStyle w:val="Compact"/>
        <w:numPr>
          <w:numId w:val="1020"/>
          <w:ilvl w:val="0"/>
        </w:numPr>
      </w:pPr>
      <w:hyperlink r:id="rId147">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p>
      <w:pPr>
        <w:pStyle w:val="Heading5"/>
      </w:pPr>
      <w:bookmarkStart w:id="148" w:name="who-are-the-news-media"/>
      <w:r>
        <w:t xml:space="preserve">Who Are</w:t>
      </w:r>
      <w:r>
        <w:t xml:space="preserve"> </w:t>
      </w:r>
      <w:r>
        <w:t xml:space="preserve">“</w:t>
      </w:r>
      <w:r>
        <w:t xml:space="preserve">The News Media?</w:t>
      </w:r>
      <w:r>
        <w:t xml:space="preserve">”</w:t>
      </w:r>
      <w:bookmarkEnd w:id="148"/>
    </w:p>
    <w:p>
      <w:pPr>
        <w:pStyle w:val="FirstParagraph"/>
      </w:pPr>
      <w:r>
        <w:t xml:space="preserve">Blurred lines: Ninth Circuit applies same First Amendment protections to bloggers as traditional media.</w:t>
      </w:r>
      <w:r>
        <w:t xml:space="preserve"> </w:t>
      </w:r>
      <w:hyperlink r:id="rId149">
        <w:r>
          <w:rPr>
            <w:rStyle w:val="Hyperlink"/>
          </w:rPr>
          <w:t xml:space="preserve">Bloggers enjoy same First Amendment Protections as Traditional Media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2477e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da577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29862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digitalcommons.lmu.edu/cgi/viewcontent.cgi?article=1134&amp;context=elr" TargetMode="External" /><Relationship Type="http://schemas.openxmlformats.org/officeDocument/2006/relationships/hyperlink" Id="rId28"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29" Target="http://en.wikipedia.org/wiki/False_light"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2" Target="http://en.wikipedia.org/wiki/National_Broadcasting_Co._v._United_States" TargetMode="External" /><Relationship Type="http://schemas.openxmlformats.org/officeDocument/2006/relationships/hyperlink" Id="rId40" Target="http://en.wikipedia.org/wiki/New_York_Times_Co._v._Sullivan"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32" Target="http://en.wikipedia.org/wiki/United_States_defamation_law#Defamation_per_se" TargetMode="External" /><Relationship Type="http://schemas.openxmlformats.org/officeDocument/2006/relationships/hyperlink" Id="rId26"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28" Target="http://lawschool.westlaw.com/shared/westlawRedirect.aspx?task=find&amp;cite=23+a.d.2d+216&amp;appflag=67.12" TargetMode="External" /><Relationship Type="http://schemas.openxmlformats.org/officeDocument/2006/relationships/hyperlink" Id="rId93" Target="http://lawschool.westlaw.com/shared/westlawRedirect.aspx?task=find&amp;cite=319+U.S.+190&amp;appflag=67.12" TargetMode="External" /><Relationship Type="http://schemas.openxmlformats.org/officeDocument/2006/relationships/hyperlink" Id="rId39" Target="http://lawschool.westlaw.com/shared/westlawRedirect.aspx?task=find&amp;cite=376+us+254&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102" Target="http://scholar.google.com/scholar_case?about=16196949732337435619&amp;q=street+v.+national+broadcasting+co&amp;hl=en&amp;as_sdt=6,28&amp;scilh=0" TargetMode="External" /><Relationship Type="http://schemas.openxmlformats.org/officeDocument/2006/relationships/hyperlink" Id="rId114" Target="http://scholar.google.com/scholar_case?about=1891215749533979497&amp;q=street+v.+national+broadcasting+co&amp;hl=en&amp;as_sdt=6,28&amp;scilh=0" TargetMode="External" /><Relationship Type="http://schemas.openxmlformats.org/officeDocument/2006/relationships/hyperlink" Id="rId91" Target="http://scholar.google.com/scholar_case?about=4559741824903610057&amp;q=street+v.+national+broadcasting+co&amp;hl=en&amp;as_sdt=6,28&amp;scilh=0" TargetMode="External" /><Relationship Type="http://schemas.openxmlformats.org/officeDocument/2006/relationships/hyperlink" Id="rId34" Target="http://scholar.google.com/scholar_case?case=10183527771703896207" TargetMode="External" /><Relationship Type="http://schemas.openxmlformats.org/officeDocument/2006/relationships/hyperlink" Id="rId109" Target="http://scholar.google.com/scholar_case?case=12685855173622583678" TargetMode="External" /><Relationship Type="http://schemas.openxmlformats.org/officeDocument/2006/relationships/hyperlink" Id="rId100" Target="http://scholar.google.com/scholar_case?case=14047302044250172971" TargetMode="External" /><Relationship Type="http://schemas.openxmlformats.org/officeDocument/2006/relationships/hyperlink" Id="rId111" Target="http://scholar.google.com/scholar_case?case=14330147117680431779" TargetMode="External" /><Relationship Type="http://schemas.openxmlformats.org/officeDocument/2006/relationships/hyperlink" Id="rId113" Target="http://scholar.google.com/scholar_case?case=15243536244801528103&amp;q=street+v.+national+broadcasting+co&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103" Target="http://scholar.google.com/scholar_case?case=15742491952572175828&amp;q=street+v.+national+broadcasting+co&amp;hl=en&amp;as_sdt=6,28&amp;scilh=0" TargetMode="External" /><Relationship Type="http://schemas.openxmlformats.org/officeDocument/2006/relationships/hyperlink" Id="rId71"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5" Target="http://scholar.google.com/scholar_case?case=16697660620075994229" TargetMode="External" /><Relationship Type="http://schemas.openxmlformats.org/officeDocument/2006/relationships/hyperlink" Id="rId101" Target="http://scholar.google.com/scholar_case?case=18040896426752233502" TargetMode="External" /><Relationship Type="http://schemas.openxmlformats.org/officeDocument/2006/relationships/hyperlink" Id="rId87" Target="http://scholar.google.com/scholar_case?case=18352275970631466991" TargetMode="External" /><Relationship Type="http://schemas.openxmlformats.org/officeDocument/2006/relationships/hyperlink" Id="rId105" Target="http://scholar.google.com/scholar_case?case=2991746111379933624" TargetMode="External" /><Relationship Type="http://schemas.openxmlformats.org/officeDocument/2006/relationships/hyperlink" Id="rId48" Target="http://scholar.google.com/scholar_case?case=3066699330828671613" TargetMode="External" /><Relationship Type="http://schemas.openxmlformats.org/officeDocument/2006/relationships/hyperlink" Id="rId112" Target="http://scholar.google.com/scholar_case?case=3470754345585952877&amp;q=street+v.+national+broadcasting+co&amp;hl=en&amp;as_sdt=6,28&amp;scilh=0"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7" Target="http://scholar.google.com/scholar_case?case=6613184420209694118"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8"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8" Target="http://scholar.google.com/scholar_case?case=7290867114825816634" TargetMode="External" /><Relationship Type="http://schemas.openxmlformats.org/officeDocument/2006/relationships/hyperlink" Id="rId60" Target="http://scholar.google.com/scholar_case?case=8635492247136926004" TargetMode="External" /><Relationship Type="http://schemas.openxmlformats.org/officeDocument/2006/relationships/hyperlink" Id="rId85" Target="http://scholar.google.com/scholar_case?case=90016016899445152060" TargetMode="External" /><Relationship Type="http://schemas.openxmlformats.org/officeDocument/2006/relationships/hyperlink" Id="rId98" Target="http://scholar.google.com/scholar_case?case=923744859423605953" TargetMode="External" /><Relationship Type="http://schemas.openxmlformats.org/officeDocument/2006/relationships/hyperlink" Id="rId46" Target="http://tinyurl.com/kmvz6gy" TargetMode="External" /><Relationship Type="http://schemas.openxmlformats.org/officeDocument/2006/relationships/hyperlink" Id="rId36" Target="http://tinyurl.com/ksezohp" TargetMode="External" /><Relationship Type="http://schemas.openxmlformats.org/officeDocument/2006/relationships/hyperlink" Id="rId146" Target="http://www.abajournal.com/news/article/courtney_love_takes_stand_in_former_attorneys_libel_lawsuit_over_critical" TargetMode="External" /><Relationship Type="http://schemas.openxmlformats.org/officeDocument/2006/relationships/hyperlink" Id="rId24"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27" Target="http://www.ericejohnson.com/" TargetMode="External" /><Relationship Type="http://schemas.openxmlformats.org/officeDocument/2006/relationships/hyperlink" Id="rId132" Target="http://www.hollywoodreporter.com/thr-esq/american-hustle-sparks-1-million-745296" TargetMode="External" /><Relationship Type="http://schemas.openxmlformats.org/officeDocument/2006/relationships/hyperlink" Id="rId147" Target="http://www.hollywoodreporter.com/thr-esq/courtney-love-wins-twitter-defamation-673972" TargetMode="External" /><Relationship Type="http://schemas.openxmlformats.org/officeDocument/2006/relationships/hyperlink" Id="rId133" Target="http://www.hollywoodreporter.com/thr-esq/how-jennifer-lawrences-ditzy-character-784884" TargetMode="External" /><Relationship Type="http://schemas.openxmlformats.org/officeDocument/2006/relationships/hyperlink" Id="rId135" Target="http://www.hollywoodreporter.com/thr-esq/paramount-almost-beats-wolf-wall-829096" TargetMode="External" /><Relationship Type="http://schemas.openxmlformats.org/officeDocument/2006/relationships/hyperlink" Id="rId137" Target="http://www.imdb.com/title/tt0117318/"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9" Target="http://www.lexology.com/library/detail.aspx?g=70eecbf8-59ac-46b1-8a8a-253e26d7b843&amp;l=7KKVEH6" TargetMode="External" /><Relationship Type="http://schemas.openxmlformats.org/officeDocument/2006/relationships/hyperlink" Id="rId25" Target="http://www.nolo.com/legal-encyclopedia/defamation-law-made-simple-29718.html" TargetMode="External" /><Relationship Type="http://schemas.openxmlformats.org/officeDocument/2006/relationships/hyperlink" Id="rId41" Target="http://www.nytimes.com/2014/03/09/opinion/sunday/the-uninhibited-press-50-years-later.html" TargetMode="External" /><Relationship Type="http://schemas.openxmlformats.org/officeDocument/2006/relationships/hyperlink" Id="rId23" Target="http://www.richarddooling.com/ArtBizLaw/Fact_Based_Stories.pdf" TargetMode="External" /><Relationship Type="http://schemas.openxmlformats.org/officeDocument/2006/relationships/hyperlink" Id="rId144" Target="http://www.theguardian.com/film/2014/jul/04/scarlett-johansson-wins-french-defamation-case" TargetMode="External" /><Relationship Type="http://schemas.openxmlformats.org/officeDocument/2006/relationships/hyperlink" Id="rId143" Target="http://www.theguardian.com/film/2014/may/14/scarlett-johansson-sues-french-author" TargetMode="External" /><Relationship Type="http://schemas.openxmlformats.org/officeDocument/2006/relationships/hyperlink" Id="rId138" Target="http://www.thesmokinggun.com/documents/crime/judge-raps-eminem-accuser" TargetMode="External" /><Relationship Type="http://schemas.openxmlformats.org/officeDocument/2006/relationships/hyperlink" Id="rId139" Target="http://www.thesmokinggun.com/file/judge-raps-eminem-accuser" TargetMode="External" /><Relationship Type="http://schemas.openxmlformats.org/officeDocument/2006/relationships/hyperlink" Id="rId141" Target="http://www.trademarkandcopyrightlawblog.com/2014/09/whatismore/" TargetMode="External" /><Relationship Type="http://schemas.openxmlformats.org/officeDocument/2006/relationships/hyperlink" Id="rId140"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9" Target="http://digitalcommons.lmu.edu/cgi/viewcontent.cgi?article=1134&amp;context=elr" TargetMode="External" /><Relationship Type="http://schemas.openxmlformats.org/officeDocument/2006/relationships/hyperlink" Id="rId28"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29" Target="http://en.wikipedia.org/wiki/False_light"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2" Target="http://en.wikipedia.org/wiki/National_Broadcasting_Co._v._United_States" TargetMode="External" /><Relationship Type="http://schemas.openxmlformats.org/officeDocument/2006/relationships/hyperlink" Id="rId40" Target="http://en.wikipedia.org/wiki/New_York_Times_Co._v._Sullivan"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32" Target="http://en.wikipedia.org/wiki/United_States_defamation_law#Defamation_per_se" TargetMode="External" /><Relationship Type="http://schemas.openxmlformats.org/officeDocument/2006/relationships/hyperlink" Id="rId26"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28" Target="http://lawschool.westlaw.com/shared/westlawRedirect.aspx?task=find&amp;cite=23+a.d.2d+216&amp;appflag=67.12" TargetMode="External" /><Relationship Type="http://schemas.openxmlformats.org/officeDocument/2006/relationships/hyperlink" Id="rId93" Target="http://lawschool.westlaw.com/shared/westlawRedirect.aspx?task=find&amp;cite=319+U.S.+190&amp;appflag=67.12" TargetMode="External" /><Relationship Type="http://schemas.openxmlformats.org/officeDocument/2006/relationships/hyperlink" Id="rId39" Target="http://lawschool.westlaw.com/shared/westlawRedirect.aspx?task=find&amp;cite=376+us+254&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102" Target="http://scholar.google.com/scholar_case?about=16196949732337435619&amp;q=street+v.+national+broadcasting+co&amp;hl=en&amp;as_sdt=6,28&amp;scilh=0" TargetMode="External" /><Relationship Type="http://schemas.openxmlformats.org/officeDocument/2006/relationships/hyperlink" Id="rId114" Target="http://scholar.google.com/scholar_case?about=1891215749533979497&amp;q=street+v.+national+broadcasting+co&amp;hl=en&amp;as_sdt=6,28&amp;scilh=0" TargetMode="External" /><Relationship Type="http://schemas.openxmlformats.org/officeDocument/2006/relationships/hyperlink" Id="rId91" Target="http://scholar.google.com/scholar_case?about=4559741824903610057&amp;q=street+v.+national+broadcasting+co&amp;hl=en&amp;as_sdt=6,28&amp;scilh=0" TargetMode="External" /><Relationship Type="http://schemas.openxmlformats.org/officeDocument/2006/relationships/hyperlink" Id="rId34" Target="http://scholar.google.com/scholar_case?case=10183527771703896207" TargetMode="External" /><Relationship Type="http://schemas.openxmlformats.org/officeDocument/2006/relationships/hyperlink" Id="rId109" Target="http://scholar.google.com/scholar_case?case=12685855173622583678" TargetMode="External" /><Relationship Type="http://schemas.openxmlformats.org/officeDocument/2006/relationships/hyperlink" Id="rId100" Target="http://scholar.google.com/scholar_case?case=14047302044250172971" TargetMode="External" /><Relationship Type="http://schemas.openxmlformats.org/officeDocument/2006/relationships/hyperlink" Id="rId111" Target="http://scholar.google.com/scholar_case?case=14330147117680431779" TargetMode="External" /><Relationship Type="http://schemas.openxmlformats.org/officeDocument/2006/relationships/hyperlink" Id="rId113" Target="http://scholar.google.com/scholar_case?case=15243536244801528103&amp;q=street+v.+national+broadcasting+co&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103" Target="http://scholar.google.com/scholar_case?case=15742491952572175828&amp;q=street+v.+national+broadcasting+co&amp;hl=en&amp;as_sdt=6,28&amp;scilh=0" TargetMode="External" /><Relationship Type="http://schemas.openxmlformats.org/officeDocument/2006/relationships/hyperlink" Id="rId71"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5" Target="http://scholar.google.com/scholar_case?case=16697660620075994229" TargetMode="External" /><Relationship Type="http://schemas.openxmlformats.org/officeDocument/2006/relationships/hyperlink" Id="rId101" Target="http://scholar.google.com/scholar_case?case=18040896426752233502" TargetMode="External" /><Relationship Type="http://schemas.openxmlformats.org/officeDocument/2006/relationships/hyperlink" Id="rId87" Target="http://scholar.google.com/scholar_case?case=18352275970631466991" TargetMode="External" /><Relationship Type="http://schemas.openxmlformats.org/officeDocument/2006/relationships/hyperlink" Id="rId105" Target="http://scholar.google.com/scholar_case?case=2991746111379933624" TargetMode="External" /><Relationship Type="http://schemas.openxmlformats.org/officeDocument/2006/relationships/hyperlink" Id="rId48" Target="http://scholar.google.com/scholar_case?case=3066699330828671613" TargetMode="External" /><Relationship Type="http://schemas.openxmlformats.org/officeDocument/2006/relationships/hyperlink" Id="rId112" Target="http://scholar.google.com/scholar_case?case=3470754345585952877&amp;q=street+v.+national+broadcasting+co&amp;hl=en&amp;as_sdt=6,28&amp;scilh=0"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7" Target="http://scholar.google.com/scholar_case?case=6613184420209694118"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8"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8" Target="http://scholar.google.com/scholar_case?case=7290867114825816634" TargetMode="External" /><Relationship Type="http://schemas.openxmlformats.org/officeDocument/2006/relationships/hyperlink" Id="rId60" Target="http://scholar.google.com/scholar_case?case=8635492247136926004" TargetMode="External" /><Relationship Type="http://schemas.openxmlformats.org/officeDocument/2006/relationships/hyperlink" Id="rId85" Target="http://scholar.google.com/scholar_case?case=90016016899445152060" TargetMode="External" /><Relationship Type="http://schemas.openxmlformats.org/officeDocument/2006/relationships/hyperlink" Id="rId98" Target="http://scholar.google.com/scholar_case?case=923744859423605953" TargetMode="External" /><Relationship Type="http://schemas.openxmlformats.org/officeDocument/2006/relationships/hyperlink" Id="rId46" Target="http://tinyurl.com/kmvz6gy" TargetMode="External" /><Relationship Type="http://schemas.openxmlformats.org/officeDocument/2006/relationships/hyperlink" Id="rId36" Target="http://tinyurl.com/ksezohp" TargetMode="External" /><Relationship Type="http://schemas.openxmlformats.org/officeDocument/2006/relationships/hyperlink" Id="rId146" Target="http://www.abajournal.com/news/article/courtney_love_takes_stand_in_former_attorneys_libel_lawsuit_over_critical" TargetMode="External" /><Relationship Type="http://schemas.openxmlformats.org/officeDocument/2006/relationships/hyperlink" Id="rId24"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42" Target="http://www.archives.gov/exhibits/documented-rights/exhibit/section4/detail/heed-rising-voices.html" TargetMode="External" /><Relationship Type="http://schemas.openxmlformats.org/officeDocument/2006/relationships/hyperlink" Id="rId27" Target="http://www.ericejohnson.com/" TargetMode="External" /><Relationship Type="http://schemas.openxmlformats.org/officeDocument/2006/relationships/hyperlink" Id="rId132" Target="http://www.hollywoodreporter.com/thr-esq/american-hustle-sparks-1-million-745296" TargetMode="External" /><Relationship Type="http://schemas.openxmlformats.org/officeDocument/2006/relationships/hyperlink" Id="rId147" Target="http://www.hollywoodreporter.com/thr-esq/courtney-love-wins-twitter-defamation-673972" TargetMode="External" /><Relationship Type="http://schemas.openxmlformats.org/officeDocument/2006/relationships/hyperlink" Id="rId133" Target="http://www.hollywoodreporter.com/thr-esq/how-jennifer-lawrences-ditzy-character-784884" TargetMode="External" /><Relationship Type="http://schemas.openxmlformats.org/officeDocument/2006/relationships/hyperlink" Id="rId135" Target="http://www.hollywoodreporter.com/thr-esq/paramount-almost-beats-wolf-wall-829096" TargetMode="External" /><Relationship Type="http://schemas.openxmlformats.org/officeDocument/2006/relationships/hyperlink" Id="rId137" Target="http://www.imdb.com/title/tt0117318/"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9" Target="http://www.lexology.com/library/detail.aspx?g=70eecbf8-59ac-46b1-8a8a-253e26d7b843&amp;l=7KKVEH6" TargetMode="External" /><Relationship Type="http://schemas.openxmlformats.org/officeDocument/2006/relationships/hyperlink" Id="rId25" Target="http://www.nolo.com/legal-encyclopedia/defamation-law-made-simple-29718.html" TargetMode="External" /><Relationship Type="http://schemas.openxmlformats.org/officeDocument/2006/relationships/hyperlink" Id="rId41" Target="http://www.nytimes.com/2014/03/09/opinion/sunday/the-uninhibited-press-50-years-later.html" TargetMode="External" /><Relationship Type="http://schemas.openxmlformats.org/officeDocument/2006/relationships/hyperlink" Id="rId23" Target="http://www.richarddooling.com/ArtBizLaw/Fact_Based_Stories.pdf" TargetMode="External" /><Relationship Type="http://schemas.openxmlformats.org/officeDocument/2006/relationships/hyperlink" Id="rId144" Target="http://www.theguardian.com/film/2014/jul/04/scarlett-johansson-wins-french-defamation-case" TargetMode="External" /><Relationship Type="http://schemas.openxmlformats.org/officeDocument/2006/relationships/hyperlink" Id="rId143" Target="http://www.theguardian.com/film/2014/may/14/scarlett-johansson-sues-french-author" TargetMode="External" /><Relationship Type="http://schemas.openxmlformats.org/officeDocument/2006/relationships/hyperlink" Id="rId138" Target="http://www.thesmokinggun.com/documents/crime/judge-raps-eminem-accuser" TargetMode="External" /><Relationship Type="http://schemas.openxmlformats.org/officeDocument/2006/relationships/hyperlink" Id="rId139" Target="http://www.thesmokinggun.com/file/judge-raps-eminem-accuser" TargetMode="External" /><Relationship Type="http://schemas.openxmlformats.org/officeDocument/2006/relationships/hyperlink" Id="rId141" Target="http://www.trademarkandcopyrightlawblog.com/2014/09/whatismore/" TargetMode="External" /><Relationship Type="http://schemas.openxmlformats.org/officeDocument/2006/relationships/hyperlink" Id="rId140"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2018-02-02T12:45:40Z</dcterms:created>
  <dcterms:modified xsi:type="dcterms:W3CDTF">2018-02-02T12:45:40Z</dcterms:modified>
</cp:coreProperties>
</file>