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violence"/>
      <w:r>
        <w:t xml:space="preserve">First Amendment - Violence</w:t>
      </w:r>
      <w:bookmarkEnd w:id="21"/>
    </w:p>
    <w:p>
      <w:pPr>
        <w:pStyle w:val="FirstParagraph"/>
      </w:pPr>
      <w:r>
        <w:t xml:space="preserve">If speech is just too</w:t>
      </w:r>
      <w:r>
        <w:t xml:space="preserve"> </w:t>
      </w:r>
      <w:r>
        <w:t xml:space="preserve">“</w:t>
      </w:r>
      <w:r>
        <w:t xml:space="preserve">sexy,</w:t>
      </w:r>
      <w:r>
        <w:t xml:space="preserve">”</w:t>
      </w:r>
      <w:r>
        <w:t xml:space="preserve"> </w:t>
      </w:r>
      <w:r>
        <w:t xml:space="preserve">it can be banned.</w:t>
      </w:r>
      <w:r>
        <w:t xml:space="preserve"> </w:t>
      </w:r>
      <w:r>
        <w:t xml:space="preserve">If it’s indecent, it can be regulated.</w:t>
      </w:r>
      <w:r>
        <w:t xml:space="preserve"> </w:t>
      </w:r>
      <w:r>
        <w:t xml:space="preserve">But what if speech is just too violent</w:t>
      </w:r>
      <w:r>
        <w:t xml:space="preserve"> </w:t>
      </w:r>
      <w:r>
        <w:t xml:space="preserve">or unreasonably dangerous?</w:t>
      </w:r>
      <w:r>
        <w:t xml:space="preserve"> </w:t>
      </w: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2">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hyperlink r:id="rId23">
        <w:r>
          <w:rPr>
            <w:rStyle w:val="Hyperlink"/>
          </w:rPr>
          <w:t xml:space="preserve">accidentally hanging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w:t>
      </w:r>
      <w:r>
        <w:t xml:space="preserve"> </w:t>
      </w:r>
      <w:r>
        <w:t xml:space="preserve">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4">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5">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Heading3"/>
      </w:pPr>
      <w:bookmarkStart w:id="26" w:name="a-miller-test-for-violence"/>
      <w:r>
        <w:t xml:space="preserve">A</w:t>
      </w:r>
      <w:r>
        <w:t xml:space="preserve"> </w:t>
      </w:r>
      <w:r>
        <w:rPr>
          <w:i/>
        </w:rPr>
        <w:t xml:space="preserve">Miller</w:t>
      </w:r>
      <w:r>
        <w:t xml:space="preserve"> </w:t>
      </w:r>
      <w:r>
        <w:t xml:space="preserve">Test For Violence?</w:t>
      </w:r>
      <w:bookmarkEnd w:id="26"/>
    </w:p>
    <w:p>
      <w:pPr>
        <w:pStyle w:val="FirstParagraph"/>
      </w:pPr>
      <w:r>
        <w:t xml:space="preserve">Do we need a</w:t>
      </w:r>
      <w:r>
        <w:t xml:space="preserve"> </w:t>
      </w:r>
      <w:hyperlink r:id="rId27">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28">
        <w:r>
          <w:rPr>
            <w:rStyle w:val="Hyperlink"/>
          </w:rPr>
          <w:t xml:space="preserve">Motion Picture Association of America (MPAA)</w:t>
        </w:r>
      </w:hyperlink>
      <w:r>
        <w:t xml:space="preserve"> </w:t>
      </w:r>
      <w:r>
        <w:t xml:space="preserve">or the</w:t>
      </w:r>
      <w:r>
        <w:t xml:space="preserve"> </w:t>
      </w:r>
      <w:hyperlink r:id="rId29">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In</w:t>
      </w:r>
      <w:r>
        <w:t xml:space="preserve"> </w:t>
      </w:r>
      <w:hyperlink r:id="rId30">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31" w:name="brown-v.-entertainment-merchants"/>
      <w:r>
        <w:rPr>
          <w:i/>
        </w:rPr>
        <w:t xml:space="preserve">Brown v. Entertainment Merchants</w:t>
      </w:r>
      <w:bookmarkEnd w:id="31"/>
    </w:p>
    <w:p>
      <w:pPr>
        <w:pStyle w:val="Heading6"/>
      </w:pPr>
      <w:bookmarkStart w:id="32" w:name="u.s.-supreme-court-2011"/>
      <w:r>
        <w:t xml:space="preserve">U.S. Supreme Court (2011)</w:t>
      </w:r>
      <w:bookmarkEnd w:id="32"/>
    </w:p>
    <w:p>
      <w:pPr>
        <w:pStyle w:val="Compact"/>
        <w:numPr>
          <w:numId w:val="1001"/>
          <w:ilvl w:val="0"/>
        </w:numPr>
      </w:pPr>
      <w:hyperlink r:id="rId33">
        <w:r>
          <w:rPr>
            <w:rStyle w:val="Hyperlink"/>
          </w:rPr>
          <w:t xml:space="preserve">case at Google Scholar</w:t>
        </w:r>
      </w:hyperlink>
    </w:p>
    <w:p>
      <w:pPr>
        <w:pStyle w:val="Compact"/>
        <w:numPr>
          <w:numId w:val="1001"/>
          <w:ilvl w:val="0"/>
        </w:numPr>
      </w:pPr>
      <w:hyperlink r:id="rId34">
        <w:r>
          <w:rPr>
            <w:rStyle w:val="Hyperlink"/>
          </w:rPr>
          <w:t xml:space="preserve">how cited at Google Scholar</w:t>
        </w:r>
      </w:hyperlink>
    </w:p>
    <w:p>
      <w:pPr>
        <w:pStyle w:val="Compact"/>
        <w:numPr>
          <w:numId w:val="1001"/>
          <w:ilvl w:val="0"/>
        </w:numPr>
      </w:pPr>
      <w:hyperlink r:id="rId35">
        <w:r>
          <w:rPr>
            <w:rStyle w:val="Hyperlink"/>
          </w:rPr>
          <w:t xml:space="preserve">case at Westlaw</w:t>
        </w:r>
      </w:hyperlink>
    </w:p>
    <w:p>
      <w:pPr>
        <w:pStyle w:val="Compact"/>
        <w:numPr>
          <w:numId w:val="1001"/>
          <w:ilvl w:val="0"/>
        </w:numPr>
      </w:pPr>
      <w:hyperlink r:id="rId36">
        <w:r>
          <w:rPr>
            <w:rStyle w:val="Hyperlink"/>
          </w:rPr>
          <w:t xml:space="preserve">case at Wikipedia</w:t>
        </w:r>
      </w:hyperlink>
      <w:r>
        <w:t xml:space="preserve">.</w:t>
      </w:r>
    </w:p>
    <w:p>
      <w:pPr>
        <w:pStyle w:val="Compact"/>
        <w:numPr>
          <w:numId w:val="1001"/>
          <w:ilvl w:val="0"/>
        </w:numPr>
      </w:pPr>
      <w:hyperlink r:id="rId37">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38" w:name="i"/>
      <w:r>
        <w:t xml:space="preserve">I</w:t>
      </w:r>
      <w:bookmarkEnd w:id="38"/>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39">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39">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40" w:name="ii"/>
      <w:r>
        <w:t xml:space="preserve">II</w:t>
      </w:r>
      <w:bookmarkEnd w:id="40"/>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41">
        <w:r>
          <w:rPr>
            <w:i/>
            <w:rStyle w:val="Hyperlink"/>
          </w:rPr>
          <w:t xml:space="preserve">Winters v. New York,</w:t>
        </w:r>
        <w:r>
          <w:rPr>
            <w:rStyle w:val="Hyperlink"/>
          </w:rPr>
          <w:t xml:space="preserve"> </w:t>
        </w:r>
        <w:r>
          <w:rPr>
            <w:rStyle w:val="Hyperlink"/>
          </w:rPr>
          <w:t xml:space="preserve">(S.Ct. 1948)</w:t>
        </w:r>
      </w:hyperlink>
      <w:r>
        <w:t xml:space="preserve">.</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42">
        <w:r>
          <w:rPr>
            <w:i/>
            <w:rStyle w:val="Hyperlink"/>
          </w:rPr>
          <w:t xml:space="preserve">United States v. Playboy Entertainment Group, Inc.</w:t>
        </w:r>
        <w:r>
          <w:rPr>
            <w:rStyle w:val="Hyperlink"/>
          </w:rPr>
          <w:t xml:space="preserve"> </w:t>
        </w:r>
        <w:r>
          <w:rPr>
            <w:rStyle w:val="Hyperlink"/>
          </w:rPr>
          <w:t xml:space="preserve">(S.Ct. 2000)</w:t>
        </w:r>
      </w:hyperlink>
      <w:r>
        <w:t xml:space="preserve">.</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43">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w:t>
      </w:r>
      <w:r>
        <w:t xml:space="preserve"> </w:t>
      </w:r>
      <w:r>
        <w:t xml:space="preserve">“</w:t>
      </w:r>
      <w:hyperlink w:anchor="a-3">
        <w:r>
          <w:rPr>
            <w:rStyle w:val="Hyperlink"/>
          </w:rPr>
          <w:t xml:space="preserve">A</w:t>
        </w:r>
      </w:hyperlink>
      <w:r>
        <w:t xml:space="preserve">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44">
        <w:r>
          <w:rPr>
            <w:i/>
            <w:rStyle w:val="Hyperlink"/>
          </w:rPr>
          <w:t xml:space="preserve">Ashcroft v. American Civil Liberties Union,</w:t>
        </w:r>
        <w:r>
          <w:rPr>
            <w:rStyle w:val="Hyperlink"/>
          </w:rPr>
          <w:t xml:space="preserve"> </w:t>
        </w:r>
        <w:r>
          <w:rPr>
            <w:rStyle w:val="Hyperlink"/>
          </w:rPr>
          <w:t xml:space="preserve">(S.Ct. 2002)</w:t>
        </w:r>
      </w:hyperlink>
      <w:r>
        <w:t xml:space="preserve">.</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45">
        <w:r>
          <w:rPr>
            <w:i/>
            <w:rStyle w:val="Hyperlink"/>
          </w:rPr>
          <w:t xml:space="preserve">United States v. Stevens,</w:t>
        </w:r>
        <w:r>
          <w:rPr>
            <w:rStyle w:val="Hyperlink"/>
          </w:rPr>
          <w:t xml:space="preserve"> </w:t>
        </w:r>
        <w:r>
          <w:rPr>
            <w:rStyle w:val="Hyperlink"/>
          </w:rPr>
          <w:t xml:space="preserve">(S.Ct. 2010)</w:t>
        </w:r>
      </w:hyperlink>
      <w:r>
        <w:t xml:space="preserve"> </w:t>
      </w:r>
      <w:r>
        <w:t xml:space="preserve">(quoting</w:t>
      </w:r>
      <w:r>
        <w:t xml:space="preserve"> </w:t>
      </w:r>
      <w:hyperlink r:id="rId46">
        <w:r>
          <w:rPr>
            <w:i/>
            <w:rStyle w:val="Hyperlink"/>
          </w:rPr>
          <w:t xml:space="preserve">R.A.V. v. St. Paul,</w:t>
        </w:r>
        <w:r>
          <w:rPr>
            <w:rStyle w:val="Hyperlink"/>
          </w:rPr>
          <w:t xml:space="preserve"> </w:t>
        </w:r>
        <w:r>
          <w:rPr>
            <w:rStyle w:val="Hyperlink"/>
          </w:rPr>
          <w:t xml:space="preserve">(S.Ct. 1992)</w:t>
        </w:r>
      </w:hyperlink>
      <w:r>
        <w:t xml:space="preserve">).</w:t>
      </w:r>
      <w:r>
        <w:t xml:space="preserve"> </w:t>
      </w:r>
      <w:r>
        <w:t xml:space="preserve">These limited areas—such as obscenity,</w:t>
      </w:r>
      <w:r>
        <w:t xml:space="preserve"> </w:t>
      </w:r>
      <w:hyperlink r:id="rId47">
        <w:r>
          <w:rPr>
            <w:i/>
            <w:rStyle w:val="Hyperlink"/>
          </w:rPr>
          <w:t xml:space="preserve">Roth v. United States,</w:t>
        </w:r>
        <w:r>
          <w:rPr>
            <w:rStyle w:val="Hyperlink"/>
          </w:rPr>
          <w:t xml:space="preserve"> </w:t>
        </w:r>
        <w:r>
          <w:rPr>
            <w:rStyle w:val="Hyperlink"/>
          </w:rPr>
          <w:t xml:space="preserve">(S.Ct. 1957),</w:t>
        </w:r>
      </w:hyperlink>
      <w:r>
        <w:t xml:space="preserve"> </w:t>
      </w:r>
      <w:r>
        <w:t xml:space="preserve">incitement,</w:t>
      </w:r>
      <w:r>
        <w:t xml:space="preserve"> </w:t>
      </w:r>
      <w:hyperlink r:id="rId48">
        <w:r>
          <w:rPr>
            <w:i/>
            <w:rStyle w:val="Hyperlink"/>
          </w:rPr>
          <w:t xml:space="preserve">Brandenburg v. Ohio,</w:t>
        </w:r>
        <w:r>
          <w:rPr>
            <w:rStyle w:val="Hyperlink"/>
          </w:rPr>
          <w:t xml:space="preserve"> </w:t>
        </w:r>
        <w:r>
          <w:rPr>
            <w:rStyle w:val="Hyperlink"/>
          </w:rPr>
          <w:t xml:space="preserve">(S.Ct. 1969)</w:t>
        </w:r>
        <w:r>
          <w:rPr>
            <w:rStyle w:val="Hyperlink"/>
          </w:rPr>
          <w:t xml:space="preserve"> </w:t>
        </w:r>
        <w:r>
          <w:rPr>
            <w:i/>
            <w:rStyle w:val="Hyperlink"/>
          </w:rPr>
          <w:t xml:space="preserve">(per curiam)</w:t>
        </w:r>
      </w:hyperlink>
      <w:r>
        <w:rPr>
          <w:i/>
        </w:rPr>
        <w:t xml:space="preserve">,</w:t>
      </w:r>
      <w:r>
        <w:t xml:space="preserve"> </w:t>
      </w:r>
      <w:r>
        <w:t xml:space="preserve">and fighting words,</w:t>
      </w:r>
      <w:r>
        <w:t xml:space="preserve"> </w:t>
      </w:r>
      <w:hyperlink r:id="rId49">
        <w:r>
          <w:rPr>
            <w:i/>
            <w:rStyle w:val="Hyperlink"/>
          </w:rPr>
          <w:t xml:space="preserve">Chaplinsky v. New Hampshire,</w:t>
        </w:r>
        <w:r>
          <w:rPr>
            <w:rStyle w:val="Hyperlink"/>
          </w:rPr>
          <w:t xml:space="preserve"> </w:t>
        </w:r>
        <w:r>
          <w:rPr>
            <w:rStyle w:val="Hyperlink"/>
          </w:rPr>
          <w:t xml:space="preserve">S.Ct. 1942)</w:t>
        </w:r>
      </w:hyperlink>
      <w:r>
        <w:t xml:space="preserve">—represent</w:t>
      </w:r>
      <w:r>
        <w:t xml:space="preserve"> </w:t>
      </w:r>
      <w:r>
        <w:t xml:space="preserve">“</w:t>
      </w:r>
      <w:r>
        <w:t xml:space="preserve">well-defined and narrowly limited classes of speech, the prevention and punishment of which have never been thought to raise any Constitutional</w:t>
      </w:r>
      <w:r>
        <w:t xml:space="preserve"> </w:t>
      </w:r>
      <w:r>
        <w:t xml:space="preserve">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50">
        <w:r>
          <w:rPr>
            <w:i/>
            <w:rStyle w:val="Hyperlink"/>
          </w:rPr>
          <w:t xml:space="preserve">Miller v. California,</w:t>
        </w:r>
        <w:r>
          <w:rPr>
            <w:rStyle w:val="Hyperlink"/>
          </w:rPr>
          <w:t xml:space="preserve"> </w:t>
        </w:r>
        <w:r>
          <w:rPr>
            <w:rStyle w:val="Hyperlink"/>
          </w:rPr>
          <w:t xml:space="preserve">(Sct. 1973),</w:t>
        </w:r>
      </w:hyperlink>
      <w:r>
        <w:t xml:space="preserve"> </w:t>
      </w:r>
      <w:r>
        <w:t xml:space="preserve">exempted depictions</w:t>
      </w:r>
      <w:r>
        <w:t xml:space="preserve"> </w:t>
      </w:r>
      <w:r>
        <w:t xml:space="preserve">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45">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50">
        <w:r>
          <w:rPr>
            <w:i/>
            <w:rStyle w:val="Hyperlink"/>
          </w:rPr>
          <w:t xml:space="preserve">Miller, supra,</w:t>
        </w:r>
      </w:hyperlink>
      <w:r>
        <w:t xml:space="preserve">. See also</w:t>
      </w:r>
      <w:r>
        <w:t xml:space="preserve"> </w:t>
      </w:r>
      <w:hyperlink r:id="rId51">
        <w:r>
          <w:rPr>
            <w:i/>
            <w:rStyle w:val="Hyperlink"/>
          </w:rPr>
          <w:t xml:space="preserve">Cohen v. California,</w:t>
        </w:r>
        <w:r>
          <w:rPr>
            <w:rStyle w:val="Hyperlink"/>
          </w:rPr>
          <w:t xml:space="preserve"> </w:t>
        </w:r>
        <w:r>
          <w:rPr>
            <w:rStyle w:val="Hyperlink"/>
          </w:rPr>
          <w:t xml:space="preserve">(S.Ct. 1971)</w:t>
        </w:r>
      </w:hyperlink>
      <w:r>
        <w:t xml:space="preserve">;</w:t>
      </w:r>
      <w:r>
        <w:t xml:space="preserve"> </w:t>
      </w:r>
      <w:hyperlink r:id="rId47">
        <w:r>
          <w:rPr>
            <w:i/>
            <w:rStyle w:val="Hyperlink"/>
          </w:rPr>
          <w:t xml:space="preserve">Roth, supra,</w:t>
        </w:r>
        <w:r>
          <w:rPr>
            <w:rStyle w:val="Hyperlink"/>
          </w:rPr>
          <w:t xml:space="preserve"> </w:t>
        </w:r>
        <w:r>
          <w:rPr>
            <w:rStyle w:val="Hyperlink"/>
          </w:rPr>
          <w:t xml:space="preserve">at 487</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41">
        <w:r>
          <w:rPr>
            <w:i/>
            <w:rStyle w:val="Hyperlink"/>
          </w:rPr>
          <w:t xml:space="preserve">Winters</w:t>
        </w:r>
      </w:hyperlink>
      <w:r>
        <w:t xml:space="preserve">.</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41">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30">
        <w:r>
          <w:rPr>
            <w:i/>
            <w:rStyle w:val="Hyperlink"/>
          </w:rPr>
          <w:t xml:space="preserve">Ginsberg v. New York,</w:t>
        </w:r>
        <w:r>
          <w:rPr>
            <w:rStyle w:val="Hyperlink"/>
          </w:rPr>
          <w:t xml:space="preserve"> </w:t>
        </w:r>
        <w:r>
          <w:rPr>
            <w:rStyle w:val="Hyperlink"/>
          </w:rPr>
          <w:t xml:space="preserve">(S.Ct. 1968)</w:t>
        </w:r>
      </w:hyperlink>
      <w:r>
        <w:t xml:space="preserve">).</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30">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30">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52">
        <w:r>
          <w:rPr>
            <w:i/>
            <w:rStyle w:val="Hyperlink"/>
          </w:rPr>
          <w:t xml:space="preserve">Erznoznik v. Jacksonville,</w:t>
        </w:r>
      </w:hyperlink>
      <w:r>
        <w:t xml:space="preserve">. No doubt a State possesses legitimate power to protect children from harm,</w:t>
      </w:r>
      <w:r>
        <w:t xml:space="preserve"> </w:t>
      </w:r>
      <w:hyperlink r:id="rId30">
        <w:r>
          <w:rPr>
            <w:i/>
            <w:rStyle w:val="Hyperlink"/>
          </w:rPr>
          <w:t xml:space="preserve">Ginsberg, supra,</w:t>
        </w:r>
      </w:hyperlink>
      <w:r>
        <w:t xml:space="preserve">;</w:t>
      </w:r>
      <w:r>
        <w:t xml:space="preserve"> </w:t>
      </w:r>
      <w:hyperlink r:id="rId53">
        <w:r>
          <w:rPr>
            <w:i/>
            <w:rStyle w:val="Hyperlink"/>
          </w:rPr>
          <w:t xml:space="preserve">Prince v. Massachusetts,</w:t>
        </w:r>
        <w:r>
          <w:rPr>
            <w:rStyle w:val="Hyperlink"/>
          </w:rPr>
          <w:t xml:space="preserve"> </w:t>
        </w:r>
        <w:r>
          <w:rPr>
            <w:rStyle w:val="Hyperlink"/>
          </w:rPr>
          <w:t xml:space="preserve">(S.Ct. 1944),</w:t>
        </w:r>
      </w:hyperlink>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52">
        <w:r>
          <w:rPr>
            <w:i/>
            <w:rStyle w:val="Hyperlink"/>
          </w:rPr>
          <w:t xml:space="preserve">Erznoznik, supra,</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54">
        <w:r>
          <w:rPr>
            <w:i/>
            <w:rStyle w:val="Hyperlink"/>
          </w:rPr>
          <w:t xml:space="preserve">Mutual Film Corp. v. Industrial Comm’n of Ohio,</w:t>
        </w:r>
        <w:r>
          <w:rPr>
            <w:rStyle w:val="Hyperlink"/>
          </w:rPr>
          <w:t xml:space="preserve"> </w:t>
        </w:r>
        <w:r>
          <w:rPr>
            <w:rStyle w:val="Hyperlink"/>
          </w:rPr>
          <w:t xml:space="preserve">(S.Ct. 1915),</w:t>
        </w:r>
      </w:hyperlink>
      <w:r>
        <w:t xml:space="preserve"> </w:t>
      </w:r>
      <w:r>
        <w:t xml:space="preserve">but we eventually reversed course,</w:t>
      </w:r>
      <w:r>
        <w:t xml:space="preserve"> </w:t>
      </w:r>
      <w:hyperlink r:id="rId43">
        <w:r>
          <w:rPr>
            <w:i/>
            <w:rStyle w:val="Hyperlink"/>
          </w:rPr>
          <w:t xml:space="preserve">Joseph Burstyn, Inc.,</w:t>
        </w:r>
      </w:hyperlink>
      <w:r>
        <w:t xml:space="preserve">;</w:t>
      </w:r>
      <w:r>
        <w:t xml:space="preserve"> </w:t>
      </w:r>
      <w:r>
        <w:t xml:space="preserve">see also</w:t>
      </w:r>
      <w:r>
        <w:t xml:space="preserve"> </w:t>
      </w:r>
      <w:hyperlink r:id="rId52">
        <w:r>
          <w:rPr>
            <w:i/>
            <w:rStyle w:val="Hyperlink"/>
          </w:rPr>
          <w:t xml:space="preserve">Erznoznik, supra,</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See Note, Regulation of Comic Books, 68 Harv. L. Rev. 489, 490 (1955).</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55">
        <w:r>
          <w:rPr>
            <w:i/>
            <w:rStyle w:val="Hyperlink"/>
          </w:rPr>
          <w:t xml:space="preserve">American Amusement Machine Assn. v. Kendrick,</w:t>
        </w:r>
        <w:r>
          <w:rPr>
            <w:rStyle w:val="Hyperlink"/>
          </w:rPr>
          <w:t xml:space="preserve"> </w:t>
        </w:r>
        <w:r>
          <w:rPr>
            <w:rStyle w:val="Hyperlink"/>
          </w:rPr>
          <w:t xml:space="preserve">(7th Cir. 2001)</w:t>
        </w:r>
      </w:hyperlink>
      <w:r>
        <w:t xml:space="preserve"> </w:t>
      </w:r>
      <w:r>
        <w:t xml:space="preserve">(striking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56" w:name="iii"/>
      <w:r>
        <w:t xml:space="preserve">III</w:t>
      </w:r>
      <w:bookmarkEnd w:id="56"/>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46">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42">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46">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42">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57">
        <w:r>
          <w:rPr>
            <w:i/>
            <w:rStyle w:val="Hyperlink"/>
          </w:rPr>
          <w:t xml:space="preserve">Turner</w:t>
        </w:r>
        <w:r>
          <w:rPr>
            <w:i/>
            <w:rStyle w:val="Hyperlink"/>
          </w:rPr>
          <w:t xml:space="preserve"> </w:t>
        </w:r>
        <w:r>
          <w:rPr>
            <w:i/>
            <w:rStyle w:val="Hyperlink"/>
          </w:rPr>
          <w:t xml:space="preserve">Broadcasting System, Inc. v. FCC,</w:t>
        </w:r>
        <w:r>
          <w:rPr>
            <w:rStyle w:val="Hyperlink"/>
          </w:rPr>
          <w:t xml:space="preserve"> </w:t>
        </w:r>
        <w:r>
          <w:rPr>
            <w:rStyle w:val="Hyperlink"/>
          </w:rPr>
          <w:t xml:space="preserve">(S.Ct. 1994),</w:t>
        </w:r>
      </w:hyperlink>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42">
        <w:r>
          <w:rPr>
            <w:i/>
            <w:rStyle w:val="Hyperlink"/>
          </w:rPr>
          <w:t xml:space="preserve">Playboy, supra,</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39">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See</w:t>
      </w:r>
      <w:r>
        <w:t xml:space="preserve"> </w:t>
      </w:r>
      <w:hyperlink r:id="rId58">
        <w:r>
          <w:rPr>
            <w:i/>
            <w:rStyle w:val="Hyperlink"/>
          </w:rPr>
          <w:t xml:space="preserve">City of Ladue v. Gilleo,</w:t>
        </w:r>
        <w:r>
          <w:rPr>
            <w:rStyle w:val="Hyperlink"/>
          </w:rPr>
          <w:t xml:space="preserve"> </w:t>
        </w:r>
        <w:r>
          <w:rPr>
            <w:rStyle w:val="Hyperlink"/>
          </w:rPr>
          <w:t xml:space="preserve">(S.Ct. 1994)</w:t>
        </w:r>
      </w:hyperlink>
      <w:r>
        <w:t xml:space="preserve">;</w:t>
      </w:r>
      <w:r>
        <w:t xml:space="preserve"> </w:t>
      </w:r>
      <w:hyperlink r:id="rId59">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52">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49">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60">
        <w:r>
          <w:rPr>
            <w:i/>
            <w:rStyle w:val="Hyperlink"/>
          </w:rPr>
          <w:t xml:space="preserve">Church of</w:t>
        </w:r>
        <w:r>
          <w:rPr>
            <w:i/>
            <w:rStyle w:val="Hyperlink"/>
          </w:rPr>
          <w:t xml:space="preserve"> </w:t>
        </w:r>
        <w:r>
          <w:rPr>
            <w:i/>
            <w:rStyle w:val="Hyperlink"/>
          </w:rPr>
          <w:t xml:space="preserve">Lukumi Babalu Aye, Inc. v. Hialeah,</w:t>
        </w:r>
        <w:r>
          <w:rPr>
            <w:rStyle w:val="Hyperlink"/>
          </w:rPr>
          <w:t xml:space="preserve"> </w:t>
        </w:r>
        <w:r>
          <w:rPr>
            <w:rStyle w:val="Hyperlink"/>
          </w:rPr>
          <w:t xml:space="preserve">(S.Ct. 1993)</w:t>
        </w:r>
      </w:hyperlink>
      <w:r>
        <w:t xml:space="preserve">.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61" w:name="brown-could-have-gone-the-other-way"/>
      <w:r>
        <w:rPr>
          <w:i/>
        </w:rPr>
        <w:t xml:space="preserve">Brown</w:t>
      </w:r>
      <w:r>
        <w:t xml:space="preserve"> </w:t>
      </w:r>
      <w:r>
        <w:t xml:space="preserve">Could Have Gone The Other Way?</w:t>
      </w:r>
      <w:bookmarkEnd w:id="61"/>
    </w:p>
    <w:p>
      <w:pPr>
        <w:pStyle w:val="FirstParagraph"/>
      </w:pPr>
      <w:hyperlink r:id="rId62">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63" w:name="true-threats"/>
      <w:r>
        <w:t xml:space="preserve">True Threats</w:t>
      </w:r>
      <w:bookmarkEnd w:id="63"/>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64" w:name="elonis-v.-united-states"/>
      <w:r>
        <w:rPr>
          <w:i/>
        </w:rPr>
        <w:t xml:space="preserve">Elonis v. United States</w:t>
      </w:r>
      <w:bookmarkEnd w:id="64"/>
    </w:p>
    <w:p>
      <w:pPr>
        <w:pStyle w:val="Heading6"/>
      </w:pPr>
      <w:bookmarkStart w:id="65" w:name="united-states-supreme-court-2015"/>
      <w:r>
        <w:t xml:space="preserve">United States Supreme Court (2015)</w:t>
      </w:r>
      <w:bookmarkEnd w:id="65"/>
    </w:p>
    <w:p>
      <w:pPr>
        <w:pStyle w:val="Compact"/>
        <w:numPr>
          <w:numId w:val="1002"/>
          <w:ilvl w:val="0"/>
        </w:numPr>
      </w:pPr>
      <w:hyperlink r:id="rId66">
        <w:r>
          <w:rPr>
            <w:rStyle w:val="Hyperlink"/>
          </w:rPr>
          <w:t xml:space="preserve">case on Google Scholar</w:t>
        </w:r>
      </w:hyperlink>
    </w:p>
    <w:p>
      <w:pPr>
        <w:pStyle w:val="Compact"/>
        <w:numPr>
          <w:numId w:val="1002"/>
          <w:ilvl w:val="0"/>
        </w:numPr>
      </w:pPr>
      <w:hyperlink r:id="rId67">
        <w:r>
          <w:rPr>
            <w:rStyle w:val="Hyperlink"/>
          </w:rPr>
          <w:t xml:space="preserve">case on Westlaw</w:t>
        </w:r>
      </w:hyperlink>
    </w:p>
    <w:p>
      <w:pPr>
        <w:pStyle w:val="Compact"/>
        <w:numPr>
          <w:numId w:val="1002"/>
          <w:ilvl w:val="0"/>
        </w:numPr>
      </w:pPr>
      <w:hyperlink r:id="rId68">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69">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70" w:name="i-1"/>
      <w:r>
        <w:t xml:space="preserve">I</w:t>
      </w:r>
      <w:bookmarkEnd w:id="70"/>
    </w:p>
    <w:p>
      <w:pPr>
        <w:pStyle w:val="Heading4"/>
      </w:pPr>
      <w:bookmarkStart w:id="71" w:name="a"/>
      <w:r>
        <w:t xml:space="preserve">A</w:t>
      </w:r>
      <w:bookmarkEnd w:id="71"/>
    </w:p>
    <w:p>
      <w:pPr>
        <w:pStyle w:val="FirstParagraph"/>
      </w:pPr>
      <w:r>
        <w:t xml:space="preserve">Anthony Douglas Elonis was an active user</w:t>
      </w:r>
      <w:r>
        <w:t xml:space="preserve"> </w:t>
      </w:r>
      <w:r>
        <w:t xml:space="preserve">of the social networking Web site Facebook…</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72">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73">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74" w:name="b"/>
      <w:r>
        <w:t xml:space="preserve">B</w:t>
      </w:r>
      <w:bookmarkEnd w:id="74"/>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75" w:name="ii-1"/>
      <w:r>
        <w:t xml:space="preserve">II</w:t>
      </w:r>
      <w:bookmarkEnd w:id="75"/>
    </w:p>
    <w:p>
      <w:pPr>
        <w:pStyle w:val="Heading4"/>
      </w:pPr>
      <w:bookmarkStart w:id="76" w:name="a-1"/>
      <w:r>
        <w:t xml:space="preserve">A</w:t>
      </w:r>
      <w:bookmarkEnd w:id="76"/>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69">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69">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77">
        <w:r>
          <w:rPr>
            <w:i/>
            <w:rStyle w:val="Hyperlink"/>
          </w:rPr>
          <w:t xml:space="preserve">United States v. Jeffries,</w:t>
        </w:r>
        <w:r>
          <w:rPr>
            <w:rStyle w:val="Hyperlink"/>
          </w:rPr>
          <w:t xml:space="preserve"> </w:t>
        </w:r>
        <w:r>
          <w:rPr>
            <w:rStyle w:val="Hyperlink"/>
          </w:rPr>
          <w:t xml:space="preserve">(CA6 2012)</w:t>
        </w:r>
      </w:hyperlink>
      <w:r>
        <w:t xml:space="preserve">.</w:t>
      </w:r>
    </w:p>
    <w:p>
      <w:pPr>
        <w:pStyle w:val="BodyText"/>
      </w:pPr>
      <w:r>
        <w:rPr>
          <w:i/>
        </w:rPr>
        <w:t xml:space="preserve">E.g.,</w:t>
      </w:r>
      <w:r>
        <w:t xml:space="preserve"> </w:t>
      </w:r>
      <w:r>
        <w:t xml:space="preserve">Oxford English Dictionary (1933)</w:t>
      </w:r>
      <w:r>
        <w:t xml:space="preserve"> </w:t>
      </w:r>
      <w:r>
        <w:t xml:space="preserve">(</w:t>
      </w:r>
      <w:r>
        <w:t xml:space="preserve">“</w:t>
      </w:r>
      <w:r>
        <w:t xml:space="preserve">to declare (usually conditionally) one’s intention of</w:t>
      </w:r>
      <w:r>
        <w:t xml:space="preserve"> </w:t>
      </w:r>
      <w:r>
        <w:t xml:space="preserve">inflicting injury upon</w:t>
      </w:r>
      <w:r>
        <w:t xml:space="preserve">”</w:t>
      </w:r>
      <w:r>
        <w:t xml:space="preserve">); Webster’s New International Dictionary</w:t>
      </w:r>
      <w:r>
        <w:t xml:space="preserve"> </w:t>
      </w:r>
      <w:r>
        <w:t xml:space="preserve">(</w:t>
      </w:r>
      <w:r>
        <w:t xml:space="preserve">“</w:t>
      </w:r>
      <w:r>
        <w:rPr>
          <w:i/>
        </w:rPr>
        <w:t xml:space="preserve">Law,</w:t>
      </w:r>
      <w:r>
        <w:t xml:space="preserve"> </w:t>
      </w:r>
      <w:r>
        <w:t xml:space="preserve">specif., an expression of an intention to inflict</w:t>
      </w:r>
      <w:r>
        <w:t xml:space="preserve"> </w:t>
      </w:r>
      <w:r>
        <w:t xml:space="preserve">loss or harm on another by illegal means</w:t>
      </w:r>
      <w:r>
        <w:t xml:space="preserve">”</w:t>
      </w:r>
      <w:r>
        <w:t xml:space="preserve">); Black’s Law Dictionary 1519</w:t>
      </w:r>
      <w:r>
        <w:t xml:space="preserve"> </w:t>
      </w:r>
      <w:r>
        <w:t xml:space="preserve">(8th ed. 2004) (</w:t>
      </w:r>
      <w:r>
        <w:t xml:space="preserve">“</w:t>
      </w:r>
      <w:r>
        <w:t xml:space="preserve">A communicated intent to inflict harm or loss on</w:t>
      </w:r>
      <w:r>
        <w:t xml:space="preserve"> </w:t>
      </w:r>
      <w:r>
        <w:t xml:space="preserve">another</w:t>
      </w:r>
      <w:r>
        <w:t xml:space="preserve">”</w:t>
      </w:r>
      <w:r>
        <w:t xml:space="preserve">).</w:t>
      </w:r>
    </w:p>
    <w:p>
      <w:pPr>
        <w:pStyle w:val="BodyText"/>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 See</w:t>
      </w:r>
      <w:r>
        <w:t xml:space="preserve"> </w:t>
      </w:r>
      <w:hyperlink r:id="rId78">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1983)</w:t>
        </w:r>
      </w:hyperlink>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79" w:name="b-1"/>
      <w:r>
        <w:t xml:space="preserve">B</w:t>
      </w:r>
      <w:bookmarkEnd w:id="79"/>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80">
        <w:r>
          <w:rPr>
            <w:i/>
            <w:rStyle w:val="Hyperlink"/>
          </w:rPr>
          <w:t xml:space="preserve">Morissette United States</w:t>
        </w:r>
        <w:r>
          <w:rPr>
            <w:rStyle w:val="Hyperlink"/>
          </w:rPr>
          <w:t xml:space="preserve"> </w:t>
        </w:r>
        <w:r>
          <w:rPr>
            <w:rStyle w:val="Hyperlink"/>
          </w:rPr>
          <w:t xml:space="preserve">(S.Ct. 1952)</w:t>
        </w:r>
      </w:hyperlink>
      <w:r>
        <w:t xml:space="preserve">.</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81">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r>
          <w:rPr>
            <w:rStyle w:val="Hyperlink"/>
          </w:rPr>
          <w:t xml:space="preserve"> </w:t>
        </w:r>
        <w:r>
          <w:rPr>
            <w:rStyle w:val="Hyperlink"/>
          </w:rPr>
          <w:t xml:space="preserve">(S.Ct. 1994)</w:t>
        </w:r>
      </w:hyperlink>
      <w:r>
        <w:t xml:space="preserve">.</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82">
        <w:r>
          <w:rPr>
            <w:i/>
            <w:rStyle w:val="Hyperlink"/>
          </w:rPr>
          <w:t xml:space="preserve">Staples v. United</w:t>
        </w:r>
        <w:r>
          <w:rPr>
            <w:i/>
            <w:rStyle w:val="Hyperlink"/>
          </w:rPr>
          <w:t xml:space="preserve"> </w:t>
        </w:r>
        <w:r>
          <w:rPr>
            <w:i/>
            <w:rStyle w:val="Hyperlink"/>
          </w:rPr>
          <w:t xml:space="preserve">States</w:t>
        </w:r>
        <w:r>
          <w:rPr>
            <w:rStyle w:val="Hyperlink"/>
          </w:rPr>
          <w:t xml:space="preserve"> </w:t>
        </w:r>
        <w:r>
          <w:rPr>
            <w:rStyle w:val="Hyperlink"/>
          </w:rPr>
          <w:t xml:space="preserve">(S.Ct. 1994),</w:t>
        </w:r>
      </w:hyperlink>
      <w:r>
        <w:t xml:space="preserve"> </w:t>
      </w:r>
      <w:r>
        <w:t xml:space="preserve">even if he does not know that those facts give rise to a crime.</w:t>
      </w:r>
    </w:p>
    <w:p>
      <w:pPr>
        <w:pStyle w:val="BodyText"/>
      </w:pPr>
      <w:r>
        <w:t xml:space="preserve">* * *</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w:t>
      </w:r>
      <w:r>
        <w:t xml:space="preserve"> </w:t>
      </w:r>
      <w:hyperlink r:id="rId83">
        <w:r>
          <w:rPr>
            <w:i/>
            <w:rStyle w:val="Hyperlink"/>
          </w:rPr>
          <w:t xml:space="preserve">Carter v. United States</w:t>
        </w:r>
        <w:r>
          <w:rPr>
            <w:rStyle w:val="Hyperlink"/>
          </w:rPr>
          <w:t xml:space="preserve"> </w:t>
        </w:r>
        <w:r>
          <w:rPr>
            <w:rStyle w:val="Hyperlink"/>
          </w:rPr>
          <w:t xml:space="preserve">(2000)</w:t>
        </w:r>
      </w:hyperlink>
      <w:r>
        <w:t xml:space="preserve"> </w:t>
      </w:r>
      <w:r>
        <w:t xml:space="preserve">(quoting</w:t>
      </w:r>
      <w:r>
        <w:t xml:space="preserve"> </w:t>
      </w:r>
      <w:hyperlink r:id="rId81">
        <w:r>
          <w:rPr>
            <w:i/>
            <w:rStyle w:val="Hyperlink"/>
          </w:rPr>
          <w:t xml:space="preserve">X-Citement Video</w:t>
        </w:r>
      </w:hyperlink>
      <w:r>
        <w:t xml:space="preserve">).</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18 USC §2113(a),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r>
        <w:t xml:space="preserve"> </w:t>
      </w:r>
      <w:hyperlink r:id="rId83">
        <w:r>
          <w:rPr>
            <w:rStyle w:val="Hyperlink"/>
          </w:rPr>
          <w:t xml:space="preserve">530 US at</w:t>
        </w:r>
        <w:r>
          <w:rPr>
            <w:rStyle w:val="Hyperlink"/>
          </w:rPr>
          <w:t xml:space="preserve"> </w:t>
        </w:r>
        <w:r>
          <w:rPr>
            <w:rStyle w:val="Hyperlink"/>
          </w:rPr>
          <w:t xml:space="preserve">261</w:t>
        </w:r>
      </w:hyperlink>
      <w:r>
        <w:t xml:space="preserve">.</w:t>
      </w:r>
      <w:r>
        <w:t xml:space="preserve"> </w:t>
      </w: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 . .</w:t>
      </w:r>
      <w:r>
        <w:t xml:space="preserve"> </w:t>
      </w:r>
      <w:r>
        <w:t xml:space="preserve">`otherwise innocent’</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statute similar to Section</w:t>
      </w:r>
      <w:r>
        <w:t xml:space="preserve"> </w:t>
      </w:r>
      <w:r>
        <w:t xml:space="preserve">2113(a) 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 `intent to steal or purloin.’</w:t>
      </w:r>
      <w:r>
        <w:t xml:space="preserve">”</w:t>
      </w:r>
    </w:p>
    <w:p>
      <w:pPr>
        <w:pStyle w:val="Heading4"/>
      </w:pPr>
      <w:bookmarkStart w:id="84" w:name="c"/>
      <w:r>
        <w:t xml:space="preserve">C</w:t>
      </w:r>
      <w:bookmarkEnd w:id="84"/>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81">
        <w:r>
          <w:rPr>
            <w:i/>
            <w:rStyle w:val="Hyperlink"/>
          </w:rPr>
          <w:t xml:space="preserve">X-Citement Video,</w:t>
        </w:r>
      </w:hyperlink>
      <w:r>
        <w:t xml:space="preserve"> </w:t>
      </w:r>
      <w:r>
        <w:t xml:space="preserve">(emphasis added).</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hyperlink r:id="rId82">
        <w:r>
          <w:rPr>
            <w:i/>
            <w:rStyle w:val="Hyperlink"/>
          </w:rPr>
          <w:t xml:space="preserve">Staples</w:t>
        </w:r>
      </w:hyperlink>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hyperlink r:id="rId77">
        <w:r>
          <w:rPr>
            <w:i/>
            <w:rStyle w:val="Hyperlink"/>
          </w:rPr>
          <w:t xml:space="preserve">Jeffries</w:t>
        </w:r>
      </w:hyperlink>
      <w:r>
        <w:t xml:space="preserve"> </w:t>
      </w:r>
      <w:r>
        <w:t xml:space="preserve">(Sutton, J.,</w:t>
      </w:r>
      <w:r>
        <w:t xml:space="preserve"> </w:t>
      </w:r>
      <w:r>
        <w:rPr>
          <w:i/>
        </w:rPr>
        <w:t xml:space="preserve">dubitante</w:t>
      </w:r>
      <w:r>
        <w:t xml:space="preserve">), 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85">
        <w:r>
          <w:rPr>
            <w:i/>
            <w:rStyle w:val="Hyperlink"/>
          </w:rPr>
          <w:t xml:space="preserve">Rogers</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1975) (Marshall, J.,</w:t>
        </w:r>
        <w:r>
          <w:rPr>
            <w:rStyle w:val="Hyperlink"/>
          </w:rPr>
          <w:t xml:space="preserve"> </w:t>
        </w:r>
        <w:r>
          <w:rPr>
            <w:rStyle w:val="Hyperlink"/>
          </w:rPr>
          <w:t xml:space="preserve">concurring)</w:t>
        </w:r>
      </w:hyperlink>
      <w:r>
        <w:t xml:space="preserve">;</w:t>
      </w:r>
      <w:r>
        <w:t xml:space="preserve"> </w:t>
      </w:r>
      <w:hyperlink r:id="rId86">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1895)</w:t>
        </w:r>
      </w:hyperlink>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 * *</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80">
        <w:r>
          <w:rPr>
            <w:i/>
            <w:rStyle w:val="Hyperlink"/>
          </w:rPr>
          <w:t xml:space="preserve">Morissette,</w:t>
        </w:r>
        <w:r>
          <w:rPr>
            <w:rStyle w:val="Hyperlink"/>
          </w:rPr>
          <w:t xml:space="preserve"> </w:t>
        </w:r>
        <w:r>
          <w:rPr>
            <w:rStyle w:val="Hyperlink"/>
          </w:rPr>
          <w:t xml:space="preserve">342 US at 252</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 See</w:t>
      </w:r>
      <w:r>
        <w:t xml:space="preserve"> </w:t>
      </w:r>
      <w:hyperlink r:id="rId87">
        <w:r>
          <w:rPr>
            <w:i/>
            <w:rStyle w:val="Hyperlink"/>
          </w:rPr>
          <w:t xml:space="preserve">Department of Treasury, IRS v.</w:t>
        </w:r>
        <w:r>
          <w:rPr>
            <w:i/>
            <w:rStyle w:val="Hyperlink"/>
          </w:rPr>
          <w:t xml:space="preserve"> </w:t>
        </w:r>
        <w:r>
          <w:rPr>
            <w:i/>
            <w:rStyle w:val="Hyperlink"/>
          </w:rPr>
          <w:t xml:space="preserve">FLRA</w:t>
        </w:r>
        <w:r>
          <w:rPr>
            <w:rStyle w:val="Hyperlink"/>
          </w:rPr>
          <w:t xml:space="preserve"> </w:t>
        </w:r>
        <w:r>
          <w:rPr>
            <w:rStyle w:val="Hyperlink"/>
          </w:rPr>
          <w:t xml:space="preserve">(S.Ct. 1990)</w:t>
        </w:r>
      </w:hyperlink>
      <w:r>
        <w:t xml:space="preserve"> </w:t>
      </w:r>
      <w:r>
        <w:t xml:space="preserve">(this Court is</w:t>
      </w:r>
      <w:r>
        <w:t xml:space="preserve"> </w:t>
      </w:r>
      <w:r>
        <w:t xml:space="preserve">“</w:t>
      </w:r>
      <w:r>
        <w:t xml:space="preserve">poorly situated</w:t>
      </w:r>
      <w:r>
        <w:t xml:space="preserve">”</w:t>
      </w:r>
      <w:r>
        <w:t xml:space="preserve"> </w:t>
      </w:r>
      <w:r>
        <w:t xml:space="preserve">to address an argument the Court of</w:t>
      </w:r>
      <w:r>
        <w:t xml:space="preserve"> </w:t>
      </w:r>
      <w:r>
        <w:t xml:space="preserve">Appeals did not consider, the parties did not brief, and counsel</w:t>
      </w:r>
      <w:r>
        <w:t xml:space="preserve"> </w:t>
      </w:r>
      <w:r>
        <w:t xml:space="preserve">addressed in</w:t>
      </w:r>
      <w:r>
        <w:t xml:space="preserve"> </w:t>
      </w:r>
      <w:r>
        <w:t xml:space="preserve">“</w:t>
      </w:r>
      <w:r>
        <w:t xml:space="preserve">only the most cursory fashion at oral argument</w:t>
      </w:r>
      <w:r>
        <w:t xml:space="preserve">”</w:t>
      </w:r>
      <w:r>
        <w:t xml:space="preserve">). Given</w:t>
      </w:r>
      <w:r>
        <w:t xml:space="preserve"> </w:t>
      </w:r>
      <w:r>
        <w:t xml:space="preserve">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88" w:name="dissenting-concurring"/>
      <w:r>
        <w:t xml:space="preserve">Dissenting &amp; Concurring</w:t>
      </w:r>
      <w:bookmarkEnd w:id="88"/>
    </w:p>
    <w:p>
      <w:pPr>
        <w:pStyle w:val="Heading4"/>
      </w:pPr>
      <w:bookmarkStart w:id="89" w:name="justice-alito-concurring-in-part-and-dissenting-in-part."/>
      <w:r>
        <w:t xml:space="preserve">JUSTICE ALITO, concurring in part and dissenting in part.</w:t>
      </w:r>
      <w:bookmarkEnd w:id="89"/>
    </w:p>
    <w:p>
      <w:pPr>
        <w:pStyle w:val="FirstParagraph"/>
      </w:pPr>
      <w:r>
        <w:t xml:space="preserve">In</w:t>
      </w:r>
      <w:r>
        <w:t xml:space="preserve"> </w:t>
      </w:r>
      <w:hyperlink r:id="rId90">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91" w:name="ii-2"/>
      <w:r>
        <w:t xml:space="preserve">II</w:t>
      </w:r>
      <w:bookmarkEnd w:id="91"/>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92">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hyperlink r:id="rId46">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w:t>
      </w:r>
      <w:r>
        <w:t xml:space="preserve"> </w:t>
      </w:r>
      <w:hyperlink r:id="rId93">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93">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94">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w:t>
      </w:r>
      <w:r>
        <w:t xml:space="preserve">(quoting</w:t>
      </w:r>
      <w:r>
        <w:t xml:space="preserve"> </w:t>
      </w:r>
      <w:hyperlink r:id="rId95">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r>
          <w:rPr>
            <w:rStyle w:val="Hyperlink"/>
          </w:rPr>
          <w:t xml:space="preserve"> </w:t>
        </w:r>
        <w:r>
          <w:rPr>
            <w:rStyle w:val="Hyperlink"/>
          </w:rPr>
          <w:t xml:space="preserve">(S.Ct. 1963)</w:t>
        </w:r>
      </w:hyperlink>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96">
        <w:r>
          <w:rPr>
            <w:i/>
            <w:rStyle w:val="Hyperlink"/>
          </w:rPr>
          <w:t xml:space="preserve">New York Times</w:t>
        </w:r>
      </w:hyperlink>
      <w:r>
        <w:t xml:space="preserve"> </w:t>
      </w:r>
      <w:r>
        <w:t xml:space="preserve">(civil liability);</w:t>
      </w:r>
      <w:r>
        <w:t xml:space="preserve"> </w:t>
      </w:r>
      <w:hyperlink r:id="rId97">
        <w:r>
          <w:rPr>
            <w:i/>
            <w:rStyle w:val="Hyperlink"/>
          </w:rPr>
          <w:t xml:space="preserve">Garrison,</w:t>
        </w:r>
        <w:r>
          <w:rPr>
            <w:rStyle w:val="Hyperlink"/>
          </w:rPr>
          <w:t xml:space="preserve"> </w:t>
        </w:r>
        <w:r>
          <w:rPr>
            <w:rStyle w:val="Hyperlink"/>
          </w:rPr>
          <w:t xml:space="preserve">379 U. S., at</w:t>
        </w:r>
        <w:r>
          <w:rPr>
            <w:rStyle w:val="Hyperlink"/>
          </w:rPr>
          <w:t xml:space="preserve"> </w:t>
        </w:r>
        <w:r>
          <w:rPr>
            <w:rStyle w:val="Hyperlink"/>
          </w:rPr>
          <w:t xml:space="preserve">74-75</w:t>
        </w:r>
      </w:hyperlink>
      <w:r>
        <w:t xml:space="preserve"> </w:t>
      </w:r>
      <w:r>
        <w:t xml:space="preserve">(criminal liability). Requiring proof of recklessness is similarly</w:t>
      </w:r>
      <w:r>
        <w:t xml:space="preserve"> </w:t>
      </w:r>
      <w:r>
        <w:t xml:space="preserve">sufficient here.…</w:t>
      </w:r>
    </w:p>
    <w:p>
      <w:pPr>
        <w:pStyle w:val="Heading4"/>
      </w:pPr>
      <w:bookmarkStart w:id="98" w:name="justice-thomas-dissenting."/>
      <w:r>
        <w:t xml:space="preserve">JUSTICE THOMAS, dissenting.</w:t>
      </w:r>
      <w:bookmarkEnd w:id="98"/>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99" w:name="i-2"/>
      <w:r>
        <w:t xml:space="preserve">I</w:t>
      </w:r>
      <w:bookmarkEnd w:id="99"/>
    </w:p>
    <w:p>
      <w:pPr>
        <w:pStyle w:val="Heading2"/>
      </w:pPr>
      <w:bookmarkStart w:id="100" w:name="a-2"/>
      <w:r>
        <w:t xml:space="preserve">A</w:t>
      </w:r>
      <w:bookmarkEnd w:id="100"/>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w:t>
      </w:r>
      <w:r>
        <w:t xml:space="preserve"> </w:t>
      </w:r>
      <w:hyperlink r:id="rId93">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w:t>
        </w:r>
        <w:r>
          <w:rPr>
            <w:i/>
            <w:rStyle w:val="Hyperlink"/>
          </w:rPr>
          <w:t xml:space="preserve"> </w:t>
        </w:r>
        <w:r>
          <w:rPr>
            <w:i/>
            <w:rStyle w:val="Hyperlink"/>
          </w:rPr>
          <w:t xml:space="preserve">States,</w:t>
        </w:r>
        <w:r>
          <w:rPr>
            <w:rStyle w:val="Hyperlink"/>
          </w:rPr>
          <w:t xml:space="preserve"> </w:t>
        </w:r>
        <w:r>
          <w:rPr>
            <w:rStyle w:val="Hyperlink"/>
          </w:rPr>
          <w:t xml:space="preserve">(S.Ct. 1969) (</w:t>
        </w:r>
        <w:r>
          <w:rPr>
            <w:i/>
            <w:rStyle w:val="Hyperlink"/>
          </w:rPr>
          <w:t xml:space="preserve">per curiam</w:t>
        </w:r>
        <w:r>
          <w:rPr>
            <w:rStyle w:val="Hyperlink"/>
          </w:rPr>
          <w:t xml:space="preserve">)</w:t>
        </w:r>
      </w:hyperlink>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hyperlink r:id="rId101">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Darby</w:t>
        </w:r>
        <w:r>
          <w:rPr>
            <w:rStyle w:val="Hyperlink"/>
          </w:rPr>
          <w:t xml:space="preserve"> </w:t>
        </w:r>
        <w:r>
          <w:rPr>
            <w:rStyle w:val="Hyperlink"/>
          </w:rPr>
          <w:t xml:space="preserve">(4th Cir. 1994)</w:t>
        </w:r>
      </w:hyperlink>
      <w:r>
        <w:t xml:space="preserve"> </w:t>
      </w:r>
      <w:r>
        <w:t xml:space="preserve">(emphasis added), lest historically protected speech be suppressed at</w:t>
      </w:r>
      <w:r>
        <w:t xml:space="preserve"> </w:t>
      </w:r>
      <w:r>
        <w:t xml:space="preserve">the will of an eggshell observer, cf.</w:t>
      </w:r>
      <w:r>
        <w:t xml:space="preserve"> </w:t>
      </w:r>
      <w:hyperlink r:id="rId102">
        <w:r>
          <w:rPr>
            <w:i/>
            <w:rStyle w:val="Hyperlink"/>
          </w:rPr>
          <w:t xml:space="preserve">Cox</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(S.Ct. 1965)</w:t>
        </w:r>
      </w:hyperlink>
      <w:r>
        <w:t xml:space="preserve">.…</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77">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r>
          <w:rPr>
            <w:rStyle w:val="Hyperlink"/>
          </w:rPr>
          <w:t xml:space="preserve"> </w:t>
        </w:r>
        <w:r>
          <w:rPr>
            <w:rStyle w:val="Hyperlink"/>
          </w:rPr>
          <w:t xml:space="preserve">(6th Cir. 2012)</w:t>
        </w:r>
      </w:hyperlink>
      <w:r>
        <w:t xml:space="preserve">.</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`initiate the most heinous school shooting ever imagined’</w:t>
      </w:r>
      <w:r>
        <w:t xml:space="preserve">”</w:t>
      </w:r>
      <w:r>
        <w:t xml:space="preserve"> </w:t>
      </w:r>
      <w:r>
        <w:t xml:space="preserve">against</w:t>
      </w:r>
      <w:r>
        <w:t xml:space="preserve"> </w:t>
      </w:r>
      <w:r>
        <w:t xml:space="preserve">“</w:t>
      </w:r>
      <w:r>
        <w:t xml:space="preserve">`a Kindergarten class’</w:t>
      </w:r>
      <w:r>
        <w:t xml:space="preserve">”</w:t>
      </w:r>
      <w:r>
        <w:t xml:space="preserve"> </w:t>
      </w:r>
      <w:r>
        <w:t xml:space="preserve">cannot stand without proof of some</w:t>
      </w:r>
      <w:r>
        <w:t xml:space="preserve"> </w:t>
      </w:r>
      <w:r>
        <w:t xml:space="preserve">unspecified heightened mental state).…</w:t>
      </w:r>
    </w:p>
    <w:p>
      <w:pPr>
        <w:pStyle w:val="Heading2"/>
      </w:pPr>
      <w:bookmarkStart w:id="103" w:name="ii-3"/>
      <w:r>
        <w:t xml:space="preserve">II</w:t>
      </w:r>
      <w:bookmarkEnd w:id="103"/>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04" w:name="a-3"/>
      <w:r>
        <w:t xml:space="preserve">A</w:t>
      </w:r>
      <w:bookmarkEnd w:id="104"/>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46">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47">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1957)</w:t>
        </w:r>
      </w:hyperlink>
      <w:r>
        <w:t xml:space="preserve"> </w:t>
      </w:r>
      <w:r>
        <w:t xml:space="preserve">(engaging in a similar inquiry with respect to obscenity).…</w:t>
      </w:r>
    </w:p>
    <w:p>
      <w:pPr>
        <w:pStyle w:val="Heading2"/>
      </w:pPr>
      <w:bookmarkStart w:id="105" w:name="b-2"/>
      <w:r>
        <w:t xml:space="preserve">B</w:t>
      </w:r>
      <w:bookmarkEnd w:id="105"/>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93">
        <w:r>
          <w:rPr>
            <w:i/>
            <w:rStyle w:val="Hyperlink"/>
          </w:rPr>
          <w:t xml:space="preserve">Watts</w:t>
        </w:r>
      </w:hyperlink>
      <w:r>
        <w:t xml:space="preserve"> </w:t>
      </w:r>
      <w:r>
        <w:t xml:space="preserve">and</w:t>
      </w:r>
      <w:r>
        <w:t xml:space="preserve"> </w:t>
      </w:r>
      <w:hyperlink r:id="rId92">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`an intent to intimidate a person or group of persons,’</w:t>
      </w:r>
      <w:r>
        <w:t xml:space="preserve">”</w:t>
      </w:r>
      <w:r>
        <w:t xml:space="preserve"> </w:t>
      </w:r>
      <w:hyperlink r:id="rId92">
        <w:r>
          <w:rPr>
            <w:rStyle w:val="Hyperlink"/>
          </w:rPr>
          <w:t xml:space="preserve">538</w:t>
        </w:r>
        <w:r>
          <w:rPr>
            <w:rStyle w:val="Hyperlink"/>
          </w:rPr>
          <w:t xml:space="preserve"> </w:t>
        </w:r>
        <w:r>
          <w:rPr>
            <w:rStyle w:val="Hyperlink"/>
          </w:rPr>
          <w:t xml:space="preserve">U. S., at</w:t>
        </w:r>
        <w:r>
          <w:rPr>
            <w:rStyle w:val="Hyperlink"/>
          </w:rPr>
          <w:t xml:space="preserve"> </w:t>
        </w:r>
        <w:r>
          <w:rPr>
            <w:rStyle w:val="Hyperlink"/>
          </w:rPr>
          <w:t xml:space="preserve">347</w:t>
        </w:r>
      </w:hyperlink>
      <w:r>
        <w:t xml:space="preserve"> </w:t>
      </w:r>
      <w:r>
        <w:t xml:space="preserve">… 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r>
        <w:t xml:space="preserve"> </w:t>
      </w:r>
      <w:hyperlink r:id="rId106">
        <w:r>
          <w:rPr>
            <w:rStyle w:val="Hyperlink"/>
          </w:rPr>
          <w:t xml:space="preserve">538 U. S., at</w:t>
        </w:r>
        <w:r>
          <w:rPr>
            <w:rStyle w:val="Hyperlink"/>
          </w:rPr>
          <w:t xml:space="preserve"> </w:t>
        </w:r>
        <w:r>
          <w:rPr>
            <w:rStyle w:val="Hyperlink"/>
          </w:rPr>
          <w:t xml:space="preserve">347-348</w:t>
        </w:r>
      </w:hyperlink>
      <w:r>
        <w:t xml:space="preserve">.</w:t>
      </w:r>
      <w:r>
        <w:t xml:space="preserve"> </w:t>
      </w: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w:t>
      </w:r>
      <w:r>
        <w:t xml:space="preserve"> </w:t>
      </w:r>
      <w:r>
        <w:t xml:space="preserve">(</w:t>
      </w:r>
      <w:r>
        <w:t xml:space="preserve">“</w:t>
      </w:r>
      <w:r>
        <w:t xml:space="preserve">The provision will thus tend</w:t>
      </w:r>
      <w:r>
        <w:t xml:space="preserve"> </w:t>
      </w:r>
      <w:r>
        <w:t xml:space="preserve">to draw nonthreatening ideological expression within the ambit of the</w:t>
      </w:r>
      <w:r>
        <w:t xml:space="preserve"> </w:t>
      </w:r>
      <w:r>
        <w:t xml:space="preserve">prohibition of intimidating expression</w:t>
      </w:r>
      <w:r>
        <w:t xml:space="preserve">”</w:t>
      </w:r>
      <w:r>
        <w:t xml:space="preserve">). The objective standard for</w:t>
      </w:r>
      <w:r>
        <w:t xml:space="preserve"> </w:t>
      </w:r>
      <w:r>
        <w:t xml:space="preserve">threats under §875(c), however, helps to avoid this problem by</w:t>
      </w:r>
      <w:r>
        <w:t xml:space="preserve"> </w:t>
      </w:r>
      <w:r>
        <w:t xml:space="preserve">“</w:t>
      </w:r>
      <w:r>
        <w:t xml:space="preserve">forc[ing] jurors to examine the circumstances in which a statement is</w:t>
      </w:r>
      <w:r>
        <w:t xml:space="preserve"> </w:t>
      </w:r>
      <w:r>
        <w:t xml:space="preserve">made.</w:t>
      </w:r>
      <w:r>
        <w:t xml:space="preserve">”</w:t>
      </w:r>
      <w:r>
        <w:t xml:space="preserve"> </w:t>
      </w:r>
      <w:hyperlink r:id="rId77">
        <w:r>
          <w:rPr>
            <w:i/>
            <w:rStyle w:val="Hyperlink"/>
          </w:rPr>
          <w:t xml:space="preserve">Jeffries</w:t>
        </w:r>
      </w:hyperlink>
      <w:r>
        <w:t xml:space="preserve">.</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`fighting words,’ 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07">
        <w:r>
          <w:rPr>
            <w:i/>
            <w:rStyle w:val="Hyperlink"/>
          </w:rPr>
          <w:t xml:space="preserve">Cohen</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(S.Ct. 1971)</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08">
        <w:r>
          <w:rPr>
            <w:i/>
            <w:rStyle w:val="Hyperlink"/>
          </w:rPr>
          <w:t xml:space="preserve">Chaplinsky</w:t>
        </w:r>
        <w:r>
          <w:rPr>
            <w:rStyle w:val="Hyperlink"/>
          </w:rPr>
          <w:t xml:space="preserve"> </w:t>
        </w:r>
        <w:r>
          <w:rPr>
            <w:rStyle w:val="Hyperlink"/>
          </w:rPr>
          <w:t xml:space="preserve">v.</w:t>
        </w:r>
        <w:r>
          <w:rPr>
            <w:rStyle w:val="Hyperlink"/>
          </w:rPr>
          <w:t xml:space="preserve"> </w:t>
        </w:r>
        <w:r>
          <w:rPr>
            <w:i/>
            <w:rStyle w:val="Hyperlink"/>
          </w:rPr>
          <w:t xml:space="preserve">New Hampshire</w:t>
        </w:r>
        <w:r>
          <w:rPr>
            <w:rStyle w:val="Hyperlink"/>
          </w:rPr>
          <w:t xml:space="preserve"> </w:t>
        </w:r>
        <w:r>
          <w:rPr>
            <w:rStyle w:val="Hyperlink"/>
          </w:rPr>
          <w:t xml:space="preserve">(S.Ct. 1942)</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09">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r>
          <w:rPr>
            <w:rStyle w:val="Hyperlink"/>
          </w:rPr>
          <w:t xml:space="preserve"> </w:t>
        </w:r>
        <w:r>
          <w:rPr>
            <w:rStyle w:val="Hyperlink"/>
          </w:rPr>
          <w:t xml:space="preserve">(S.Ct. 1986)</w:t>
        </w:r>
      </w:hyperlink>
      <w:r>
        <w:t xml:space="preserve">.</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10" w:name="civil-liability-for-inciting-violence"/>
      <w:r>
        <w:t xml:space="preserve">Civil Liability For Inciting Violence?</w:t>
      </w:r>
      <w:bookmarkEnd w:id="110"/>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11">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12" w:name="davidson-v.-time-warner-inc."/>
      <w:r>
        <w:rPr>
          <w:i/>
        </w:rPr>
        <w:t xml:space="preserve">Davidson v. Time Warner, Inc.</w:t>
      </w:r>
      <w:bookmarkEnd w:id="112"/>
    </w:p>
    <w:p>
      <w:pPr>
        <w:pStyle w:val="Heading6"/>
      </w:pPr>
      <w:bookmarkStart w:id="113" w:name="us-district-court-s.d.-texas-1997"/>
      <w:r>
        <w:t xml:space="preserve">US District Court, S.D. Texas (1997)</w:t>
      </w:r>
      <w:bookmarkEnd w:id="113"/>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14">
        <w:r>
          <w:rPr>
            <w:rStyle w:val="Hyperlink"/>
          </w:rPr>
          <w:t xml:space="preserve">Hess v. Indiana (S.Ct. 1973)</w:t>
        </w:r>
      </w:hyperlink>
      <w:r>
        <w:t xml:space="preserve">.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15" w:name="james-v.-meow-media-inc"/>
      <w:r>
        <w:rPr>
          <w:i/>
        </w:rPr>
        <w:t xml:space="preserve">James v. Meow Media, Inc</w:t>
      </w:r>
      <w:bookmarkEnd w:id="115"/>
    </w:p>
    <w:p>
      <w:pPr>
        <w:pStyle w:val="Heading6"/>
      </w:pPr>
      <w:bookmarkStart w:id="116" w:name="sixth-circuit-court-of-appeals-2002"/>
      <w:r>
        <w:t xml:space="preserve">Sixth Circuit Court of Appeals (2002)</w:t>
      </w:r>
      <w:bookmarkEnd w:id="116"/>
    </w:p>
    <w:p>
      <w:pPr>
        <w:pStyle w:val="Compact"/>
        <w:numPr>
          <w:numId w:val="1003"/>
          <w:ilvl w:val="0"/>
        </w:numPr>
      </w:pPr>
      <w:hyperlink r:id="rId117">
        <w:r>
          <w:rPr>
            <w:rStyle w:val="Hyperlink"/>
          </w:rPr>
          <w:t xml:space="preserve">case at Google Scholar</w:t>
        </w:r>
      </w:hyperlink>
    </w:p>
    <w:p>
      <w:pPr>
        <w:pStyle w:val="Compact"/>
        <w:numPr>
          <w:numId w:val="1003"/>
          <w:ilvl w:val="0"/>
        </w:numPr>
      </w:pPr>
      <w:hyperlink r:id="rId118">
        <w:r>
          <w:rPr>
            <w:rStyle w:val="Hyperlink"/>
          </w:rPr>
          <w:t xml:space="preserve">how cited at Google Scholar</w:t>
        </w:r>
      </w:hyperlink>
    </w:p>
    <w:p>
      <w:pPr>
        <w:pStyle w:val="Compact"/>
        <w:numPr>
          <w:numId w:val="1003"/>
          <w:ilvl w:val="0"/>
        </w:numPr>
      </w:pPr>
      <w:hyperlink r:id="rId119">
        <w:r>
          <w:rPr>
            <w:rStyle w:val="Hyperlink"/>
          </w:rPr>
          <w:t xml:space="preserve">case at Westlaw</w:t>
        </w:r>
      </w:hyperlink>
    </w:p>
    <w:p>
      <w:pPr>
        <w:pStyle w:val="Compact"/>
        <w:numPr>
          <w:numId w:val="1003"/>
          <w:ilvl w:val="0"/>
        </w:numPr>
      </w:pPr>
      <w:hyperlink r:id="rId120">
        <w:r>
          <w:rPr>
            <w:rStyle w:val="Hyperlink"/>
          </w:rPr>
          <w:t xml:space="preserve">case at Wikipedia</w:t>
        </w:r>
      </w:hyperlink>
      <w:r>
        <w:t xml:space="preserve">.</w:t>
      </w:r>
    </w:p>
    <w:p>
      <w:pPr>
        <w:pStyle w:val="Heading3"/>
      </w:pPr>
      <w:bookmarkStart w:id="121" w:name="i-3"/>
      <w:r>
        <w:t xml:space="preserve">I</w:t>
      </w:r>
      <w:bookmarkEnd w:id="121"/>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22" w:name="iii-1"/>
      <w:r>
        <w:t xml:space="preserve">III</w:t>
      </w:r>
      <w:bookmarkEnd w:id="122"/>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23" w:name="a.-the-existence-of-a-duty-of-care"/>
      <w:r>
        <w:t xml:space="preserve">A. The Existence of a Duty of Care</w:t>
      </w:r>
      <w:bookmarkEnd w:id="123"/>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24">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25">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26">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27">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28" w:name="the-duty-to-protect-against-intentional-criminal-actions"/>
      <w:r>
        <w:t xml:space="preserve">1. The Duty to Protect Against Intentional Criminal Actions</w:t>
      </w:r>
      <w:bookmarkEnd w:id="128"/>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29">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30">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31">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32" w:name="first-amendment-problems"/>
      <w:r>
        <w:t xml:space="preserve">2. First Amendment Problems</w:t>
      </w:r>
      <w:bookmarkEnd w:id="132"/>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33">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34">
        <w:r>
          <w:rPr>
            <w:i/>
            <w:rStyle w:val="Hyperlink"/>
          </w:rPr>
          <w:t xml:space="preserve">Sable Communications v. FCC,</w:t>
        </w:r>
        <w:r>
          <w:rPr>
            <w:rStyle w:val="Hyperlink"/>
          </w:rPr>
          <w:t xml:space="preserve"> </w:t>
        </w:r>
        <w:r>
          <w:rPr>
            <w:rStyle w:val="Hyperlink"/>
          </w:rPr>
          <w:t xml:space="preserve">(S.Ct. 1989)</w:t>
        </w:r>
      </w:hyperlink>
      <w:r>
        <w:t xml:space="preserve">;</w:t>
      </w:r>
      <w:r>
        <w:t xml:space="preserve"> </w:t>
      </w:r>
      <w:hyperlink r:id="rId135">
        <w:r>
          <w:rPr>
            <w:i/>
            <w:rStyle w:val="Hyperlink"/>
          </w:rPr>
          <w:t xml:space="preserve">Connection Distrib. Co. v. Reno,</w:t>
        </w:r>
        <w:r>
          <w:rPr>
            <w:rStyle w:val="Hyperlink"/>
          </w:rPr>
          <w:t xml:space="preserve"> </w:t>
        </w:r>
        <w:r>
          <w:rPr>
            <w:rStyle w:val="Hyperlink"/>
          </w:rPr>
          <w:t xml:space="preserve">(6th Cir. 1998)</w:t>
        </w:r>
      </w:hyperlink>
      <w:r>
        <w:t xml:space="preserve">. 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36">
        <w:r>
          <w:rPr>
            <w:i/>
            <w:rStyle w:val="Hyperlink"/>
          </w:rPr>
          <w:t xml:space="preserve">Reno v. American Civil Liberties Union,</w:t>
        </w:r>
        <w:r>
          <w:rPr>
            <w:rStyle w:val="Hyperlink"/>
          </w:rPr>
          <w:t xml:space="preserve"> </w:t>
        </w:r>
        <w:r>
          <w:rPr>
            <w:rStyle w:val="Hyperlink"/>
          </w:rPr>
          <w:t xml:space="preserve">(S.Ct. 1997)</w:t>
        </w:r>
      </w:hyperlink>
      <w:r>
        <w:t xml:space="preserve">;</w:t>
      </w:r>
      <w:r>
        <w:t xml:space="preserve"> </w:t>
      </w:r>
      <w:hyperlink r:id="rId137">
        <w:r>
          <w:rPr>
            <w:i/>
            <w:rStyle w:val="Hyperlink"/>
          </w:rPr>
          <w:t xml:space="preserve">United States v. Playboy Entm’t Group, Inc.,</w:t>
        </w:r>
        <w:r>
          <w:rPr>
            <w:rStyle w:val="Hyperlink"/>
          </w:rPr>
          <w:t xml:space="preserve"> </w:t>
        </w:r>
        <w:r>
          <w:rPr>
            <w:rStyle w:val="Hyperlink"/>
          </w:rPr>
          <w:t xml:space="preserve">(S.Ct. 2000)</w:t>
        </w:r>
      </w:hyperlink>
      <w:r>
        <w:t xml:space="preserve">;</w:t>
      </w:r>
      <w:r>
        <w:t xml:space="preserve"> </w:t>
      </w:r>
      <w:hyperlink r:id="rId138">
        <w:r>
          <w:rPr>
            <w:i/>
            <w:rStyle w:val="Hyperlink"/>
          </w:rPr>
          <w:t xml:space="preserve">Connection Distrib.,</w:t>
        </w:r>
      </w:hyperlink>
      <w:r>
        <w:t xml:space="preserve">.</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39">
        <w:r>
          <w:rPr>
            <w:i/>
            <w:rStyle w:val="Hyperlink"/>
          </w:rPr>
          <w:t xml:space="preserve">Paris Adult Theatre I v. Slaton,</w:t>
        </w:r>
        <w:r>
          <w:rPr>
            <w:rStyle w:val="Hyperlink"/>
          </w:rPr>
          <w:t xml:space="preserve"> </w:t>
        </w:r>
        <w:r>
          <w:rPr>
            <w:rStyle w:val="Hyperlink"/>
          </w:rPr>
          <w:t xml:space="preserve">(S.Ct.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40">
        <w:r>
          <w:rPr>
            <w:i/>
            <w:rStyle w:val="Hyperlink"/>
          </w:rPr>
          <w:t xml:space="preserve">Miller v. California,</w:t>
        </w:r>
        <w:r>
          <w:rPr>
            <w:rStyle w:val="Hyperlink"/>
          </w:rPr>
          <w:t xml:space="preserve"> </w:t>
        </w:r>
        <w:r>
          <w:rPr>
            <w:rStyle w:val="Hyperlink"/>
          </w:rPr>
          <w:t xml:space="preserve">(S.Ct. 1973)</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41">
        <w:r>
          <w:rPr>
            <w:i/>
            <w:rStyle w:val="Hyperlink"/>
          </w:rPr>
          <w:t xml:space="preserve">United States v. Thoma,</w:t>
        </w:r>
        <w:r>
          <w:rPr>
            <w:rStyle w:val="Hyperlink"/>
          </w:rPr>
          <w:t xml:space="preserve"> </w:t>
        </w:r>
        <w:r>
          <w:rPr>
            <w:rStyle w:val="Hyperlink"/>
          </w:rPr>
          <w:t xml:space="preserve">(7th Cir. 1984)</w:t>
        </w:r>
      </w:hyperlink>
      <w:r>
        <w:t xml:space="preserve"> </w:t>
      </w:r>
      <w:r>
        <w:t xml:space="preserve">(holding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55">
        <w:r>
          <w:rPr>
            <w:i/>
            <w:rStyle w:val="Hyperlink"/>
          </w:rPr>
          <w:t xml:space="preserve">American Amusement Mach. Ass’n v. Kendrick,</w:t>
        </w:r>
        <w:r>
          <w:rPr>
            <w:rStyle w:val="Hyperlink"/>
          </w:rPr>
          <w:t xml:space="preserve"> </w:t>
        </w:r>
        <w:r>
          <w:rPr>
            <w:rStyle w:val="Hyperlink"/>
          </w:rPr>
          <w:t xml:space="preserve">(7th Cir. 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46">
        <w:r>
          <w:rPr>
            <w:i/>
            <w:rStyle w:val="Hyperlink"/>
          </w:rPr>
          <w:t xml:space="preserve">R.A.V. v. City of St. Paul,</w:t>
        </w:r>
        <w:r>
          <w:rPr>
            <w:rStyle w:val="Hyperlink"/>
          </w:rPr>
          <w:t xml:space="preserve"> </w:t>
        </w:r>
        <w:r>
          <w:rPr>
            <w:rStyle w:val="Hyperlink"/>
          </w:rPr>
          <w:t xml:space="preserve">(S.Ct. 1992)</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48">
        <w:r>
          <w:rPr>
            <w:i/>
            <w:rStyle w:val="Hyperlink"/>
          </w:rPr>
          <w:t xml:space="preserve">Brandenburg v. Ohio,</w:t>
        </w:r>
        <w:r>
          <w:rPr>
            <w:rStyle w:val="Hyperlink"/>
          </w:rPr>
          <w:t xml:space="preserve"> </w:t>
        </w:r>
        <w:r>
          <w:rPr>
            <w:rStyle w:val="Hyperlink"/>
          </w:rPr>
          <w:t xml:space="preserve">(S.Ct. 1969)</w:t>
        </w:r>
      </w:hyperlink>
      <w:r>
        <w:t xml:space="preserve">.</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42">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43">
        <w:r>
          <w:rPr>
            <w:i/>
            <w:rStyle w:val="Hyperlink"/>
          </w:rPr>
          <w:t xml:space="preserve">Ashcroft v. Free Speech Coalition,</w:t>
        </w:r>
      </w:hyperlink>
      <w:r>
        <w:t xml:space="preserve"> </w:t>
      </w:r>
      <w:r>
        <w:t xml:space="preserve">(</w:t>
      </w:r>
      <w:r>
        <w:t xml:space="preserve">“</w:t>
      </w:r>
      <w:r>
        <w:t xml:space="preserve">The mere tendency of speech to encourage unlawful acts is not a sufficient reason for banning it absent some showing of a direct</w:t>
      </w:r>
      <w:r>
        <w:t xml:space="preserve"> </w:t>
      </w:r>
      <w:r>
        <w:t xml:space="preserve">connection between the speech and imminent illegal conduct.</w:t>
      </w:r>
      <w:r>
        <w:t xml:space="preserve">”</w:t>
      </w:r>
      <w:r>
        <w:t xml:space="preserve">);</w:t>
      </w:r>
      <w:r>
        <w:t xml:space="preserve"> </w:t>
      </w:r>
      <w:hyperlink r:id="rId144">
        <w:r>
          <w:rPr>
            <w:i/>
            <w:rStyle w:val="Hyperlink"/>
          </w:rPr>
          <w:t xml:space="preserve">McCoy v. Stewart,</w:t>
        </w:r>
        <w:r>
          <w:rPr>
            <w:rStyle w:val="Hyperlink"/>
          </w:rPr>
          <w:t xml:space="preserve"> </w:t>
        </w:r>
        <w:r>
          <w:rPr>
            <w:rStyle w:val="Hyperlink"/>
          </w:rPr>
          <w:t xml:space="preserve">(9th Cir. 2002)</w:t>
        </w:r>
      </w:hyperlink>
      <w:r>
        <w:t xml:space="preserve"> </w:t>
      </w:r>
      <w:r>
        <w:t xml:space="preserve">(holding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45">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46">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47" w:name="iv"/>
      <w:r>
        <w:t xml:space="preserve">IV</w:t>
      </w:r>
      <w:bookmarkEnd w:id="147"/>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48">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49">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27">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50">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t xml:space="preserve">[</w:t>
      </w:r>
      <w:r>
        <w:rPr>
          <w:i/>
        </w:rPr>
        <w:t xml:space="preserve">See, e.g.,</w:t>
      </w:r>
      <w:r>
        <w:t xml:space="preserve"> </w:t>
      </w:r>
      <w:hyperlink r:id="rId151">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52">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53" w:name="v"/>
      <w:r>
        <w:t xml:space="preserve">V</w:t>
      </w:r>
      <w:bookmarkEnd w:id="153"/>
    </w:p>
    <w:p>
      <w:pPr>
        <w:pStyle w:val="FirstParagraph"/>
      </w:pPr>
      <w:r>
        <w:t xml:space="preserve">For all the foregoing reasons, we AFFIRM the district court’s dismissal</w:t>
      </w:r>
      <w:r>
        <w:t xml:space="preserve"> </w:t>
      </w:r>
      <w:r>
        <w:t xml:space="preserve">of all James’s claims.</w:t>
      </w:r>
    </w:p>
    <w:p>
      <w:pPr>
        <w:pStyle w:val="Heading2"/>
      </w:pPr>
      <w:bookmarkStart w:id="154" w:name="herceg-v.-hustler-magazine-inc."/>
      <w:r>
        <w:rPr>
          <w:i/>
        </w:rPr>
        <w:t xml:space="preserve">Herceg v. Hustler Magazine, Inc.</w:t>
      </w:r>
      <w:bookmarkEnd w:id="154"/>
    </w:p>
    <w:p>
      <w:pPr>
        <w:pStyle w:val="Heading6"/>
      </w:pPr>
      <w:bookmarkStart w:id="155" w:name="fifth-circuit-court-of-appeals-1987"/>
      <w:r>
        <w:t xml:space="preserve">Fifth Circuit Court of Appeals (1987)</w:t>
      </w:r>
      <w:bookmarkEnd w:id="155"/>
    </w:p>
    <w:p>
      <w:pPr>
        <w:pStyle w:val="Compact"/>
        <w:numPr>
          <w:numId w:val="1004"/>
          <w:ilvl w:val="0"/>
        </w:numPr>
      </w:pPr>
      <w:hyperlink r:id="rId146">
        <w:r>
          <w:rPr>
            <w:rStyle w:val="Hyperlink"/>
          </w:rPr>
          <w:t xml:space="preserve">case at Google Scholar</w:t>
        </w:r>
      </w:hyperlink>
    </w:p>
    <w:p>
      <w:pPr>
        <w:pStyle w:val="Compact"/>
        <w:numPr>
          <w:numId w:val="1004"/>
          <w:ilvl w:val="0"/>
        </w:numPr>
      </w:pPr>
      <w:hyperlink r:id="rId156">
        <w:r>
          <w:rPr>
            <w:rStyle w:val="Hyperlink"/>
          </w:rPr>
          <w:t xml:space="preserve">case at Westlaw</w:t>
        </w:r>
      </w:hyperlink>
    </w:p>
    <w:p>
      <w:pPr>
        <w:pStyle w:val="Compact"/>
        <w:numPr>
          <w:numId w:val="1004"/>
          <w:ilvl w:val="0"/>
        </w:numPr>
      </w:pPr>
      <w:hyperlink r:id="rId23">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57" w:name="incitement"/>
      <w:r>
        <w:t xml:space="preserve">Incitement</w:t>
      </w:r>
      <w:bookmarkEnd w:id="157"/>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48">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5"/>
          <w:ilvl w:val="0"/>
        </w:numPr>
      </w:pPr>
      <w:r>
        <w:t xml:space="preserve">Autoerotic asphyxiation is a lawless act.</w:t>
      </w:r>
    </w:p>
    <w:p>
      <w:pPr>
        <w:pStyle w:val="Compact"/>
        <w:numPr>
          <w:numId w:val="1005"/>
          <w:ilvl w:val="0"/>
        </w:numPr>
      </w:pPr>
      <w:r>
        <w:t xml:space="preserve">Hustler advocated this act.</w:t>
      </w:r>
    </w:p>
    <w:p>
      <w:pPr>
        <w:pStyle w:val="Compact"/>
        <w:numPr>
          <w:numId w:val="1005"/>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5"/>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58" w:name="civil-liability"/>
      <w:r>
        <w:t xml:space="preserve">Civil Liability?</w:t>
      </w:r>
      <w:bookmarkEnd w:id="158"/>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59">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60" w:name="concurrence-dissent"/>
      <w:r>
        <w:t xml:space="preserve">Concurrence &amp; Dissent</w:t>
      </w:r>
      <w:bookmarkEnd w:id="160"/>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61" w:name="i."/>
      <w:r>
        <w:t xml:space="preserve">I.</w:t>
      </w:r>
      <w:bookmarkEnd w:id="161"/>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62" w:name="ii."/>
      <w:r>
        <w:t xml:space="preserve">II.</w:t>
      </w:r>
      <w:bookmarkEnd w:id="162"/>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63">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64">
        <w:r>
          <w:rPr>
            <w:i/>
            <w:rStyle w:val="Hyperlink"/>
          </w:rPr>
          <w:t xml:space="preserve">Chaplinsky v. New Hampshire,</w:t>
        </w:r>
        <w:r>
          <w:rPr>
            <w:rStyle w:val="Hyperlink"/>
          </w:rPr>
          <w:t xml:space="preserve"> </w:t>
        </w:r>
        <w:r>
          <w:rPr>
            <w:rStyle w:val="Hyperlink"/>
          </w:rPr>
          <w:t xml:space="preserve">(S.Ct. 1942)</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65">
        <w:r>
          <w:rPr>
            <w:i/>
            <w:rStyle w:val="Hyperlink"/>
          </w:rPr>
          <w:t xml:space="preserve">New York v. Ferber,</w:t>
        </w:r>
        <w:r>
          <w:rPr>
            <w:rStyle w:val="Hyperlink"/>
          </w:rPr>
          <w:t xml:space="preserve"> </w:t>
        </w:r>
        <w:r>
          <w:rPr>
            <w:rStyle w:val="Hyperlink"/>
          </w:rPr>
          <w:t xml:space="preserve">(S.Ct. 1982)</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 `safeguarding the physical and psychological</w:t>
      </w:r>
      <w:r>
        <w:t xml:space="preserve"> </w:t>
      </w:r>
      <w:r>
        <w:t xml:space="preserve">wellbeing of a minor’ is `compelling’.</w:t>
      </w:r>
      <w:r>
        <w:t xml:space="preserve">”</w:t>
      </w:r>
      <w:r>
        <w:t xml:space="preserve"> </w:t>
      </w:r>
      <w:hyperlink r:id="rId165">
        <w:r>
          <w:rPr>
            <w:i/>
            <w:rStyle w:val="Hyperlink"/>
          </w:rPr>
          <w:t xml:space="preserve">Ferber</w:t>
        </w:r>
      </w:hyperlink>
      <w:r>
        <w:t xml:space="preserve"> </w:t>
      </w:r>
      <w:r>
        <w:t xml:space="preserve">(quoting</w:t>
      </w:r>
      <w:r>
        <w:t xml:space="preserve"> </w:t>
      </w:r>
      <w:hyperlink r:id="rId166">
        <w:r>
          <w:rPr>
            <w:i/>
            <w:rStyle w:val="Hyperlink"/>
          </w:rPr>
          <w:t xml:space="preserve">Globe Newspaper Co. v. Superior Court,</w:t>
        </w:r>
        <w:r>
          <w:rPr>
            <w:rStyle w:val="Hyperlink"/>
          </w:rPr>
          <w:t xml:space="preserve"> </w:t>
        </w:r>
        <w:r>
          <w:rPr>
            <w:rStyle w:val="Hyperlink"/>
          </w:rPr>
          <w:t xml:space="preserve">(S.Ct. 1982)</w:t>
        </w:r>
      </w:hyperlink>
      <w:r>
        <w:t xml:space="preserve">).</w:t>
      </w:r>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67">
        <w:r>
          <w:rPr>
            <w:i/>
            <w:rStyle w:val="Hyperlink"/>
          </w:rPr>
          <w:t xml:space="preserve">F.C.C. v. Pacifica Foundation,</w:t>
        </w:r>
        <w:r>
          <w:rPr>
            <w:rStyle w:val="Hyperlink"/>
          </w:rPr>
          <w:t xml:space="preserve"> </w:t>
        </w:r>
        <w:r>
          <w:rPr>
            <w:rStyle w:val="Hyperlink"/>
          </w:rPr>
          <w:t xml:space="preserve">(S.Ct. 1978)</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68">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 best articulated in</w:t>
      </w:r>
      <w:r>
        <w:t xml:space="preserve"> </w:t>
      </w:r>
      <w:hyperlink r:id="rId169">
        <w:r>
          <w:rPr>
            <w:i/>
            <w:rStyle w:val="Hyperlink"/>
          </w:rPr>
          <w:t xml:space="preserve">Connick v. Myers,</w:t>
        </w:r>
        <w:r>
          <w:rPr>
            <w:rStyle w:val="Hyperlink"/>
          </w:rPr>
          <w:t xml:space="preserve"> </w:t>
        </w:r>
        <w:r>
          <w:rPr>
            <w:rStyle w:val="Hyperlink"/>
          </w:rPr>
          <w:t xml:space="preserve">(S.Ct. 1983),</w:t>
        </w:r>
      </w:hyperlink>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68">
        <w:r>
          <w:rPr>
            <w:i/>
            <w:rStyle w:val="Hyperlink"/>
          </w:rPr>
          <w:t xml:space="preserve">Dun &amp; Bradstreet</w:t>
        </w:r>
      </w:hyperlink>
      <w:r>
        <w:t xml:space="preserve"> </w:t>
      </w:r>
      <w:r>
        <w:t xml:space="preserve">quoting</w:t>
      </w:r>
      <w:r>
        <w:t xml:space="preserve"> </w:t>
      </w:r>
      <w:hyperlink r:id="rId170">
        <w:r>
          <w:rPr>
            <w:i/>
            <w:rStyle w:val="Hyperlink"/>
          </w:rPr>
          <w:t xml:space="preserve">New York</w:t>
        </w:r>
        <w:r>
          <w:rPr>
            <w:i/>
            <w:rStyle w:val="Hyperlink"/>
          </w:rPr>
          <w:t xml:space="preserve"> </w:t>
        </w:r>
        <w:r>
          <w:rPr>
            <w:i/>
            <w:rStyle w:val="Hyperlink"/>
          </w:rPr>
          <w:t xml:space="preserve">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63">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71">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72">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73" w:name="iii."/>
      <w:r>
        <w:t xml:space="preserve">III.</w:t>
      </w:r>
      <w:bookmarkEnd w:id="173"/>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72">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174" w:name="note-on-weirum-v.-rko"/>
      <w:r>
        <w:t xml:space="preserve">Note on</w:t>
      </w:r>
      <w:r>
        <w:t xml:space="preserve"> </w:t>
      </w:r>
      <w:r>
        <w:rPr>
          <w:i/>
        </w:rPr>
        <w:t xml:space="preserve">Weirum v. RKO</w:t>
      </w:r>
      <w:bookmarkEnd w:id="174"/>
    </w:p>
    <w:p>
      <w:pPr>
        <w:pStyle w:val="FirstParagraph"/>
      </w:pPr>
      <w:r>
        <w:t xml:space="preserve">In</w:t>
      </w:r>
      <w:r>
        <w:t xml:space="preserve"> </w:t>
      </w:r>
      <w:hyperlink r:id="rId175">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76">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177" w:name="note-on-rice-v.-paladin"/>
      <w:r>
        <w:t xml:space="preserve">Note on</w:t>
      </w:r>
      <w:r>
        <w:t xml:space="preserve"> </w:t>
      </w:r>
      <w:r>
        <w:rPr>
          <w:i/>
        </w:rPr>
        <w:t xml:space="preserve">Rice v. Paladin,</w:t>
      </w:r>
      <w:bookmarkEnd w:id="177"/>
    </w:p>
    <w:p>
      <w:pPr>
        <w:pStyle w:val="Heading6"/>
      </w:pPr>
      <w:bookmarkStart w:id="178" w:name="fourth-circuit-1997"/>
      <w:r>
        <w:t xml:space="preserve">Fourth Circuit (1997)</w:t>
      </w:r>
      <w:bookmarkEnd w:id="178"/>
    </w:p>
    <w:p>
      <w:pPr>
        <w:pStyle w:val="Compact"/>
        <w:numPr>
          <w:numId w:val="1006"/>
          <w:ilvl w:val="0"/>
        </w:numPr>
      </w:pPr>
      <w:hyperlink r:id="rId179">
        <w:r>
          <w:rPr>
            <w:rStyle w:val="Hyperlink"/>
          </w:rPr>
          <w:t xml:space="preserve">Reason Magazine: The Day They Came To Sue The Book</w:t>
        </w:r>
      </w:hyperlink>
    </w:p>
    <w:p>
      <w:pPr>
        <w:pStyle w:val="Compact"/>
        <w:numPr>
          <w:numId w:val="1006"/>
          <w:ilvl w:val="0"/>
        </w:numPr>
      </w:pPr>
      <w:hyperlink r:id="rId180">
        <w:r>
          <w:rPr>
            <w:rStyle w:val="Hyperlink"/>
          </w:rPr>
          <w:t xml:space="preserve">Case at Google Scholar</w:t>
        </w:r>
      </w:hyperlink>
    </w:p>
    <w:p>
      <w:pPr>
        <w:pStyle w:val="Compact"/>
        <w:numPr>
          <w:numId w:val="1006"/>
          <w:ilvl w:val="0"/>
        </w:numPr>
      </w:pPr>
      <w:hyperlink r:id="rId181">
        <w:r>
          <w:rPr>
            <w:rStyle w:val="Hyperlink"/>
          </w:rPr>
          <w:t xml:space="preserve">Case at Westlaw</w:t>
        </w:r>
      </w:hyperlink>
      <w:r>
        <w:t xml:space="preserve">.</w:t>
      </w:r>
    </w:p>
    <w:p>
      <w:pPr>
        <w:pStyle w:val="Compact"/>
        <w:numPr>
          <w:numId w:val="1006"/>
          <w:ilvl w:val="0"/>
        </w:numPr>
      </w:pPr>
      <w:hyperlink r:id="rId182">
        <w:r>
          <w:rPr>
            <w:rStyle w:val="Hyperlink"/>
          </w:rPr>
          <w:t xml:space="preserve">Case at Wikipedia</w:t>
        </w:r>
      </w:hyperlink>
      <w:r>
        <w:t xml:space="preserve">.</w:t>
      </w:r>
    </w:p>
    <w:p>
      <w:pPr>
        <w:pStyle w:val="Compact"/>
        <w:numPr>
          <w:numId w:val="1006"/>
          <w:ilvl w:val="0"/>
        </w:numPr>
      </w:pPr>
      <w:hyperlink r:id="rId183">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84" w:name="referenced-cases"/>
      <w:r>
        <w:t xml:space="preserve">Referenced Cases</w:t>
      </w:r>
      <w:bookmarkEnd w:id="184"/>
    </w:p>
    <w:p>
      <w:pPr>
        <w:pStyle w:val="Compact"/>
        <w:numPr>
          <w:numId w:val="1007"/>
          <w:ilvl w:val="0"/>
        </w:numPr>
      </w:pPr>
      <w:hyperlink r:id="rId185">
        <w:r>
          <w:rPr>
            <w:i/>
            <w:rStyle w:val="Hyperlink"/>
          </w:rPr>
          <w:t xml:space="preserve">U.S. v. Stevens</w:t>
        </w:r>
      </w:hyperlink>
      <w:r>
        <w:t xml:space="preserve">, 130 S.Ct. 1577 (2010).</w:t>
      </w:r>
      <w:r>
        <w:t xml:space="preserve"> </w:t>
      </w:r>
      <w:hyperlink r:id="rId25">
        <w:r>
          <w:rPr>
            <w:rStyle w:val="Hyperlink"/>
          </w:rPr>
          <w:t xml:space="preserve">Wikipedia</w:t>
        </w:r>
      </w:hyperlink>
      <w:r>
        <w:t xml:space="preserve">.</w:t>
      </w:r>
    </w:p>
    <w:p>
      <w:pPr>
        <w:pStyle w:val="Compact"/>
        <w:numPr>
          <w:numId w:val="1007"/>
          <w:ilvl w:val="0"/>
        </w:numPr>
      </w:pPr>
      <w:hyperlink r:id="rId186">
        <w:r>
          <w:rPr>
            <w:i/>
            <w:rStyle w:val="Hyperlink"/>
          </w:rPr>
          <w:t xml:space="preserve">Weirum v. RKO</w:t>
        </w:r>
      </w:hyperlink>
      <w:r>
        <w:t xml:space="preserve">, 539 P.2d 36 (1975).</w:t>
      </w:r>
      <w:r>
        <w:t xml:space="preserve"> </w:t>
      </w:r>
      <w:hyperlink r:id="rId187">
        <w:r>
          <w:rPr>
            <w:rStyle w:val="Hyperlink"/>
          </w:rPr>
          <w:t xml:space="preserve">Wikipedia</w:t>
        </w:r>
      </w:hyperlink>
      <w:r>
        <w:t xml:space="preserve">.</w:t>
      </w:r>
    </w:p>
    <w:p>
      <w:pPr>
        <w:pStyle w:val="Compact"/>
        <w:numPr>
          <w:numId w:val="1007"/>
          <w:ilvl w:val="0"/>
        </w:numPr>
      </w:pPr>
      <w:hyperlink r:id="rId188">
        <w:r>
          <w:rPr>
            <w:i/>
            <w:rStyle w:val="Hyperlink"/>
          </w:rPr>
          <w:t xml:space="preserve">Byers v. Edmundson</w:t>
        </w:r>
      </w:hyperlink>
      <w:r>
        <w:t xml:space="preserve">, 826 So.2d 551 (1st Cir. 2002).</w:t>
      </w:r>
      <w:r>
        <w:t xml:space="preserve"> </w:t>
      </w:r>
      <w:hyperlink r:id="rId24">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7"/>
          <w:ilvl w:val="0"/>
        </w:numPr>
      </w:pPr>
      <w:hyperlink r:id="rId189">
        <w:r>
          <w:rPr>
            <w:i/>
            <w:rStyle w:val="Hyperlink"/>
          </w:rPr>
          <w:t xml:space="preserve">Davidson v. Time Warner,</w:t>
        </w:r>
      </w:hyperlink>
      <w:r>
        <w:t xml:space="preserve"> </w:t>
      </w:r>
      <w:r>
        <w:t xml:space="preserve">1997 WL 405907 (S.D.Tx 1997).</w:t>
      </w:r>
      <w:r>
        <w:t xml:space="preserve"> </w:t>
      </w:r>
      <w:hyperlink r:id="rId190">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7"/>
          <w:ilvl w:val="0"/>
        </w:numPr>
      </w:pPr>
      <w:hyperlink r:id="rId191">
        <w:r>
          <w:rPr>
            <w:i/>
            <w:rStyle w:val="Hyperlink"/>
          </w:rPr>
          <w:t xml:space="preserve">Miramax Films v. MPAA</w:t>
        </w:r>
      </w:hyperlink>
      <w:r>
        <w:t xml:space="preserve">, 560 N.Y.S.2d 730 (1990).</w:t>
      </w:r>
    </w:p>
    <w:p>
      <w:pPr>
        <w:pStyle w:val="Compact"/>
        <w:numPr>
          <w:numId w:val="1007"/>
          <w:ilvl w:val="0"/>
        </w:numPr>
      </w:pPr>
      <w:r>
        <w:t xml:space="preserve">Trailer for</w:t>
      </w:r>
      <w:r>
        <w:t xml:space="preserve"> </w:t>
      </w:r>
      <w:hyperlink r:id="rId192">
        <w:r>
          <w:rPr>
            <w:i/>
            <w:rStyle w:val="Hyperlink"/>
          </w:rPr>
          <w:t xml:space="preserve">This Film Is Not Yet Rated</w:t>
        </w:r>
      </w:hyperlink>
      <w:r>
        <w:t xml:space="preserve">.</w:t>
      </w:r>
    </w:p>
    <w:p>
      <w:pPr>
        <w:pStyle w:val="Heading3"/>
      </w:pPr>
      <w:bookmarkStart w:id="193" w:name="recommended"/>
      <w:r>
        <w:t xml:space="preserve">Recommended</w:t>
      </w:r>
      <w:bookmarkEnd w:id="193"/>
    </w:p>
    <w:p>
      <w:pPr>
        <w:pStyle w:val="Compact"/>
        <w:numPr>
          <w:numId w:val="1008"/>
          <w:ilvl w:val="0"/>
        </w:numPr>
      </w:pPr>
      <w:hyperlink r:id="rId194">
        <w:r>
          <w:rPr>
            <w:i/>
            <w:rStyle w:val="Hyperlink"/>
          </w:rPr>
          <w:t xml:space="preserve">The People v. Larry Flynt</w:t>
        </w:r>
      </w:hyperlink>
      <w:r>
        <w:t xml:space="preserve">.</w:t>
      </w:r>
    </w:p>
    <w:p>
      <w:pPr>
        <w:pStyle w:val="Compact"/>
        <w:numPr>
          <w:numId w:val="1008"/>
          <w:ilvl w:val="0"/>
        </w:numPr>
      </w:pPr>
      <w:r>
        <w:t xml:space="preserve">[An eighth-grade teacher who writes fiction under a nom de plume is ordered to undergo an</w:t>
      </w:r>
      <w:r>
        <w:t xml:space="preserve"> </w:t>
      </w:r>
      <w:r>
        <w:t xml:space="preserve">“</w:t>
      </w:r>
      <w:r>
        <w:t xml:space="preserve">emergency medical evaluation</w:t>
      </w:r>
      <w:r>
        <w:t xml:space="preserve">”</w:t>
      </w:r>
      <w:r>
        <w:t xml:space="preserve"> </w:t>
      </w:r>
      <w:r>
        <w:t xml:space="preserve">for his novel about a school shooting“](http://www.theatlantic.com/national/archive/2014/09/in-cambridge-md-a-soviet-style-punishment-for-a-novelist/379431/).</w:t>
      </w:r>
    </w:p>
    <w:p>
      <w:pPr>
        <w:pStyle w:val="Compact"/>
        <w:numPr>
          <w:numId w:val="1008"/>
          <w:ilvl w:val="0"/>
        </w:numPr>
      </w:pPr>
      <w:r>
        <w:t xml:space="preserve">Trailer for</w:t>
      </w:r>
      <w:r>
        <w:t xml:space="preserve"> </w:t>
      </w:r>
      <w:hyperlink r:id="rId192">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137db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c95b6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1188a2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en.wikipedia.org/wiki/Brown_v._Entertainment_Merchants_Association" TargetMode="External" /><Relationship Type="http://schemas.openxmlformats.org/officeDocument/2006/relationships/hyperlink" Id="rId111" Target="http://en.wikipedia.org/wiki/Columbine_High_School_massacre#Video_games" TargetMode="External" /><Relationship Type="http://schemas.openxmlformats.org/officeDocument/2006/relationships/hyperlink" Id="rId23" Target="http://en.wikipedia.org/wiki/Erotic_asphyxiation" TargetMode="External" /><Relationship Type="http://schemas.openxmlformats.org/officeDocument/2006/relationships/hyperlink" Id="rId120" Target="http://en.wikipedia.org/wiki/Heath_High_School_shooting" TargetMode="External" /><Relationship Type="http://schemas.openxmlformats.org/officeDocument/2006/relationships/hyperlink" Id="rId182" Target="http://en.wikipedia.org/wiki/Hit_Man:_A_Technical_Manual_for_Independent_Contractors" TargetMode="External" /><Relationship Type="http://schemas.openxmlformats.org/officeDocument/2006/relationships/hyperlink" Id="rId27" Target="http://en.wikipedia.org/wiki/Miller_test" TargetMode="External" /><Relationship Type="http://schemas.openxmlformats.org/officeDocument/2006/relationships/hyperlink" Id="rId187" Target="http://en.wikipedia.org/wiki/RKO_General#Notable_Legal_Case" TargetMode="External" /><Relationship Type="http://schemas.openxmlformats.org/officeDocument/2006/relationships/hyperlink" Id="rId194" Target="http://en.wikipedia.org/wiki/The_People_vs._Larry_Flynt" TargetMode="External" /><Relationship Type="http://schemas.openxmlformats.org/officeDocument/2006/relationships/hyperlink" Id="rId25" Target="http://en.wikipedia.org/wiki/United_States_v._Stevens" TargetMode="External" /><Relationship Type="http://schemas.openxmlformats.org/officeDocument/2006/relationships/hyperlink" Id="rId181" Target="http://lawschool.westlaw.com/shared/westlawRedirect.aspx?task=find&amp;cite=128f3d233&amp;appflag=67.12" TargetMode="External" /><Relationship Type="http://schemas.openxmlformats.org/officeDocument/2006/relationships/hyperlink" Id="rId185"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67" Target="http://lawschool.westlaw.com/shared/westlawRedirect.aspx?task=find&amp;cite=135+S.Ct.+2001&amp;appflag=67.12" TargetMode="External" /><Relationship Type="http://schemas.openxmlformats.org/officeDocument/2006/relationships/hyperlink" Id="rId189" Target="http://lawschool.westlaw.com/shared/westlawRedirect.aspx?task=find&amp;cite=1997+WL+405907&amp;appflag=67.12" TargetMode="External" /><Relationship Type="http://schemas.openxmlformats.org/officeDocument/2006/relationships/hyperlink" Id="rId119" Target="http://lawschool.westlaw.com/shared/westlawRedirect.aspx?task=find&amp;cite=300f3d683&amp;appflag=67.12" TargetMode="External" /><Relationship Type="http://schemas.openxmlformats.org/officeDocument/2006/relationships/hyperlink" Id="rId186" Target="http://lawschool.westlaw.com/shared/westlawRedirect.aspx?task=find&amp;cite=539+P.2d+36&amp;appflag=67.12" TargetMode="External" /><Relationship Type="http://schemas.openxmlformats.org/officeDocument/2006/relationships/hyperlink" Id="rId191" Target="http://lawschool.westlaw.com/shared/westlawRedirect.aspx?task=find&amp;cite=560nys2d730&amp;appflag=67.12" TargetMode="External" /><Relationship Type="http://schemas.openxmlformats.org/officeDocument/2006/relationships/hyperlink" Id="rId156" Target="http://lawschool.westlaw.com/shared/westlawRedirect.aspx?task=find&amp;cite=814f2d1017&amp;appflag=67.12" TargetMode="External" /><Relationship Type="http://schemas.openxmlformats.org/officeDocument/2006/relationships/hyperlink" Id="rId188" Target="http://lawschool.westlaw.com/shared/westlawRedirect.aspx?task=find&amp;cite=826+So.2d+551&amp;appflag=67.12" TargetMode="External" /><Relationship Type="http://schemas.openxmlformats.org/officeDocument/2006/relationships/hyperlink" Id="rId179" Target="http://reason.com/archives/1999/08/01/the-day-they-came-to-sue-the-b" TargetMode="External" /><Relationship Type="http://schemas.openxmlformats.org/officeDocument/2006/relationships/hyperlink" Id="rId131" Target="http://scholar.google.com/scholar_case?about=13723756947186741433&amp;q=james+meow&amp;hl=en&amp;as_sdt=6,28&amp;scilh=0" TargetMode="External" /><Relationship Type="http://schemas.openxmlformats.org/officeDocument/2006/relationships/hyperlink" Id="rId129" Target="http://scholar.google.com/scholar_case?about=15516340448157145729&amp;q=james+meow&amp;hl=en&amp;as_sdt=6,28&amp;scilh=0" TargetMode="External" /><Relationship Type="http://schemas.openxmlformats.org/officeDocument/2006/relationships/hyperlink" Id="rId118" Target="http://scholar.google.com/scholar_case?about=2909369074319697416" TargetMode="External" /><Relationship Type="http://schemas.openxmlformats.org/officeDocument/2006/relationships/hyperlink" Id="rId124" Target="http://scholar.google.com/scholar_case?about=8468647111215907111&amp;q=james+meow&amp;hl=en&amp;as_sdt=6,28&amp;scilh=0" TargetMode="External" /><Relationship Type="http://schemas.openxmlformats.org/officeDocument/2006/relationships/hyperlink" Id="rId159" Target="http://scholar.google.com/scholar_case?case=10183527771703896207" TargetMode="External" /><Relationship Type="http://schemas.openxmlformats.org/officeDocument/2006/relationships/hyperlink" Id="rId96" Target="http://scholar.google.com/scholar_case?case=10183527771703896207&amp;q=elonis&amp;hl=en&amp;as_sdt=6,28" TargetMode="External" /><Relationship Type="http://schemas.openxmlformats.org/officeDocument/2006/relationships/hyperlink" Id="rId170" Target="http://scholar.google.com/scholar_case?case=10183527771703896207&amp;q=herceg+hustler&amp;hl=en&amp;as_sdt=6,28&amp;scilh=0" TargetMode="External" /><Relationship Type="http://schemas.openxmlformats.org/officeDocument/2006/relationships/hyperlink" Id="rId133" Target="http://scholar.google.com/scholar_case?case=10183527771703896207&amp;q=james+meow&amp;hl=en&amp;as_sdt=6,28&amp;scilh=0" TargetMode="External" /><Relationship Type="http://schemas.openxmlformats.org/officeDocument/2006/relationships/hyperlink" Id="rId127" Target="http://scholar.google.com/scholar_case?case=10196421278862987651" TargetMode="External" /><Relationship Type="http://schemas.openxmlformats.org/officeDocument/2006/relationships/hyperlink" Id="rId86" Target="http://scholar.google.com/scholar_case?case=10487595760688789256" TargetMode="External" /><Relationship Type="http://schemas.openxmlformats.org/officeDocument/2006/relationships/hyperlink" Id="rId59" Target="http://scholar.google.com/scholar_case?case=11083261902857685106" TargetMode="External" /><Relationship Type="http://schemas.openxmlformats.org/officeDocument/2006/relationships/hyperlink" Id="rId180" Target="http://scholar.google.com/scholar_case?case=11246858167733420309&amp;scilh=0" TargetMode="External" /><Relationship Type="http://schemas.openxmlformats.org/officeDocument/2006/relationships/hyperlink" Id="rId42" Target="http://scholar.google.com/scholar_case?case=11989907166283121695" TargetMode="External" /><Relationship Type="http://schemas.openxmlformats.org/officeDocument/2006/relationships/hyperlink" Id="rId137" Target="http://scholar.google.com/scholar_case?case=11989907166283121695&amp;q=james+meow&amp;hl=en&amp;as_sdt=6,28&amp;scilh=0" TargetMode="External" /><Relationship Type="http://schemas.openxmlformats.org/officeDocument/2006/relationships/hyperlink" Id="rId152" Target="http://scholar.google.com/scholar_case?case=12134749983314046468" TargetMode="External" /><Relationship Type="http://schemas.openxmlformats.org/officeDocument/2006/relationships/hyperlink" Id="rId130" Target="http://scholar.google.com/scholar_case?case=12187369012283356840" TargetMode="External" /><Relationship Type="http://schemas.openxmlformats.org/officeDocument/2006/relationships/hyperlink" Id="rId165" Target="http://scholar.google.com/scholar_case?case=1226851723986989726&amp;q=herceg+hustler&amp;hl=en&amp;as_sdt=6,28&amp;scilh=0" TargetMode="External" /><Relationship Type="http://schemas.openxmlformats.org/officeDocument/2006/relationships/hyperlink" Id="rId169" Target="http://scholar.google.com/scholar_case?case=12292534138488546769&amp;q=herceg+hustler&amp;hl=en&amp;as_sdt=6,28&amp;scilh=0" TargetMode="External" /><Relationship Type="http://schemas.openxmlformats.org/officeDocument/2006/relationships/hyperlink" Id="rId49" Target="http://scholar.google.com/scholar_case?case=124249671461500618" TargetMode="External" /><Relationship Type="http://schemas.openxmlformats.org/officeDocument/2006/relationships/hyperlink" Id="rId108" Target="http://scholar.google.com/scholar_case?case=124249671461500618&amp;q=elonis&amp;hl=en&amp;as_sdt=6,28" TargetMode="External" /><Relationship Type="http://schemas.openxmlformats.org/officeDocument/2006/relationships/hyperlink" Id="rId164" Target="http://scholar.google.com/scholar_case?case=124249671461500618&amp;q=herceg+hustler&amp;hl=en&amp;as_sdt=6,28&amp;scilh=0" TargetMode="External" /><Relationship Type="http://schemas.openxmlformats.org/officeDocument/2006/relationships/hyperlink" Id="rId134" Target="http://scholar.google.com/scholar_case?case=12959937071120946576" TargetMode="External" /><Relationship Type="http://schemas.openxmlformats.org/officeDocument/2006/relationships/hyperlink" Id="rId55" Target="http://scholar.google.com/scholar_case?case=13025078069235542866" TargetMode="External" /><Relationship Type="http://schemas.openxmlformats.org/officeDocument/2006/relationships/hyperlink" Id="rId95" Target="http://scholar.google.com/scholar_case?case=13147024771433949854" TargetMode="External" /><Relationship Type="http://schemas.openxmlformats.org/officeDocument/2006/relationships/hyperlink" Id="rId149" Target="http://scholar.google.com/scholar_case?case=14151903145400687453" TargetMode="External" /><Relationship Type="http://schemas.openxmlformats.org/officeDocument/2006/relationships/hyperlink" Id="rId168" Target="http://scholar.google.com/scholar_case?case=14343170427684392260&amp;q=herceg+hustler&amp;hl=en&amp;as_sdt=6,28&amp;scilh=0" TargetMode="External" /><Relationship Type="http://schemas.openxmlformats.org/officeDocument/2006/relationships/hyperlink" Id="rId150" Target="http://scholar.google.com/scholar_case?case=14353781368890549739" TargetMode="External" /><Relationship Type="http://schemas.openxmlformats.org/officeDocument/2006/relationships/hyperlink" Id="rId46" Target="http://scholar.google.com/scholar_case?case=14621372290934958371" TargetMode="External" /><Relationship Type="http://schemas.openxmlformats.org/officeDocument/2006/relationships/hyperlink" Id="rId47" Target="http://scholar.google.com/scholar_case?case=14778925784015245625" TargetMode="External" /><Relationship Type="http://schemas.openxmlformats.org/officeDocument/2006/relationships/hyperlink" Id="rId171" Target="http://scholar.google.com/scholar_case?case=14778925784015245625&amp;q=herceg+hustler&amp;hl=en&amp;as_sdt=6,28&amp;scilh=0" TargetMode="External" /><Relationship Type="http://schemas.openxmlformats.org/officeDocument/2006/relationships/hyperlink" Id="rId48" Target="http://scholar.google.com/scholar_case?case=15538842772335942956" TargetMode="External" /><Relationship Type="http://schemas.openxmlformats.org/officeDocument/2006/relationships/hyperlink" Id="rId172" Target="http://scholar.google.com/scholar_case?case=15538842772335942956&amp;q=herceg+hustler&amp;hl=en&amp;as_sdt=6,28&amp;scilh=0" TargetMode="External" /><Relationship Type="http://schemas.openxmlformats.org/officeDocument/2006/relationships/hyperlink" Id="rId136" Target="http://scholar.google.com/scholar_case?case=1557224836887427725&amp;q=james+meow&amp;hl=en&amp;as_sdt=6,28&amp;scilh=0" TargetMode="External" /><Relationship Type="http://schemas.openxmlformats.org/officeDocument/2006/relationships/hyperlink" Id="rId41" Target="http://scholar.google.com/scholar_case?case=16314089118204976902" TargetMode="External" /><Relationship Type="http://schemas.openxmlformats.org/officeDocument/2006/relationships/hyperlink" Id="rId125" Target="http://scholar.google.com/scholar_case?case=16532176860606685190" TargetMode="External" /><Relationship Type="http://schemas.openxmlformats.org/officeDocument/2006/relationships/hyperlink" Id="rId135" Target="http://scholar.google.com/scholar_case?case=16910959375208847134" TargetMode="External" /><Relationship Type="http://schemas.openxmlformats.org/officeDocument/2006/relationships/hyperlink" Id="rId138" Target="http://scholar.google.com/scholar_case?case=16910959375208847134&amp;q=james+meow&amp;hl=en&amp;as_sdt=6,28&amp;scilh=0" TargetMode="External" /><Relationship Type="http://schemas.openxmlformats.org/officeDocument/2006/relationships/hyperlink" Id="rId39" Target="http://scholar.google.com/scholar_case?case=18016190414381938126" TargetMode="External" /><Relationship Type="http://schemas.openxmlformats.org/officeDocument/2006/relationships/hyperlink" Id="rId81" Target="http://scholar.google.com/scholar_case?case=199076989173199864" TargetMode="External" /><Relationship Type="http://schemas.openxmlformats.org/officeDocument/2006/relationships/hyperlink" Id="rId85" Target="http://scholar.google.com/scholar_case?case=2048750632248542584" TargetMode="External" /><Relationship Type="http://schemas.openxmlformats.org/officeDocument/2006/relationships/hyperlink" Id="rId148" Target="http://scholar.google.com/scholar_case?case=218030355871374852&amp;q=james+meow&amp;hl=en&amp;as_sdt=6,28&amp;scilh=0" TargetMode="External" /><Relationship Type="http://schemas.openxmlformats.org/officeDocument/2006/relationships/hyperlink" Id="rId92" Target="http://scholar.google.com/scholar_case?case=2729037874515332053" TargetMode="External" /><Relationship Type="http://schemas.openxmlformats.org/officeDocument/2006/relationships/hyperlink" Id="rId106" Target="http://scholar.google.com/scholar_case?case=2729037874515332053&amp;q=elonis&amp;hl=en&amp;as_sdt=6,28" TargetMode="External" /><Relationship Type="http://schemas.openxmlformats.org/officeDocument/2006/relationships/hyperlink" Id="rId50" Target="http://scholar.google.com/scholar_case?case=287180442152313659" TargetMode="External" /><Relationship Type="http://schemas.openxmlformats.org/officeDocument/2006/relationships/hyperlink" Id="rId140" Target="http://scholar.google.com/scholar_case?case=287180442152313659&amp;q=james+meow&amp;hl=en&amp;as_sdt=6,28&amp;scilh=0" TargetMode="External" /><Relationship Type="http://schemas.openxmlformats.org/officeDocument/2006/relationships/hyperlink" Id="rId117" Target="http://scholar.google.com/scholar_case?case=2909369074319697416" TargetMode="External" /><Relationship Type="http://schemas.openxmlformats.org/officeDocument/2006/relationships/hyperlink" Id="rId53" Target="http://scholar.google.com/scholar_case?case=3012582275354260465" TargetMode="External" /><Relationship Type="http://schemas.openxmlformats.org/officeDocument/2006/relationships/hyperlink" Id="rId109" Target="http://scholar.google.com/scholar_case?case=3066699330828671613&amp;q=elonis&amp;hl=en&amp;as_sdt=6,28" TargetMode="External" /><Relationship Type="http://schemas.openxmlformats.org/officeDocument/2006/relationships/hyperlink" Id="rId58" Target="http://scholar.google.com/scholar_case?case=3859249994867287155" TargetMode="External" /><Relationship Type="http://schemas.openxmlformats.org/officeDocument/2006/relationships/hyperlink" Id="rId145" Target="http://scholar.google.com/scholar_case?case=391927733878660348&amp;q=james+meow&amp;hl=en&amp;as_sdt=6,28&amp;scilh=0" TargetMode="External" /><Relationship Type="http://schemas.openxmlformats.org/officeDocument/2006/relationships/hyperlink" Id="rId78" Target="http://scholar.google.com/scholar_case?case=3958155902896689467" TargetMode="External" /><Relationship Type="http://schemas.openxmlformats.org/officeDocument/2006/relationships/hyperlink" Id="rId143" Target="http://scholar.google.com/scholar_case?case=4016009721484982910" TargetMode="External" /><Relationship Type="http://schemas.openxmlformats.org/officeDocument/2006/relationships/hyperlink" Id="rId114" Target="http://scholar.google.com/scholar_case?case=404215965238624132" TargetMode="External" /><Relationship Type="http://schemas.openxmlformats.org/officeDocument/2006/relationships/hyperlink" Id="rId142" Target="http://scholar.google.com/scholar_case?case=4042159652386241321" TargetMode="External" /><Relationship Type="http://schemas.openxmlformats.org/officeDocument/2006/relationships/hyperlink" Id="rId144" Target="http://scholar.google.com/scholar_case?case=4786465207502783304&amp;q=james+meow&amp;hl=en&amp;as_sdt=6,28&amp;scilh=0" TargetMode="External" /><Relationship Type="http://schemas.openxmlformats.org/officeDocument/2006/relationships/hyperlink" Id="rId87" Target="http://scholar.google.com/scholar_case?case=531302628905511627" TargetMode="External" /><Relationship Type="http://schemas.openxmlformats.org/officeDocument/2006/relationships/hyperlink" Id="rId57" Target="http://scholar.google.com/scholar_case?case=5334675097720961353" TargetMode="External" /><Relationship Type="http://schemas.openxmlformats.org/officeDocument/2006/relationships/hyperlink" Id="rId66" Target="http://scholar.google.com/scholar_case?case=5364703998803479389" TargetMode="External" /><Relationship Type="http://schemas.openxmlformats.org/officeDocument/2006/relationships/hyperlink" Id="rId43" Target="http://scholar.google.com/scholar_case?case=5628256980652867975" TargetMode="External" /><Relationship Type="http://schemas.openxmlformats.org/officeDocument/2006/relationships/hyperlink" Id="rId77" Target="http://scholar.google.com/scholar_case?case=5838543687001663628" TargetMode="External" /><Relationship Type="http://schemas.openxmlformats.org/officeDocument/2006/relationships/hyperlink" Id="rId176" Target="http://scholar.google.com/scholar_case?case=6013208883755367940&amp;q=herceg+hustler&amp;hl=en&amp;as_sdt=6,28&amp;scilh=0" TargetMode="External" /><Relationship Type="http://schemas.openxmlformats.org/officeDocument/2006/relationships/hyperlink" Id="rId141" Target="http://scholar.google.com/scholar_case?case=6449473028065384946&amp;q=james+meow&amp;hl=en&amp;as_sdt=6,28&amp;scilh=0" TargetMode="External" /><Relationship Type="http://schemas.openxmlformats.org/officeDocument/2006/relationships/hyperlink" Id="rId97" Target="http://scholar.google.com/scholar_case?case=6463657344879720774&amp;q=elonis&amp;hl=en&amp;as_sdt=6,28" TargetMode="External" /><Relationship Type="http://schemas.openxmlformats.org/officeDocument/2006/relationships/hyperlink" Id="rId94" Target="http://scholar.google.com/scholar_case?case=7102507483896624202&amp;q=elonis&amp;hl=en&amp;as_sdt=6,28" TargetMode="External" /><Relationship Type="http://schemas.openxmlformats.org/officeDocument/2006/relationships/hyperlink" Id="rId54" Target="http://scholar.google.com/scholar_case?case=7270078849202844362" TargetMode="External" /><Relationship Type="http://schemas.openxmlformats.org/officeDocument/2006/relationships/hyperlink" Id="rId163" Target="http://scholar.google.com/scholar_case?case=7271075303659098319&amp;q=herceg+hustler&amp;hl=en&amp;as_sdt=6,28&amp;scilh=0" TargetMode="External" /><Relationship Type="http://schemas.openxmlformats.org/officeDocument/2006/relationships/hyperlink" Id="rId83" Target="http://scholar.google.com/scholar_case?case=7275088619612465258" TargetMode="External" /><Relationship Type="http://schemas.openxmlformats.org/officeDocument/2006/relationships/hyperlink" Id="rId51" Target="http://scholar.google.com/scholar_case?case=7398433541275578772" TargetMode="External" /><Relationship Type="http://schemas.openxmlformats.org/officeDocument/2006/relationships/hyperlink" Id="rId107" Target="http://scholar.google.com/scholar_case?case=7398433541275578772&amp;q=elonis&amp;hl=en&amp;as_sdt=6,28" TargetMode="External" /><Relationship Type="http://schemas.openxmlformats.org/officeDocument/2006/relationships/hyperlink" Id="rId139" Target="http://scholar.google.com/scholar_case?case=7437343063858529835&amp;q=james+meow&amp;hl=en&amp;as_sdt=6,28&amp;scilh=0" TargetMode="External" /><Relationship Type="http://schemas.openxmlformats.org/officeDocument/2006/relationships/hyperlink" Id="rId52" Target="http://scholar.google.com/scholar_case?case=7611920100258061680" TargetMode="External" /><Relationship Type="http://schemas.openxmlformats.org/officeDocument/2006/relationships/hyperlink" Id="rId102" Target="http://scholar.google.com/scholar_case?case=7762480998218131446" TargetMode="External" /><Relationship Type="http://schemas.openxmlformats.org/officeDocument/2006/relationships/hyperlink" Id="rId146" Target="http://scholar.google.com/scholar_case?case=7844372980201599517" TargetMode="External" /><Relationship Type="http://schemas.openxmlformats.org/officeDocument/2006/relationships/hyperlink" Id="rId80" Target="http://scholar.google.com/scholar_case?case=787130527265701764" TargetMode="External" /><Relationship Type="http://schemas.openxmlformats.org/officeDocument/2006/relationships/hyperlink" Id="rId44" Target="http://scholar.google.com/scholar_case?case=8027362013479204062" TargetMode="External" /><Relationship Type="http://schemas.openxmlformats.org/officeDocument/2006/relationships/hyperlink" Id="rId151" Target="http://scholar.google.com/scholar_case?case=8197049031942033273" TargetMode="External" /><Relationship Type="http://schemas.openxmlformats.org/officeDocument/2006/relationships/hyperlink" Id="rId175" Target="http://scholar.google.com/scholar_case?case=836093554391354911&amp;q=herceg+hustler&amp;hl=en&amp;as_sdt=6,28&amp;scilh=0" TargetMode="External" /><Relationship Type="http://schemas.openxmlformats.org/officeDocument/2006/relationships/hyperlink" Id="rId126" Target="http://scholar.google.com/scholar_case?case=8378611870130381594" TargetMode="External" /><Relationship Type="http://schemas.openxmlformats.org/officeDocument/2006/relationships/hyperlink" Id="rId30" Target="http://scholar.google.com/scholar_case?case=8460647428333624773" TargetMode="External" /><Relationship Type="http://schemas.openxmlformats.org/officeDocument/2006/relationships/hyperlink" Id="rId45" Target="http://scholar.google.com/scholar_case?case=85657697512539256" TargetMode="External" /><Relationship Type="http://schemas.openxmlformats.org/officeDocument/2006/relationships/hyperlink" Id="rId93" Target="http://scholar.google.com/scholar_case?case=8610537150639053664" TargetMode="External" /><Relationship Type="http://schemas.openxmlformats.org/officeDocument/2006/relationships/hyperlink" Id="rId101" Target="http://scholar.google.com/scholar_case?case=8979048315490359160&amp;q=elonis&amp;hl=en&amp;as_sdt=6,28" TargetMode="External" /><Relationship Type="http://schemas.openxmlformats.org/officeDocument/2006/relationships/hyperlink" Id="rId82" Target="http://scholar.google.com/scholar_case?case=9070596919144743522" TargetMode="External" /><Relationship Type="http://schemas.openxmlformats.org/officeDocument/2006/relationships/hyperlink" Id="rId166" Target="http://scholar.google.com/scholar_case?case=9138451588502129368&amp;q=herceg+hustler&amp;hl=en&amp;as_sdt=6,28&amp;scilh=0" TargetMode="External" /><Relationship Type="http://schemas.openxmlformats.org/officeDocument/2006/relationships/hyperlink" Id="rId167" Target="http://scholar.google.com/scholar_case?case=9738309099999149495&amp;q=herceg+hustler&amp;hl=en&amp;as_sdt=6,28&amp;scilh=0" TargetMode="External" /><Relationship Type="http://schemas.openxmlformats.org/officeDocument/2006/relationships/hyperlink" Id="rId60" Target="http://scholar.google.com/scholar_case?case=975414503455261754" TargetMode="External" /><Relationship Type="http://schemas.openxmlformats.org/officeDocument/2006/relationships/hyperlink" Id="rId90" Target="http://scholar.google.com/scholar_case?case=9834052745083343188"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2" Target="http://thediscography.org/discoDbDetail.php?req=942" TargetMode="External" /><Relationship Type="http://schemas.openxmlformats.org/officeDocument/2006/relationships/hyperlink" Id="rId190" Target="http://tinyurl.com/ml5vvz8" TargetMode="External" /><Relationship Type="http://schemas.openxmlformats.org/officeDocument/2006/relationships/hyperlink" Id="rId183" Target="http://users.telenet.be/sterf/texts/other/HitMan-Manual_for_Independent_Contractors.pdf" TargetMode="External" /><Relationship Type="http://schemas.openxmlformats.org/officeDocument/2006/relationships/hyperlink" Id="rId29" Target="http://www.esrb.org/index-js.jsp" TargetMode="External" /><Relationship Type="http://schemas.openxmlformats.org/officeDocument/2006/relationships/hyperlink" Id="rId28" Target="http://www.mpaa.org/" TargetMode="External" /><Relationship Type="http://schemas.openxmlformats.org/officeDocument/2006/relationships/hyperlink" Id="rId62" Target="http://www.slate.com/blogs/future_tense/2015/01/07/elena_kagan_reveals_the_supreme_court_came_close_to_allowing_video_game.html?wpsrc=fol_tw" TargetMode="External" /><Relationship Type="http://schemas.openxmlformats.org/officeDocument/2006/relationships/hyperlink" Id="rId68" Target="http://www.theatlantic.com/politics/archive/2015/06/does-a-true-threat-require-a-guilty-mind/394643/" TargetMode="External" /><Relationship Type="http://schemas.openxmlformats.org/officeDocument/2006/relationships/hyperlink" Id="rId192" Target="http://www.youtube.com/watch?v=UTL3XMDwY0c" TargetMode="External" /><Relationship Type="http://schemas.openxmlformats.org/officeDocument/2006/relationships/hyperlink" Id="rId73" Target="https://en.wikipedia.org/wiki/Freedom_of_speech_in_the_United_States" TargetMode="External" /><Relationship Type="http://schemas.openxmlformats.org/officeDocument/2006/relationships/hyperlink" Id="rId24" Target="https://en.wikipedia.org/wiki/List_of_alleged_Natural_Born_Killers_copycat_crimes" TargetMode="External" /><Relationship Type="http://schemas.openxmlformats.org/officeDocument/2006/relationships/hyperlink" Id="rId69" Target="https://www.law.cornell.edu/uscode/text/18/875" TargetMode="External" /><Relationship Type="http://schemas.openxmlformats.org/officeDocument/2006/relationships/hyperlink" Id="rId37" Target="https://www.oyez.org/cases/2010/08-1448" TargetMode="External" /><Relationship Type="http://schemas.openxmlformats.org/officeDocument/2006/relationships/hyperlink" Id="rId72"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Brown_v._Entertainment_Merchants_Association" TargetMode="External" /><Relationship Type="http://schemas.openxmlformats.org/officeDocument/2006/relationships/hyperlink" Id="rId111" Target="http://en.wikipedia.org/wiki/Columbine_High_School_massacre#Video_games" TargetMode="External" /><Relationship Type="http://schemas.openxmlformats.org/officeDocument/2006/relationships/hyperlink" Id="rId23" Target="http://en.wikipedia.org/wiki/Erotic_asphyxiation" TargetMode="External" /><Relationship Type="http://schemas.openxmlformats.org/officeDocument/2006/relationships/hyperlink" Id="rId120" Target="http://en.wikipedia.org/wiki/Heath_High_School_shooting" TargetMode="External" /><Relationship Type="http://schemas.openxmlformats.org/officeDocument/2006/relationships/hyperlink" Id="rId182" Target="http://en.wikipedia.org/wiki/Hit_Man:_A_Technical_Manual_for_Independent_Contractors" TargetMode="External" /><Relationship Type="http://schemas.openxmlformats.org/officeDocument/2006/relationships/hyperlink" Id="rId27" Target="http://en.wikipedia.org/wiki/Miller_test" TargetMode="External" /><Relationship Type="http://schemas.openxmlformats.org/officeDocument/2006/relationships/hyperlink" Id="rId187" Target="http://en.wikipedia.org/wiki/RKO_General#Notable_Legal_Case" TargetMode="External" /><Relationship Type="http://schemas.openxmlformats.org/officeDocument/2006/relationships/hyperlink" Id="rId194" Target="http://en.wikipedia.org/wiki/The_People_vs._Larry_Flynt" TargetMode="External" /><Relationship Type="http://schemas.openxmlformats.org/officeDocument/2006/relationships/hyperlink" Id="rId25" Target="http://en.wikipedia.org/wiki/United_States_v._Stevens" TargetMode="External" /><Relationship Type="http://schemas.openxmlformats.org/officeDocument/2006/relationships/hyperlink" Id="rId181" Target="http://lawschool.westlaw.com/shared/westlawRedirect.aspx?task=find&amp;cite=128f3d233&amp;appflag=67.12" TargetMode="External" /><Relationship Type="http://schemas.openxmlformats.org/officeDocument/2006/relationships/hyperlink" Id="rId185"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67" Target="http://lawschool.westlaw.com/shared/westlawRedirect.aspx?task=find&amp;cite=135+S.Ct.+2001&amp;appflag=67.12" TargetMode="External" /><Relationship Type="http://schemas.openxmlformats.org/officeDocument/2006/relationships/hyperlink" Id="rId189" Target="http://lawschool.westlaw.com/shared/westlawRedirect.aspx?task=find&amp;cite=1997+WL+405907&amp;appflag=67.12" TargetMode="External" /><Relationship Type="http://schemas.openxmlformats.org/officeDocument/2006/relationships/hyperlink" Id="rId119" Target="http://lawschool.westlaw.com/shared/westlawRedirect.aspx?task=find&amp;cite=300f3d683&amp;appflag=67.12" TargetMode="External" /><Relationship Type="http://schemas.openxmlformats.org/officeDocument/2006/relationships/hyperlink" Id="rId186" Target="http://lawschool.westlaw.com/shared/westlawRedirect.aspx?task=find&amp;cite=539+P.2d+36&amp;appflag=67.12" TargetMode="External" /><Relationship Type="http://schemas.openxmlformats.org/officeDocument/2006/relationships/hyperlink" Id="rId191" Target="http://lawschool.westlaw.com/shared/westlawRedirect.aspx?task=find&amp;cite=560nys2d730&amp;appflag=67.12" TargetMode="External" /><Relationship Type="http://schemas.openxmlformats.org/officeDocument/2006/relationships/hyperlink" Id="rId156" Target="http://lawschool.westlaw.com/shared/westlawRedirect.aspx?task=find&amp;cite=814f2d1017&amp;appflag=67.12" TargetMode="External" /><Relationship Type="http://schemas.openxmlformats.org/officeDocument/2006/relationships/hyperlink" Id="rId188" Target="http://lawschool.westlaw.com/shared/westlawRedirect.aspx?task=find&amp;cite=826+So.2d+551&amp;appflag=67.12" TargetMode="External" /><Relationship Type="http://schemas.openxmlformats.org/officeDocument/2006/relationships/hyperlink" Id="rId179" Target="http://reason.com/archives/1999/08/01/the-day-they-came-to-sue-the-b" TargetMode="External" /><Relationship Type="http://schemas.openxmlformats.org/officeDocument/2006/relationships/hyperlink" Id="rId131" Target="http://scholar.google.com/scholar_case?about=13723756947186741433&amp;q=james+meow&amp;hl=en&amp;as_sdt=6,28&amp;scilh=0" TargetMode="External" /><Relationship Type="http://schemas.openxmlformats.org/officeDocument/2006/relationships/hyperlink" Id="rId129" Target="http://scholar.google.com/scholar_case?about=15516340448157145729&amp;q=james+meow&amp;hl=en&amp;as_sdt=6,28&amp;scilh=0" TargetMode="External" /><Relationship Type="http://schemas.openxmlformats.org/officeDocument/2006/relationships/hyperlink" Id="rId118" Target="http://scholar.google.com/scholar_case?about=2909369074319697416" TargetMode="External" /><Relationship Type="http://schemas.openxmlformats.org/officeDocument/2006/relationships/hyperlink" Id="rId124" Target="http://scholar.google.com/scholar_case?about=8468647111215907111&amp;q=james+meow&amp;hl=en&amp;as_sdt=6,28&amp;scilh=0" TargetMode="External" /><Relationship Type="http://schemas.openxmlformats.org/officeDocument/2006/relationships/hyperlink" Id="rId159" Target="http://scholar.google.com/scholar_case?case=10183527771703896207" TargetMode="External" /><Relationship Type="http://schemas.openxmlformats.org/officeDocument/2006/relationships/hyperlink" Id="rId96" Target="http://scholar.google.com/scholar_case?case=10183527771703896207&amp;q=elonis&amp;hl=en&amp;as_sdt=6,28" TargetMode="External" /><Relationship Type="http://schemas.openxmlformats.org/officeDocument/2006/relationships/hyperlink" Id="rId170" Target="http://scholar.google.com/scholar_case?case=10183527771703896207&amp;q=herceg+hustler&amp;hl=en&amp;as_sdt=6,28&amp;scilh=0" TargetMode="External" /><Relationship Type="http://schemas.openxmlformats.org/officeDocument/2006/relationships/hyperlink" Id="rId133" Target="http://scholar.google.com/scholar_case?case=10183527771703896207&amp;q=james+meow&amp;hl=en&amp;as_sdt=6,28&amp;scilh=0" TargetMode="External" /><Relationship Type="http://schemas.openxmlformats.org/officeDocument/2006/relationships/hyperlink" Id="rId127" Target="http://scholar.google.com/scholar_case?case=10196421278862987651" TargetMode="External" /><Relationship Type="http://schemas.openxmlformats.org/officeDocument/2006/relationships/hyperlink" Id="rId86" Target="http://scholar.google.com/scholar_case?case=10487595760688789256" TargetMode="External" /><Relationship Type="http://schemas.openxmlformats.org/officeDocument/2006/relationships/hyperlink" Id="rId59" Target="http://scholar.google.com/scholar_case?case=11083261902857685106" TargetMode="External" /><Relationship Type="http://schemas.openxmlformats.org/officeDocument/2006/relationships/hyperlink" Id="rId180" Target="http://scholar.google.com/scholar_case?case=11246858167733420309&amp;scilh=0" TargetMode="External" /><Relationship Type="http://schemas.openxmlformats.org/officeDocument/2006/relationships/hyperlink" Id="rId42" Target="http://scholar.google.com/scholar_case?case=11989907166283121695" TargetMode="External" /><Relationship Type="http://schemas.openxmlformats.org/officeDocument/2006/relationships/hyperlink" Id="rId137" Target="http://scholar.google.com/scholar_case?case=11989907166283121695&amp;q=james+meow&amp;hl=en&amp;as_sdt=6,28&amp;scilh=0" TargetMode="External" /><Relationship Type="http://schemas.openxmlformats.org/officeDocument/2006/relationships/hyperlink" Id="rId152" Target="http://scholar.google.com/scholar_case?case=12134749983314046468" TargetMode="External" /><Relationship Type="http://schemas.openxmlformats.org/officeDocument/2006/relationships/hyperlink" Id="rId130" Target="http://scholar.google.com/scholar_case?case=12187369012283356840" TargetMode="External" /><Relationship Type="http://schemas.openxmlformats.org/officeDocument/2006/relationships/hyperlink" Id="rId165" Target="http://scholar.google.com/scholar_case?case=1226851723986989726&amp;q=herceg+hustler&amp;hl=en&amp;as_sdt=6,28&amp;scilh=0" TargetMode="External" /><Relationship Type="http://schemas.openxmlformats.org/officeDocument/2006/relationships/hyperlink" Id="rId169" Target="http://scholar.google.com/scholar_case?case=12292534138488546769&amp;q=herceg+hustler&amp;hl=en&amp;as_sdt=6,28&amp;scilh=0" TargetMode="External" /><Relationship Type="http://schemas.openxmlformats.org/officeDocument/2006/relationships/hyperlink" Id="rId49" Target="http://scholar.google.com/scholar_case?case=124249671461500618" TargetMode="External" /><Relationship Type="http://schemas.openxmlformats.org/officeDocument/2006/relationships/hyperlink" Id="rId108" Target="http://scholar.google.com/scholar_case?case=124249671461500618&amp;q=elonis&amp;hl=en&amp;as_sdt=6,28" TargetMode="External" /><Relationship Type="http://schemas.openxmlformats.org/officeDocument/2006/relationships/hyperlink" Id="rId164" Target="http://scholar.google.com/scholar_case?case=124249671461500618&amp;q=herceg+hustler&amp;hl=en&amp;as_sdt=6,28&amp;scilh=0" TargetMode="External" /><Relationship Type="http://schemas.openxmlformats.org/officeDocument/2006/relationships/hyperlink" Id="rId134" Target="http://scholar.google.com/scholar_case?case=12959937071120946576" TargetMode="External" /><Relationship Type="http://schemas.openxmlformats.org/officeDocument/2006/relationships/hyperlink" Id="rId55" Target="http://scholar.google.com/scholar_case?case=13025078069235542866" TargetMode="External" /><Relationship Type="http://schemas.openxmlformats.org/officeDocument/2006/relationships/hyperlink" Id="rId95" Target="http://scholar.google.com/scholar_case?case=13147024771433949854" TargetMode="External" /><Relationship Type="http://schemas.openxmlformats.org/officeDocument/2006/relationships/hyperlink" Id="rId149" Target="http://scholar.google.com/scholar_case?case=14151903145400687453" TargetMode="External" /><Relationship Type="http://schemas.openxmlformats.org/officeDocument/2006/relationships/hyperlink" Id="rId168" Target="http://scholar.google.com/scholar_case?case=14343170427684392260&amp;q=herceg+hustler&amp;hl=en&amp;as_sdt=6,28&amp;scilh=0" TargetMode="External" /><Relationship Type="http://schemas.openxmlformats.org/officeDocument/2006/relationships/hyperlink" Id="rId150" Target="http://scholar.google.com/scholar_case?case=14353781368890549739" TargetMode="External" /><Relationship Type="http://schemas.openxmlformats.org/officeDocument/2006/relationships/hyperlink" Id="rId46" Target="http://scholar.google.com/scholar_case?case=14621372290934958371" TargetMode="External" /><Relationship Type="http://schemas.openxmlformats.org/officeDocument/2006/relationships/hyperlink" Id="rId47" Target="http://scholar.google.com/scholar_case?case=14778925784015245625" TargetMode="External" /><Relationship Type="http://schemas.openxmlformats.org/officeDocument/2006/relationships/hyperlink" Id="rId171" Target="http://scholar.google.com/scholar_case?case=14778925784015245625&amp;q=herceg+hustler&amp;hl=en&amp;as_sdt=6,28&amp;scilh=0" TargetMode="External" /><Relationship Type="http://schemas.openxmlformats.org/officeDocument/2006/relationships/hyperlink" Id="rId48" Target="http://scholar.google.com/scholar_case?case=15538842772335942956" TargetMode="External" /><Relationship Type="http://schemas.openxmlformats.org/officeDocument/2006/relationships/hyperlink" Id="rId172" Target="http://scholar.google.com/scholar_case?case=15538842772335942956&amp;q=herceg+hustler&amp;hl=en&amp;as_sdt=6,28&amp;scilh=0" TargetMode="External" /><Relationship Type="http://schemas.openxmlformats.org/officeDocument/2006/relationships/hyperlink" Id="rId136" Target="http://scholar.google.com/scholar_case?case=1557224836887427725&amp;q=james+meow&amp;hl=en&amp;as_sdt=6,28&amp;scilh=0" TargetMode="External" /><Relationship Type="http://schemas.openxmlformats.org/officeDocument/2006/relationships/hyperlink" Id="rId41" Target="http://scholar.google.com/scholar_case?case=16314089118204976902" TargetMode="External" /><Relationship Type="http://schemas.openxmlformats.org/officeDocument/2006/relationships/hyperlink" Id="rId125" Target="http://scholar.google.com/scholar_case?case=16532176860606685190" TargetMode="External" /><Relationship Type="http://schemas.openxmlformats.org/officeDocument/2006/relationships/hyperlink" Id="rId135" Target="http://scholar.google.com/scholar_case?case=16910959375208847134" TargetMode="External" /><Relationship Type="http://schemas.openxmlformats.org/officeDocument/2006/relationships/hyperlink" Id="rId138" Target="http://scholar.google.com/scholar_case?case=16910959375208847134&amp;q=james+meow&amp;hl=en&amp;as_sdt=6,28&amp;scilh=0" TargetMode="External" /><Relationship Type="http://schemas.openxmlformats.org/officeDocument/2006/relationships/hyperlink" Id="rId39" Target="http://scholar.google.com/scholar_case?case=18016190414381938126" TargetMode="External" /><Relationship Type="http://schemas.openxmlformats.org/officeDocument/2006/relationships/hyperlink" Id="rId81" Target="http://scholar.google.com/scholar_case?case=199076989173199864" TargetMode="External" /><Relationship Type="http://schemas.openxmlformats.org/officeDocument/2006/relationships/hyperlink" Id="rId85" Target="http://scholar.google.com/scholar_case?case=2048750632248542584" TargetMode="External" /><Relationship Type="http://schemas.openxmlformats.org/officeDocument/2006/relationships/hyperlink" Id="rId148" Target="http://scholar.google.com/scholar_case?case=218030355871374852&amp;q=james+meow&amp;hl=en&amp;as_sdt=6,28&amp;scilh=0" TargetMode="External" /><Relationship Type="http://schemas.openxmlformats.org/officeDocument/2006/relationships/hyperlink" Id="rId92" Target="http://scholar.google.com/scholar_case?case=2729037874515332053" TargetMode="External" /><Relationship Type="http://schemas.openxmlformats.org/officeDocument/2006/relationships/hyperlink" Id="rId106" Target="http://scholar.google.com/scholar_case?case=2729037874515332053&amp;q=elonis&amp;hl=en&amp;as_sdt=6,28" TargetMode="External" /><Relationship Type="http://schemas.openxmlformats.org/officeDocument/2006/relationships/hyperlink" Id="rId50" Target="http://scholar.google.com/scholar_case?case=287180442152313659" TargetMode="External" /><Relationship Type="http://schemas.openxmlformats.org/officeDocument/2006/relationships/hyperlink" Id="rId140" Target="http://scholar.google.com/scholar_case?case=287180442152313659&amp;q=james+meow&amp;hl=en&amp;as_sdt=6,28&amp;scilh=0" TargetMode="External" /><Relationship Type="http://schemas.openxmlformats.org/officeDocument/2006/relationships/hyperlink" Id="rId117" Target="http://scholar.google.com/scholar_case?case=2909369074319697416" TargetMode="External" /><Relationship Type="http://schemas.openxmlformats.org/officeDocument/2006/relationships/hyperlink" Id="rId53" Target="http://scholar.google.com/scholar_case?case=3012582275354260465" TargetMode="External" /><Relationship Type="http://schemas.openxmlformats.org/officeDocument/2006/relationships/hyperlink" Id="rId109" Target="http://scholar.google.com/scholar_case?case=3066699330828671613&amp;q=elonis&amp;hl=en&amp;as_sdt=6,28" TargetMode="External" /><Relationship Type="http://schemas.openxmlformats.org/officeDocument/2006/relationships/hyperlink" Id="rId58" Target="http://scholar.google.com/scholar_case?case=3859249994867287155" TargetMode="External" /><Relationship Type="http://schemas.openxmlformats.org/officeDocument/2006/relationships/hyperlink" Id="rId145" Target="http://scholar.google.com/scholar_case?case=391927733878660348&amp;q=james+meow&amp;hl=en&amp;as_sdt=6,28&amp;scilh=0" TargetMode="External" /><Relationship Type="http://schemas.openxmlformats.org/officeDocument/2006/relationships/hyperlink" Id="rId78" Target="http://scholar.google.com/scholar_case?case=3958155902896689467" TargetMode="External" /><Relationship Type="http://schemas.openxmlformats.org/officeDocument/2006/relationships/hyperlink" Id="rId143" Target="http://scholar.google.com/scholar_case?case=4016009721484982910" TargetMode="External" /><Relationship Type="http://schemas.openxmlformats.org/officeDocument/2006/relationships/hyperlink" Id="rId114" Target="http://scholar.google.com/scholar_case?case=404215965238624132" TargetMode="External" /><Relationship Type="http://schemas.openxmlformats.org/officeDocument/2006/relationships/hyperlink" Id="rId142" Target="http://scholar.google.com/scholar_case?case=4042159652386241321" TargetMode="External" /><Relationship Type="http://schemas.openxmlformats.org/officeDocument/2006/relationships/hyperlink" Id="rId144" Target="http://scholar.google.com/scholar_case?case=4786465207502783304&amp;q=james+meow&amp;hl=en&amp;as_sdt=6,28&amp;scilh=0" TargetMode="External" /><Relationship Type="http://schemas.openxmlformats.org/officeDocument/2006/relationships/hyperlink" Id="rId87" Target="http://scholar.google.com/scholar_case?case=531302628905511627" TargetMode="External" /><Relationship Type="http://schemas.openxmlformats.org/officeDocument/2006/relationships/hyperlink" Id="rId57" Target="http://scholar.google.com/scholar_case?case=5334675097720961353" TargetMode="External" /><Relationship Type="http://schemas.openxmlformats.org/officeDocument/2006/relationships/hyperlink" Id="rId66" Target="http://scholar.google.com/scholar_case?case=5364703998803479389" TargetMode="External" /><Relationship Type="http://schemas.openxmlformats.org/officeDocument/2006/relationships/hyperlink" Id="rId43" Target="http://scholar.google.com/scholar_case?case=5628256980652867975" TargetMode="External" /><Relationship Type="http://schemas.openxmlformats.org/officeDocument/2006/relationships/hyperlink" Id="rId77" Target="http://scholar.google.com/scholar_case?case=5838543687001663628" TargetMode="External" /><Relationship Type="http://schemas.openxmlformats.org/officeDocument/2006/relationships/hyperlink" Id="rId176" Target="http://scholar.google.com/scholar_case?case=6013208883755367940&amp;q=herceg+hustler&amp;hl=en&amp;as_sdt=6,28&amp;scilh=0" TargetMode="External" /><Relationship Type="http://schemas.openxmlformats.org/officeDocument/2006/relationships/hyperlink" Id="rId141" Target="http://scholar.google.com/scholar_case?case=6449473028065384946&amp;q=james+meow&amp;hl=en&amp;as_sdt=6,28&amp;scilh=0" TargetMode="External" /><Relationship Type="http://schemas.openxmlformats.org/officeDocument/2006/relationships/hyperlink" Id="rId97" Target="http://scholar.google.com/scholar_case?case=6463657344879720774&amp;q=elonis&amp;hl=en&amp;as_sdt=6,28" TargetMode="External" /><Relationship Type="http://schemas.openxmlformats.org/officeDocument/2006/relationships/hyperlink" Id="rId94" Target="http://scholar.google.com/scholar_case?case=7102507483896624202&amp;q=elonis&amp;hl=en&amp;as_sdt=6,28" TargetMode="External" /><Relationship Type="http://schemas.openxmlformats.org/officeDocument/2006/relationships/hyperlink" Id="rId54" Target="http://scholar.google.com/scholar_case?case=7270078849202844362" TargetMode="External" /><Relationship Type="http://schemas.openxmlformats.org/officeDocument/2006/relationships/hyperlink" Id="rId163" Target="http://scholar.google.com/scholar_case?case=7271075303659098319&amp;q=herceg+hustler&amp;hl=en&amp;as_sdt=6,28&amp;scilh=0" TargetMode="External" /><Relationship Type="http://schemas.openxmlformats.org/officeDocument/2006/relationships/hyperlink" Id="rId83" Target="http://scholar.google.com/scholar_case?case=7275088619612465258" TargetMode="External" /><Relationship Type="http://schemas.openxmlformats.org/officeDocument/2006/relationships/hyperlink" Id="rId51" Target="http://scholar.google.com/scholar_case?case=7398433541275578772" TargetMode="External" /><Relationship Type="http://schemas.openxmlformats.org/officeDocument/2006/relationships/hyperlink" Id="rId107" Target="http://scholar.google.com/scholar_case?case=7398433541275578772&amp;q=elonis&amp;hl=en&amp;as_sdt=6,28" TargetMode="External" /><Relationship Type="http://schemas.openxmlformats.org/officeDocument/2006/relationships/hyperlink" Id="rId139" Target="http://scholar.google.com/scholar_case?case=7437343063858529835&amp;q=james+meow&amp;hl=en&amp;as_sdt=6,28&amp;scilh=0" TargetMode="External" /><Relationship Type="http://schemas.openxmlformats.org/officeDocument/2006/relationships/hyperlink" Id="rId52" Target="http://scholar.google.com/scholar_case?case=7611920100258061680" TargetMode="External" /><Relationship Type="http://schemas.openxmlformats.org/officeDocument/2006/relationships/hyperlink" Id="rId102" Target="http://scholar.google.com/scholar_case?case=7762480998218131446" TargetMode="External" /><Relationship Type="http://schemas.openxmlformats.org/officeDocument/2006/relationships/hyperlink" Id="rId146" Target="http://scholar.google.com/scholar_case?case=7844372980201599517" TargetMode="External" /><Relationship Type="http://schemas.openxmlformats.org/officeDocument/2006/relationships/hyperlink" Id="rId80" Target="http://scholar.google.com/scholar_case?case=787130527265701764" TargetMode="External" /><Relationship Type="http://schemas.openxmlformats.org/officeDocument/2006/relationships/hyperlink" Id="rId44" Target="http://scholar.google.com/scholar_case?case=8027362013479204062" TargetMode="External" /><Relationship Type="http://schemas.openxmlformats.org/officeDocument/2006/relationships/hyperlink" Id="rId151" Target="http://scholar.google.com/scholar_case?case=8197049031942033273" TargetMode="External" /><Relationship Type="http://schemas.openxmlformats.org/officeDocument/2006/relationships/hyperlink" Id="rId175" Target="http://scholar.google.com/scholar_case?case=836093554391354911&amp;q=herceg+hustler&amp;hl=en&amp;as_sdt=6,28&amp;scilh=0" TargetMode="External" /><Relationship Type="http://schemas.openxmlformats.org/officeDocument/2006/relationships/hyperlink" Id="rId126" Target="http://scholar.google.com/scholar_case?case=8378611870130381594" TargetMode="External" /><Relationship Type="http://schemas.openxmlformats.org/officeDocument/2006/relationships/hyperlink" Id="rId30" Target="http://scholar.google.com/scholar_case?case=8460647428333624773" TargetMode="External" /><Relationship Type="http://schemas.openxmlformats.org/officeDocument/2006/relationships/hyperlink" Id="rId45" Target="http://scholar.google.com/scholar_case?case=85657697512539256" TargetMode="External" /><Relationship Type="http://schemas.openxmlformats.org/officeDocument/2006/relationships/hyperlink" Id="rId93" Target="http://scholar.google.com/scholar_case?case=8610537150639053664" TargetMode="External" /><Relationship Type="http://schemas.openxmlformats.org/officeDocument/2006/relationships/hyperlink" Id="rId101" Target="http://scholar.google.com/scholar_case?case=8979048315490359160&amp;q=elonis&amp;hl=en&amp;as_sdt=6,28" TargetMode="External" /><Relationship Type="http://schemas.openxmlformats.org/officeDocument/2006/relationships/hyperlink" Id="rId82" Target="http://scholar.google.com/scholar_case?case=9070596919144743522" TargetMode="External" /><Relationship Type="http://schemas.openxmlformats.org/officeDocument/2006/relationships/hyperlink" Id="rId166" Target="http://scholar.google.com/scholar_case?case=9138451588502129368&amp;q=herceg+hustler&amp;hl=en&amp;as_sdt=6,28&amp;scilh=0" TargetMode="External" /><Relationship Type="http://schemas.openxmlformats.org/officeDocument/2006/relationships/hyperlink" Id="rId167" Target="http://scholar.google.com/scholar_case?case=9738309099999149495&amp;q=herceg+hustler&amp;hl=en&amp;as_sdt=6,28&amp;scilh=0" TargetMode="External" /><Relationship Type="http://schemas.openxmlformats.org/officeDocument/2006/relationships/hyperlink" Id="rId60" Target="http://scholar.google.com/scholar_case?case=975414503455261754" TargetMode="External" /><Relationship Type="http://schemas.openxmlformats.org/officeDocument/2006/relationships/hyperlink" Id="rId90" Target="http://scholar.google.com/scholar_case?case=9834052745083343188"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2" Target="http://thediscography.org/discoDbDetail.php?req=942" TargetMode="External" /><Relationship Type="http://schemas.openxmlformats.org/officeDocument/2006/relationships/hyperlink" Id="rId190" Target="http://tinyurl.com/ml5vvz8" TargetMode="External" /><Relationship Type="http://schemas.openxmlformats.org/officeDocument/2006/relationships/hyperlink" Id="rId183" Target="http://users.telenet.be/sterf/texts/other/HitMan-Manual_for_Independent_Contractors.pdf" TargetMode="External" /><Relationship Type="http://schemas.openxmlformats.org/officeDocument/2006/relationships/hyperlink" Id="rId29" Target="http://www.esrb.org/index-js.jsp" TargetMode="External" /><Relationship Type="http://schemas.openxmlformats.org/officeDocument/2006/relationships/hyperlink" Id="rId28" Target="http://www.mpaa.org/" TargetMode="External" /><Relationship Type="http://schemas.openxmlformats.org/officeDocument/2006/relationships/hyperlink" Id="rId62" Target="http://www.slate.com/blogs/future_tense/2015/01/07/elena_kagan_reveals_the_supreme_court_came_close_to_allowing_video_game.html?wpsrc=fol_tw" TargetMode="External" /><Relationship Type="http://schemas.openxmlformats.org/officeDocument/2006/relationships/hyperlink" Id="rId68" Target="http://www.theatlantic.com/politics/archive/2015/06/does-a-true-threat-require-a-guilty-mind/394643/" TargetMode="External" /><Relationship Type="http://schemas.openxmlformats.org/officeDocument/2006/relationships/hyperlink" Id="rId192" Target="http://www.youtube.com/watch?v=UTL3XMDwY0c" TargetMode="External" /><Relationship Type="http://schemas.openxmlformats.org/officeDocument/2006/relationships/hyperlink" Id="rId73" Target="https://en.wikipedia.org/wiki/Freedom_of_speech_in_the_United_States" TargetMode="External" /><Relationship Type="http://schemas.openxmlformats.org/officeDocument/2006/relationships/hyperlink" Id="rId24" Target="https://en.wikipedia.org/wiki/List_of_alleged_Natural_Born_Killers_copycat_crimes" TargetMode="External" /><Relationship Type="http://schemas.openxmlformats.org/officeDocument/2006/relationships/hyperlink" Id="rId69" Target="https://www.law.cornell.edu/uscode/text/18/875" TargetMode="External" /><Relationship Type="http://schemas.openxmlformats.org/officeDocument/2006/relationships/hyperlink" Id="rId37" Target="https://www.oyez.org/cases/2010/08-1448" TargetMode="External" /><Relationship Type="http://schemas.openxmlformats.org/officeDocument/2006/relationships/hyperlink" Id="rId72"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2018-01-26T05:10:14Z</dcterms:created>
  <dcterms:modified xsi:type="dcterms:W3CDTF">2018-01-26T05:10:14Z</dcterms:modified>
</cp:coreProperties>
</file>