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representation"/>
      <w:bookmarkEnd w:id="23"/>
      <w:r>
        <w:t xml:space="preserve">Representation</w:t>
      </w:r>
    </w:p>
    <w:p>
      <w:pPr>
        <w:pStyle w:val="Heading6"/>
      </w:pPr>
      <w:bookmarkStart w:id="24" w:name="talent-representation-regulation"/>
      <w:bookmarkEnd w:id="24"/>
      <w:r>
        <w:t xml:space="preserve">Talent Representation &amp; Regulation</w:t>
      </w:r>
    </w:p>
    <w:p>
      <w:pPr>
        <w:pStyle w:val="Heading3"/>
      </w:pPr>
      <w:bookmarkStart w:id="25" w:name="entertainmentpublishing-lawyers"/>
      <w:bookmarkEnd w:id="25"/>
      <w:r>
        <w:t xml:space="preserve">Entertainment/Publishing Lawyers</w:t>
      </w:r>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"entertainment law" 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there.&amp;hellip;</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pStyle w:val="Compact"/>
        <w:numPr>
          <w:numId w:val="1001"/>
          <w:ilvl w:val="0"/>
        </w:numPr>
      </w:pPr>
      <w:r>
        <w:t xml:space="preserve">Erica Winter,</w:t>
      </w:r>
      <w:r>
        <w:t xml:space="preserve"> </w:t>
      </w:r>
      <w:hyperlink r:id="rId26">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7">
        <w:r>
          <w:rPr>
            <w:rStyle w:val="Hyperlink"/>
          </w:rPr>
          <w:t xml:space="preserve">How Entertainment Lawyers Work</w:t>
        </w:r>
      </w:hyperlink>
    </w:p>
    <w:p>
      <w:pPr>
        <w:pStyle w:val="FirstParagraph"/>
      </w:pPr>
      <w:r>
        <w:t xml:space="preserve">As in other walks of life, the lawyer</w:t>
      </w:r>
      <w:r>
        <w:t xml:space="preserve"> </w:t>
      </w:r>
      <w:r>
        <w:t xml:space="preserve">(in this case, the entertainment or publishing lawyer)</w:t>
      </w:r>
      <w:r>
        <w:t xml:space="preserve"> </w:t>
      </w:r>
      <w:r>
        <w:t xml:space="preserve">is a kind of "super fiduciary,"</w:t>
      </w:r>
      <w:r>
        <w:t xml:space="preserve"> </w:t>
      </w:r>
      <w:r>
        <w:t xml:space="preserve">overseeing problems the client has with "regular" fiduciaries</w:t>
      </w:r>
      <w:r>
        <w:t xml:space="preserve"> </w:t>
      </w:r>
      <w:r>
        <w:t xml:space="preserve">(agents, managers, producers).</w:t>
      </w:r>
    </w:p>
    <w:p>
      <w:pPr>
        <w:pStyle w:val="Heading3"/>
      </w:pPr>
      <w:bookmarkStart w:id="28" w:name="literary-agents"/>
      <w:bookmarkEnd w:id="28"/>
      <w:r>
        <w:t xml:space="preserve">Literary Agents</w:t>
      </w:r>
    </w:p>
    <w:p>
      <w:pPr>
        <w:pStyle w:val="FirstParagraph"/>
      </w:pPr>
      <w:r>
        <w:t xml:space="preserve">An author with a great agent often doesn't need a lawyer;</w:t>
      </w:r>
      <w:r>
        <w:t xml:space="preserve"> </w:t>
      </w:r>
      <w:r>
        <w:t xml:space="preserve">that's why 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r>
        <w:t xml:space="preserve"> </w:t>
      </w:r>
      <w:r>
        <w:t xml:space="preserve">Talent reps are especially interested in representing clients who are hard-working professionals, as well as being talented artists.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So it's a happy day when an agent calls with the good news:</w:t>
      </w:r>
      <w:r>
        <w:t xml:space="preserve"> </w:t>
      </w:r>
      <w:r>
        <w:t xml:space="preserve">They'd love to represent the artist!</w:t>
      </w:r>
      <w:r>
        <w:t xml:space="preserve"> </w:t>
      </w:r>
      <w:r>
        <w:t xml:space="preserve">Before the agent can represent the author or artist,</w:t>
      </w:r>
      <w:r>
        <w:t xml:space="preserve"> </w:t>
      </w:r>
      <w:r>
        <w:t xml:space="preserve">there may be an agency agreement to sign.</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But a boutique literary agency</w:t>
      </w:r>
      <w:r>
        <w:t xml:space="preserve"> </w:t>
      </w:r>
      <w:r>
        <w:t xml:space="preserve">may have a agency agreement</w:t>
      </w:r>
      <w:r>
        <w:t xml:space="preserve"> </w:t>
      </w:r>
      <w:r>
        <w:t xml:space="preserve">that purports to give them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pStyle w:val="BodyText"/>
      </w:pPr>
      <w:r>
        <w:t xml:space="preserve">Unlike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as agents they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29">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p>
    <w:p>
      <w:pPr>
        <w:pStyle w:val="BodyText"/>
      </w:pP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 negotiate and edit these contracts.</w:t>
      </w:r>
    </w:p>
    <w:p>
      <w:pPr>
        <w:pStyle w:val="Heading4"/>
      </w:pPr>
      <w:bookmarkStart w:id="30" w:name="contracts-with-literary-agents"/>
      <w:bookmarkEnd w:id="30"/>
      <w:r>
        <w:t xml:space="preserve">Contracts With Literary Agents</w:t>
      </w:r>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talent agent</w:t>
      </w:r>
      <w:r>
        <w:t xml:space="preserve"> </w:t>
      </w:r>
      <w:r>
        <w:t xml:space="preserve">may publish several books and never need a lawyer.</w:t>
      </w:r>
      <w:r>
        <w:t xml:space="preserve"> </w:t>
      </w:r>
      <w:r>
        <w:t xml:space="preserve">But when an author "travels," 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at least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p>
      <w:pPr>
        <w:pStyle w:val="BodyText"/>
      </w:pPr>
      <w:r>
        <w:t xml:space="preserve">Hollywood aside, 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p>
    <w:p>
      <w:pPr>
        <w:pStyle w:val="BodyText"/>
      </w:pPr>
      <w:r>
        <w:t xml:space="preserve">For example,</w:t>
      </w:r>
      <w:r>
        <w:t xml:space="preserve"> </w:t>
      </w:r>
      <w:r>
        <w:t xml:space="preserve">the Hollywood talent agent who sells film rights</w:t>
      </w:r>
      <w:r>
        <w:t xml:space="preserve"> </w:t>
      </w:r>
      <w:r>
        <w:t xml:space="preserve">to the author's novel will go for top dollar,</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p>
      <w:pPr>
        <w:pStyle w:val="Heading4"/>
      </w:pPr>
      <w:bookmarkStart w:id="31" w:name="the-interminable-agency-clause"/>
      <w:bookmarkEnd w:id="31"/>
      <w:r>
        <w:t xml:space="preserve">The Interminable Agency Clause</w:t>
      </w:r>
    </w:p>
    <w:p>
      <w:pPr>
        <w:pStyle w:val="Compact"/>
        <w:numPr>
          <w:numId w:val="1002"/>
          <w:ilvl w:val="0"/>
        </w:numPr>
      </w:pPr>
      <w:hyperlink r:id="rId32">
        <w:r>
          <w:rPr>
            <w:rStyle w:val="Hyperlink"/>
          </w:rPr>
          <w:t xml:space="preserve">Description of clause</w:t>
        </w:r>
      </w:hyperlink>
    </w:p>
    <w:p>
      <w:pPr>
        <w:pStyle w:val="Heading3"/>
      </w:pPr>
      <w:bookmarkStart w:id="33" w:name="peter-lampack-agency-inc.-v.-martha-grimes"/>
      <w:bookmarkEnd w:id="33"/>
      <w:r>
        <w:rPr>
          <w:i/>
        </w:rPr>
        <w:t xml:space="preserve">Peter Lampack Agency, Inc. v. Martha Grimes</w:t>
      </w:r>
    </w:p>
    <w:p>
      <w:pPr>
        <w:pStyle w:val="Heading6"/>
      </w:pPr>
      <w:bookmarkStart w:id="34" w:name="superior-court-new-york-2010"/>
      <w:bookmarkEnd w:id="34"/>
      <w:r>
        <w:t xml:space="preserve">Superior Court New York (2010)</w:t>
      </w:r>
    </w:p>
    <w:p>
      <w:pPr>
        <w:pStyle w:val="Compact"/>
        <w:numPr>
          <w:numId w:val="1003"/>
          <w:ilvl w:val="0"/>
        </w:numPr>
      </w:pPr>
      <w:hyperlink r:id="rId35">
        <w:r>
          <w:rPr>
            <w:rStyle w:val="Hyperlink"/>
          </w:rPr>
          <w:t xml:space="preserve">case on Google Scholar</w:t>
        </w:r>
      </w:hyperlink>
    </w:p>
    <w:p>
      <w:pPr>
        <w:pStyle w:val="FirstParagraph"/>
      </w:pPr>
      <w:r>
        <w:t xml:space="preserve">BERNARD J. FRIED, J.</w:t>
      </w:r>
    </w:p>
    <w:p>
      <w:pPr>
        <w:pStyle w:val="BodyText"/>
      </w:pPr>
      <w:r>
        <w:t xml:space="preserve">This case involves the Peter Lampack Agency, Inc. ("PLA"),</w:t>
      </w:r>
      <w:r>
        <w:t xml:space="preserve"> </w:t>
      </w:r>
      <w:r>
        <w:t xml:space="preserve">and Martha Grimes ("Grimes"),</w:t>
      </w:r>
      <w:r>
        <w:t xml:space="preserve"> </w:t>
      </w:r>
      <w:r>
        <w:t xml:space="preserve">and various corporate affiliates of the Penguin Group (USA) Inc. ("Penguin").</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&amp;hellip;</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("2005 Penguin/Viking-Penguin Agreement").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&amp;hellip;</w:t>
      </w:r>
      <w:r>
        <w:t xml:space="preserve"> </w:t>
      </w:r>
      <w:r>
        <w:t xml:space="preserve">her next book-length work of fiction &amp;hellip;</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 "The Black Cat."</w:t>
      </w:r>
      <w:r>
        <w:t xml:space="preserve"> </w:t>
      </w:r>
      <w:r>
        <w:t xml:space="preserve">On February 27, 2009, Penguin made an oral proposal to Grimes' counsel</w:t>
      </w:r>
      <w:r>
        <w:t xml:space="preserve"> </w:t>
      </w:r>
      <w:r>
        <w:t xml:space="preserve">and the agreement for "The Black Cat" was finalized on August 20, 2009.</w:t>
      </w:r>
      <w:r>
        <w:t xml:space="preserve"> </w:t>
      </w:r>
      <w:r>
        <w:t xml:space="preserve">PLA alleges the publishing agreement for "The Black Cat"</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 "The Black Cat."</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Agreement.&amp;hellip;</w:t>
      </w:r>
    </w:p>
    <w:p>
      <w:pPr>
        <w:pStyle w:val="BodyText"/>
      </w:pPr>
      <w:r>
        <w:t xml:space="preserve">The issues presented in this motion are whether PLA has sufficiently</w:t>
      </w:r>
      <w:r>
        <w:t xml:space="preserve"> </w:t>
      </w:r>
      <w:r>
        <w:t xml:space="preserve">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36" w:name="i.-first-cause-of-action"/>
      <w:bookmarkEnd w:id="36"/>
      <w:r>
        <w:rPr>
          <w:i/>
        </w:rPr>
        <w:t xml:space="preserve">I. First Cause of Action</w:t>
      </w:r>
    </w:p>
    <w:p>
      <w:pPr>
        <w:pStyle w:val="FirstParagraph"/>
      </w:pPr>
      <w:r>
        <w:t xml:space="preserve">In the first cause of action,</w:t>
      </w:r>
      <w:r>
        <w:t xml:space="preserve"> </w:t>
      </w:r>
      <w:r>
        <w:t xml:space="preserve">PLA alleges that the publishing agreement</w:t>
      </w:r>
      <w:r>
        <w:t xml:space="preserve"> </w:t>
      </w:r>
      <w:r>
        <w:t xml:space="preserve">for Grimes' book "The Black Cat" 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 "The Black Cat."</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 "The Black Cat" 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 "agreement to agree"; and</w:t>
      </w:r>
    </w:p>
    <w:p>
      <w:pPr>
        <w:pStyle w:val="Compact"/>
        <w:numPr>
          <w:numId w:val="1005"/>
          <w:ilvl w:val="0"/>
        </w:numPr>
      </w:pPr>
      <w:r>
        <w:t xml:space="preserve">the publishing agreement for "The Black Cat" 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 "The Black Cat."</w:t>
      </w:r>
      <w:r>
        <w:t xml:space="preserve"> </w:t>
      </w:r>
      <w:r>
        <w:t xml:space="preserve">Grimes argues</w:t>
      </w:r>
      <w:r>
        <w:t xml:space="preserve"> </w:t>
      </w:r>
      <w:r>
        <w:t xml:space="preserve">that the terms of the 2005 Penguin/Viking-Penguin Agreement</w:t>
      </w:r>
      <w:r>
        <w:t xml:space="preserve"> </w:t>
      </w:r>
      <w:r>
        <w:t xml:space="preserve">do not entitle PLA to commission for "The Black Cat"</w:t>
      </w:r>
      <w:r>
        <w:t xml:space="preserve"> </w:t>
      </w:r>
      <w:r>
        <w:t xml:space="preserve">because PLA's agency was not coupled with an interest</w:t>
      </w:r>
      <w:r>
        <w:t xml:space="preserve"> </w:t>
      </w:r>
      <w:r>
        <w:t xml:space="preserve">and it was revoked before negotiations</w:t>
      </w:r>
      <w:r>
        <w:t xml:space="preserve"> </w:t>
      </w:r>
      <w:r>
        <w:t xml:space="preserve">for the "The Black Cat" 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 "The Black Cat"</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Agreement.&amp;hellip; Such</w:t>
      </w:r>
      <w:r>
        <w:t xml:space="preserve"> </w:t>
      </w:r>
      <w:r>
        <w:t xml:space="preserve">Agent is hereby fully empowered to act on behalf of the Author in all</w:t>
      </w:r>
      <w:r>
        <w:t xml:space="preserve"> </w:t>
      </w:r>
      <w:r>
        <w:t xml:space="preserve">matters in any way arising out of this Agreement.&amp;hellip;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will.&amp;hellip; However, when an agency authority is coupled with an interest,</w:t>
      </w:r>
      <w:r>
        <w:t xml:space="preserve"> </w:t>
      </w:r>
      <w:r>
        <w:t xml:space="preserve">the agency is irrevocable.&amp;hellip;</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agency.&amp;hellip; Words alone are not enough to establish an agency coupled with an interest. &amp;hellip;</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 "appoints PLA irrevocably" as an agent is not</w:t>
      </w:r>
      <w:r>
        <w:t xml:space="preserve"> </w:t>
      </w:r>
      <w:r>
        <w:t xml:space="preserve">enough to create an agency coupled with an interest.&amp;hellip;</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&amp;hellip;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Agreement.&amp;hellip;</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 "The Black Cat"</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p>
      <w:pPr>
        <w:pStyle w:val="Heading3"/>
      </w:pPr>
      <w:bookmarkStart w:id="37" w:name="ii.-second-through-seventh-causes-of-action"/>
      <w:bookmarkEnd w:id="37"/>
      <w:r>
        <w:rPr>
          <w:i/>
        </w:rPr>
        <w:t xml:space="preserve">II. Second Through Seventh Causes of Action</w:t>
      </w:r>
    </w:p>
    <w:p>
      <w:pPr>
        <w:pStyle w:val="FirstParagraph"/>
      </w:pPr>
      <w:r>
        <w:t xml:space="preserve">The second through seventh causes of action allege breach of contract</w:t>
      </w:r>
      <w:r>
        <w:t xml:space="preserve"> </w:t>
      </w:r>
      <w:r>
        <w:t xml:space="preserve">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 "extensions" 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agreements.&amp;hellip;</w:t>
      </w:r>
    </w:p>
    <w:p>
      <w:pPr>
        <w:pStyle w:val="BodyText"/>
      </w:pPr>
      <w:r>
        <w:t xml:space="preserve">Accordingly, it is hereby ORDERED</w:t>
      </w:r>
      <w:r>
        <w:t xml:space="preserve"> </w:t>
      </w:r>
      <w:r>
        <w:t xml:space="preserve">that the motion to dismiss the first, second through seventh &amp;hellip;</w:t>
      </w:r>
      <w:r>
        <w:t xml:space="preserve"> </w:t>
      </w:r>
      <w:r>
        <w:t xml:space="preserve">causes of action is granted; and it is further</w:t>
      </w:r>
    </w:p>
    <w:p>
      <w:pPr>
        <w:pStyle w:val="Heading3"/>
      </w:pPr>
      <w:bookmarkStart w:id="38" w:name="notes-on-peter-lampack-agency-inc.-v.-grimes"/>
      <w:bookmarkEnd w:id="38"/>
      <w:r>
        <w:t xml:space="preserve">Notes on</w:t>
      </w:r>
      <w:r>
        <w:t xml:space="preserve"> </w:t>
      </w:r>
      <w:r>
        <w:rPr>
          <w:i/>
        </w:rPr>
        <w:t xml:space="preserve">Peter Lampack Agency, Inc. v. Grimes</w:t>
      </w:r>
    </w:p>
    <w:p>
      <w:pPr>
        <w:pStyle w:val="FirstParagraph"/>
      </w:pPr>
      <w:r>
        <w:t xml:space="preserve">The Peter Lampack Agency (PLA, a literary agency)</w:t>
      </w:r>
      <w:r>
        <w:t xml:space="preserve"> </w:t>
      </w:r>
      <w:r>
        <w:t xml:space="preserve">sued Martha Grimes, an author of literary and commercial fiction,</w:t>
      </w:r>
      <w:r>
        <w:t xml:space="preserve"> </w:t>
      </w:r>
      <w:r>
        <w:t xml:space="preserve">for unpaid commissions allegedly due and owing under contracts</w:t>
      </w:r>
      <w:r>
        <w:t xml:space="preserve"> </w:t>
      </w:r>
      <w:r>
        <w:t xml:space="preserve">negotiated by PLA on behalf of Grimes.</w:t>
      </w:r>
    </w:p>
    <w:p>
      <w:pPr>
        <w:pStyle w:val="BodyText"/>
      </w:pPr>
      <w:r>
        <w:t xml:space="preserve">PLA had acted as literary agent for Grimes for twelve years</w:t>
      </w:r>
      <w:r>
        <w:t xml:space="preserve"> </w:t>
      </w:r>
      <w:r>
        <w:t xml:space="preserve">and had procured publishing agreements for works authored by Grimes.</w:t>
      </w:r>
      <w:r>
        <w:t xml:space="preserve"> </w:t>
      </w:r>
      <w:r>
        <w:t xml:space="preserve">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 "first look" at the author's next work:</w:t>
      </w:r>
    </w:p>
    <w:p>
      <w:pPr>
        <w:pStyle w:val="BlockText"/>
      </w:pPr>
      <w:r>
        <w:t xml:space="preserve">[T]he Author hereby grants to the Publisher</w:t>
      </w:r>
      <w:r>
        <w:t xml:space="preserve"> </w:t>
      </w:r>
      <w:r>
        <w:t xml:space="preserve">the exclusive right and option to publish &amp;hellip;</w:t>
      </w:r>
      <w:r>
        <w:t xml:space="preserve"> </w:t>
      </w:r>
      <w:r>
        <w:t xml:space="preserve">her next book-length work of fiction . . . .</w:t>
      </w:r>
      <w:r>
        <w:t xml:space="preserve"> </w:t>
      </w:r>
      <w:r>
        <w:t xml:space="preserve">The Publisher shall have a period of thirty (30) days</w:t>
      </w:r>
      <w:r>
        <w:t xml:space="preserve"> </w:t>
      </w:r>
      <w:r>
        <w:t xml:space="preserve">after receipt by the Publisher of the notification from the Author</w:t>
      </w:r>
      <w:r>
        <w:t xml:space="preserve"> </w:t>
      </w:r>
      <w:r>
        <w:t xml:space="preserve">or her agent of the Author's desire to commence negotiation</w:t>
      </w:r>
      <w:r>
        <w:t xml:space="preserve"> </w:t>
      </w:r>
      <w:r>
        <w:t xml:space="preserve">concerning such next book-length work of fiction</w:t>
      </w:r>
      <w:r>
        <w:t xml:space="preserve"> </w:t>
      </w:r>
      <w:r>
        <w:t xml:space="preserve">within which to notify the Author</w:t>
      </w:r>
      <w:r>
        <w:t xml:space="preserve"> </w:t>
      </w:r>
      <w:r>
        <w:t xml:space="preserve">whether it desires to publish such work</w:t>
      </w:r>
      <w:r>
        <w:t xml:space="preserve"> </w:t>
      </w:r>
      <w:r>
        <w:t xml:space="preserve">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Agreement.&amp;hellip; Such Agent is hereby fully empowered to act on behalf of the Author in all matters in any way arising out of this Agreement.&amp;hellip; All sums of money due the Author under this Agreement shall be paid to and in the name of said Agent.&amp;hellip;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 "The Black Cat."</w:t>
      </w:r>
    </w:p>
    <w:p>
      <w:pPr>
        <w:pStyle w:val="BodyText"/>
      </w:pPr>
      <w:r>
        <w:t xml:space="preserve">On February 27, 2009, Penguin made an oral proposal to Grimes' counsel and the agreement for "The Black Cat" was finalized on August 20, 2009.</w:t>
      </w:r>
    </w:p>
    <w:p>
      <w:pPr>
        <w:pStyle w:val="BodyText"/>
      </w:pPr>
      <w:r>
        <w:t xml:space="preserve">On November 18, 2009, PLA filed a complaint against Grimes and her publishers alleging breach of contract among other claims. PLA alleged that the publishing agreement for "The Black Cat" arose out of the Option on Next Work clause and that Grimes violated the terms of the 2005 Penguin/Viking-Penguin Agreement by refusing to account to PLA and refusing to pay PLA the sums due for "The Black Cat."</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"The Black Cat" 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 "agreement to agree"; and</w:t>
      </w:r>
    </w:p>
    <w:p>
      <w:pPr>
        <w:pStyle w:val="Compact"/>
        <w:numPr>
          <w:numId w:val="1007"/>
          <w:ilvl w:val="0"/>
        </w:numPr>
      </w:pPr>
      <w:r>
        <w:t xml:space="preserve">the publishing agreement for "The Black Cat" 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 "The Black Cat" 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 "agency with an interest," 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authority.;&amp;hellip;</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 "appoints PLA irrevocably" 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39">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40">
        <w:r>
          <w:rPr>
            <w:rStyle w:val="Hyperlink"/>
          </w:rPr>
          <w:t xml:space="preserve">Court of Appeals: Peter Lampack Agency v. Martha Grimes,</w:t>
        </w:r>
      </w:hyperlink>
      <w:r>
        <w:t xml:space="preserve"> </w:t>
      </w:r>
      <w:r>
        <w:t xml:space="preserve">93 A.D.3d 430 (NY.Ct. App. 2012).</w:t>
      </w:r>
    </w:p>
    <w:p>
      <w:pPr>
        <w:pStyle w:val="Heading4"/>
      </w:pPr>
      <w:bookmarkStart w:id="41" w:name="the-interminable-agency-clause-1"/>
      <w:bookmarkEnd w:id="41"/>
      <w:r>
        <w:t xml:space="preserve">The Interminable Agency Clause</w:t>
      </w:r>
    </w:p>
    <w:p>
      <w:pPr>
        <w:pStyle w:val="Compact"/>
        <w:numPr>
          <w:numId w:val="1009"/>
          <w:ilvl w:val="0"/>
        </w:numPr>
      </w:pPr>
      <w:hyperlink r:id="rId32">
        <w:r>
          <w:rPr>
            <w:rStyle w:val="Hyperlink"/>
          </w:rPr>
          <w:t xml:space="preserve">Description of clause</w:t>
        </w:r>
      </w:hyperlink>
    </w:p>
    <w:p>
      <w:pPr>
        <w:pStyle w:val="Heading2"/>
      </w:pPr>
      <w:bookmarkStart w:id="42" w:name="hollywood-representation"/>
      <w:bookmarkEnd w:id="42"/>
      <w:r>
        <w:t xml:space="preserve">Hollywood Representation</w:t>
      </w:r>
    </w:p>
    <w:p>
      <w:pPr>
        <w:pStyle w:val="FirstParagraph"/>
      </w:pPr>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 "find" 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p>
      <w:pPr>
        <w:pStyle w:val="Heading3"/>
      </w:pPr>
      <w:bookmarkStart w:id="43" w:name="new-yorks-employment-agent-regulation"/>
      <w:bookmarkEnd w:id="43"/>
      <w:r>
        <w:t xml:space="preserve">New York’s Employment Agent Regulation</w:t>
      </w:r>
    </w:p>
    <w:p>
      <w:pPr>
        <w:pStyle w:val="FirstParagraph"/>
      </w:pPr>
      <w:r>
        <w:t xml:space="preserve">New York regulates "theatrical employment" agencies under its general business laws where section 171 defines a "theatrical employment agency" as:</w:t>
      </w:r>
    </w:p>
    <w:p>
      <w:pPr>
        <w:pStyle w:val="BlockText"/>
      </w:pPr>
      <w:r>
        <w:t xml:space="preserve">any person &amp;hellip;</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44">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 AND a manager.</w:t>
      </w:r>
    </w:p>
    <w:p>
      <w:pPr>
        <w:pStyle w:val="Heading3"/>
      </w:pPr>
      <w:bookmarkStart w:id="45" w:name="mandel-v.-liebman"/>
      <w:bookmarkEnd w:id="45"/>
      <w:r>
        <w:rPr>
          <w:i/>
        </w:rPr>
        <w:t xml:space="preserve">Mandel v. Liebman</w:t>
      </w:r>
    </w:p>
    <w:p>
      <w:pPr>
        <w:pStyle w:val="Heading6"/>
      </w:pPr>
      <w:bookmarkStart w:id="46" w:name="new-york-supreme-court-1951"/>
      <w:bookmarkEnd w:id="46"/>
      <w:r>
        <w:t xml:space="preserve">New York Supreme Court (1951)</w:t>
      </w:r>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&amp;hellip;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'as his personal representative and manager'</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contract.&amp;hellip;</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discharge.&amp;hellip;</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&amp;hellip;</w:t>
      </w:r>
      <w:r>
        <w:t xml:space="preserve"> </w:t>
      </w:r>
      <w:r>
        <w:t xml:space="preserve">'was void and unconscionable and against public policy'.</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‘what might be called a tribute in perpetuity.’&amp;hellip;</w:t>
      </w:r>
    </w:p>
    <w:p>
      <w:pPr>
        <w:pStyle w:val="BodyText"/>
      </w:pPr>
      <w:r>
        <w:t xml:space="preserve">It is apparent that the majority, in</w:t>
      </w:r>
      <w:r>
        <w:t xml:space="preserve"> </w:t>
      </w:r>
      <w:r>
        <w:t xml:space="preserve">holding the contracts to be ‘unconscionable’,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 “If a person chooses to make an</w:t>
      </w:r>
      <w:r>
        <w:t xml:space="preserve"> </w:t>
      </w:r>
      <w:r>
        <w:t xml:space="preserve">extravagent promise for an inadequate consideration, it is his own</w:t>
      </w:r>
      <w:r>
        <w:t xml:space="preserve"> </w:t>
      </w:r>
      <w:r>
        <w:t xml:space="preserve">affair." 8 Holdworth, History of English Law.&amp;hellip;</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terms.&amp;hellip;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other.&amp;hellip;</w:t>
      </w:r>
      <w:r>
        <w:t xml:space="preserve"> </w:t>
      </w:r>
      <w:r>
        <w:t xml:space="preserve">The inequality &amp;hellip;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&amp;hellip;</w:t>
      </w:r>
      <w:r>
        <w:t xml:space="preserve"> </w:t>
      </w:r>
      <w:r>
        <w:t xml:space="preserve">that the Liebman 'hereby employs' Mandel</w:t>
      </w:r>
      <w:r>
        <w:t xml:space="preserve"> </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 of Liebman's career</w:t>
      </w:r>
      <w:r>
        <w:t xml:space="preserve"> </w:t>
      </w:r>
      <w:r>
        <w:t xml:space="preserve">and 'to advise him in connection with all offers of employment</w:t>
      </w:r>
      <w:r>
        <w:t xml:space="preserve"> </w:t>
      </w:r>
      <w:r>
        <w:t xml:space="preserve">and contracts for services, and conclude for him such contracts.'</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 'as personal representative and manager,'</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‘shall only devote as much time and attention</w:t>
      </w:r>
      <w:r>
        <w:t xml:space="preserve"> </w:t>
      </w:r>
      <w:r>
        <w:t xml:space="preserve">to the activities and affairs' of Liebman</w:t>
      </w:r>
      <w:r>
        <w:t xml:space="preserve"> </w:t>
      </w:r>
      <w:r>
        <w:t xml:space="preserve">‘as the opinion and judgment’ of Mandel ‘deems necessary’</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&amp;hellip;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 “such as no man in his senses &amp;hellip; would</w:t>
      </w:r>
      <w:r>
        <w:t xml:space="preserve"> </w:t>
      </w:r>
      <w:r>
        <w:t xml:space="preserve">make” and “no honest or fair man would accept” &amp;hellip; or one which would</w:t>
      </w:r>
      <w:r>
        <w:t xml:space="preserve"> </w:t>
      </w:r>
      <w:r>
        <w:t xml:space="preserve">‘shock the conscience and confound the judgment of any man of common</w:t>
      </w:r>
      <w:r>
        <w:t xml:space="preserve"> </w:t>
      </w:r>
      <w:r>
        <w:t xml:space="preserve">sense’ &amp;hellip; or even one which is ‘so extreme as to appear</w:t>
      </w:r>
      <w:r>
        <w:t xml:space="preserve"> </w:t>
      </w:r>
      <w:r>
        <w:t xml:space="preserve">unconscionable according to the mores and business practices of the time</w:t>
      </w:r>
      <w:r>
        <w:t xml:space="preserve"> </w:t>
      </w:r>
      <w:r>
        <w:t xml:space="preserve">and place’ &amp;hellip;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 ‘a tribute in perpetuity.’</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discharge.&amp;hellip;</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ability.&amp;hellip;</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&amp;hellip; was conducting a theatrical employment agency</w:t>
      </w:r>
      <w:r>
        <w:t xml:space="preserve"> </w:t>
      </w:r>
      <w:r>
        <w:t xml:space="preserve">without a license therefor.</w:t>
      </w:r>
      <w:r>
        <w:t xml:space="preserve"> </w:t>
      </w:r>
      <w:r>
        <w:t xml:space="preserve">By express exemption &amp;hellip;</w:t>
      </w:r>
      <w:r>
        <w:t xml:space="preserve"> </w:t>
      </w:r>
      <w:r>
        <w:t xml:space="preserve">a person engaged in the business of managing</w:t>
      </w:r>
      <w:r>
        <w:t xml:space="preserve"> </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 </w:t>
      </w:r>
      <w:r>
        <w:t xml:space="preserve">is not required to be licensed.</w:t>
      </w:r>
      <w:r>
        <w:t xml:space="preserve"> </w:t>
      </w:r>
      <w:r>
        <w:t xml:space="preserve">As noted, Mandel was employed as Liebman's 'personal representative and manager'.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 ‘not required in any</w:t>
      </w:r>
      <w:r>
        <w:t xml:space="preserve"> </w:t>
      </w:r>
      <w:r>
        <w:t xml:space="preserve">way to procure’ such contracts or work, and that in the event Liebman</w:t>
      </w:r>
      <w:r>
        <w:t xml:space="preserve"> </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 by Liebman.</w:t>
      </w:r>
    </w:p>
    <w:p>
      <w:pPr>
        <w:pStyle w:val="FirstParagraph"/>
      </w:pPr>
      <w:r>
        <w:t xml:space="preserve">The judgments below should be reversed and a new trial granted, with</w:t>
      </w:r>
      <w:r>
        <w:t xml:space="preserve"> </w:t>
      </w:r>
      <w:r>
        <w:t xml:space="preserve">costs to abide the event.</w:t>
      </w:r>
    </w:p>
    <w:p>
      <w:pPr>
        <w:pStyle w:val="Heading3"/>
      </w:pPr>
      <w:bookmarkStart w:id="47" w:name="california-talent-agencies-act"/>
      <w:bookmarkEnd w:id="47"/>
      <w:r>
        <w:t xml:space="preserve">California Talent Agencies Act</w:t>
      </w:r>
    </w:p>
    <w:p>
      <w:pPr>
        <w:pStyle w:val="Heading6"/>
      </w:pPr>
      <w:bookmarkStart w:id="48" w:name="of-the-california-labor-code"/>
      <w:bookmarkEnd w:id="48"/>
      <w:r>
        <w:t xml:space="preserve">§§ 1700.23-1700.47 of the California Labor Code</w:t>
      </w:r>
    </w:p>
    <w:p>
      <w:pPr>
        <w:pStyle w:val="FirstParagraph"/>
      </w:pPr>
      <w:r>
        <w:t xml:space="preserve">In California, talent agents and talent agencies are regulated by the Talent Agencies Act (TAA), which is part of the</w:t>
      </w:r>
      <w:r>
        <w:t xml:space="preserve"> </w:t>
      </w:r>
      <w:hyperlink r:id="rId49">
        <w:r>
          <w:rPr>
            <w:rStyle w:val="Hyperlink"/>
          </w:rPr>
          <w:t xml:space="preserve">California Labor Code</w:t>
        </w:r>
      </w:hyperlink>
      <w:r>
        <w:t xml:space="preserve">.</w:t>
      </w:r>
    </w:p>
    <w:p>
      <w:pPr>
        <w:pStyle w:val="BodyText"/>
      </w:pPr>
      <w:hyperlink r:id="rId50">
        <w:r>
          <w:rPr>
            <w:rStyle w:val="Hyperlink"/>
          </w:rPr>
          <w:t xml:space="preserve">TAA Section 1700.4</w:t>
        </w:r>
      </w:hyperlink>
      <w:r>
        <w:t xml:space="preserve"> </w:t>
      </w:r>
      <w:r>
        <w:t xml:space="preserve">carefully defines its terms:</w:t>
      </w:r>
    </w:p>
    <w:p>
      <w:pPr>
        <w:pStyle w:val="BlockText"/>
      </w:pPr>
      <w:r>
        <w:t xml:space="preserve">"Talent agency" 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 "manage"</w:t>
      </w:r>
      <w:r>
        <w:t xml:space="preserve"> </w:t>
      </w:r>
      <w:r>
        <w:t xml:space="preserve">their clients careers.</w:t>
      </w:r>
      <w:r>
        <w:t xml:space="preserve"> </w:t>
      </w:r>
      <w:r>
        <w:t xml:space="preserve">If managers start "procuring, offering, promising</w:t>
      </w:r>
      <w:r>
        <w:t xml:space="preserve"> </w:t>
      </w:r>
      <w:r>
        <w:t xml:space="preserve">or attempting to procure employment" 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 "solicit or procure employment" for their clients?</w:t>
      </w:r>
      <w:r>
        <w:t xml:space="preserve"> </w:t>
      </w:r>
      <w:r>
        <w:t xml:space="preserve">In the course of addressing this issue,</w:t>
      </w:r>
      <w:r>
        <w:t xml:space="preserve"> </w:t>
      </w:r>
      <w:r>
        <w:t xml:space="preserve">the opinion becomes almost an essay about how Hollywood works.</w:t>
      </w:r>
    </w:p>
    <w:p>
      <w:pPr>
        <w:pStyle w:val="Heading3"/>
      </w:pPr>
      <w:bookmarkStart w:id="51" w:name="representation-1"/>
      <w:bookmarkEnd w:id="51"/>
      <w:r>
        <w:t xml:space="preserve">Representation</w:t>
      </w:r>
    </w:p>
    <w:p>
      <w:pPr>
        <w:pStyle w:val="Heading2"/>
      </w:pPr>
      <w:bookmarkStart w:id="52" w:name="marathon-entertainment-inc.-v.-blasi"/>
      <w:bookmarkEnd w:id="52"/>
      <w:r>
        <w:t xml:space="preserve">Marathon Entertainment, Inc. v. Blasi,</w:t>
      </w:r>
    </w:p>
    <w:p>
      <w:pPr>
        <w:pStyle w:val="Heading6"/>
      </w:pPr>
      <w:bookmarkStart w:id="53" w:name="california-supreme-court-2008"/>
      <w:bookmarkEnd w:id="53"/>
      <w:r>
        <w:t xml:space="preserve">California Supreme Court (2008)</w:t>
      </w:r>
    </w:p>
    <w:p>
      <w:pPr>
        <w:pStyle w:val="Compact"/>
        <w:numPr>
          <w:numId w:val="1011"/>
          <w:ilvl w:val="0"/>
        </w:numPr>
      </w:pPr>
      <w:hyperlink r:id="rId54">
        <w:r>
          <w:rPr>
            <w:rStyle w:val="Hyperlink"/>
          </w:rPr>
          <w:t xml:space="preserve">Case on Google scholar</w:t>
        </w:r>
      </w:hyperlink>
    </w:p>
    <w:p>
      <w:pPr>
        <w:pStyle w:val="Compact"/>
        <w:numPr>
          <w:numId w:val="1011"/>
          <w:ilvl w:val="0"/>
        </w:numPr>
      </w:pPr>
      <w:hyperlink r:id="rId55">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pStyle w:val="Compact"/>
        <w:numPr>
          <w:numId w:val="1012"/>
          <w:ilvl w:val="0"/>
        </w:numPr>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pStyle w:val="Compact"/>
        <w:numPr>
          <w:numId w:val="1012"/>
          <w:ilvl w:val="0"/>
        </w:numPr>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pStyle w:val="Compact"/>
        <w:numPr>
          <w:numId w:val="1012"/>
          <w:ilvl w:val="0"/>
        </w:numPr>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p>
      <w:pPr>
        <w:pStyle w:val="Heading3"/>
      </w:pPr>
      <w:bookmarkStart w:id="56" w:name="factual-and-procedural-background"/>
      <w:bookmarkEnd w:id="56"/>
      <w:r>
        <w:t xml:space="preserve">FACTUAL AND PROCEDURAL BACKGROUND</w:t>
      </w:r>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55">
        <w:r>
          <w:rPr>
            <w:rStyle w:val="Hyperlink"/>
          </w:rPr>
          <w:t xml:space="preserve">Blasi</w:t>
        </w:r>
      </w:hyperlink>
      <w:r>
        <w:t xml:space="preserve"> </w:t>
      </w:r>
      <w:r>
        <w:t xml:space="preserve">as an actress</w:t>
      </w:r>
      <w:r>
        <w:t xml:space="preserve"> </w:t>
      </w:r>
      <w:r>
        <w:t xml:space="preserve">on the &amp;hellip;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novo.&amp;hellip;</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&amp;hellip;</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p>
      <w:pPr>
        <w:pStyle w:val="Heading3"/>
      </w:pPr>
      <w:bookmarkStart w:id="57" w:name="discussion"/>
      <w:bookmarkEnd w:id="57"/>
      <w:r>
        <w:t xml:space="preserve">DISCUSSION</w:t>
      </w:r>
    </w:p>
    <w:p>
      <w:pPr>
        <w:pStyle w:val="Heading3"/>
      </w:pPr>
      <w:bookmarkStart w:id="58" w:name="i.-background"/>
      <w:bookmarkEnd w:id="58"/>
      <w:r>
        <w:t xml:space="preserve">I. Background</w:t>
      </w:r>
    </w:p>
    <w:p>
      <w:pPr>
        <w:pStyle w:val="Heading4"/>
      </w:pPr>
      <w:bookmarkStart w:id="59" w:name="a.-agents-and-managers"/>
      <w:bookmarkEnd w:id="59"/>
      <w:r>
        <w:t xml:space="preserve">A. Agents and Managers</w:t>
      </w:r>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 "franchised" 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p>
      <w:pPr>
        <w:pStyle w:val="Heading4"/>
      </w:pPr>
      <w:bookmarkStart w:id="60" w:name="b.-the-talent-agencies-act"/>
      <w:bookmarkEnd w:id="60"/>
      <w:r>
        <w:t xml:space="preserve">B. The Talent Agencies Act</w:t>
      </w:r>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 "employment opportunities."</w:t>
      </w:r>
      <w:r>
        <w:t xml:space="preserve"> </w:t>
      </w:r>
      <w:r>
        <w:t xml:space="preserve">(See Stats. 1913, ch. 282, § 14, pp. 519-520 [prohibiting agents from</w:t>
      </w:r>
      <w:r>
        <w:t xml:space="preserve"> </w:t>
      </w:r>
      <w:r>
        <w:t xml:space="preserve">fee-splitting, sending artists to "house[s] of ill fame" or saloons, or</w:t>
      </w:r>
      <w:r>
        <w:t xml:space="preserve"> </w:t>
      </w:r>
      <w:r>
        <w:t xml:space="preserve">allowing "persons of bad character" to frequent their establishments];</w:t>
      </w:r>
      <w:r>
        <w:t xml:space="preserve"> </w:t>
      </w:r>
      <w:r>
        <w:rPr>
          <w:i/>
        </w:rPr>
        <w:t xml:space="preserve">Talent Agencies Act,</w:t>
      </w:r>
      <w:r>
        <w:t xml:space="preserve"> </w:t>
      </w:r>
      <w:r>
        <w:t xml:space="preserve">at pp. 386-387) &amp;hellip;</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&amp;hellip;</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Act.&amp;hellip;</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 "safe harbor" for managers to procure employment</w:t>
      </w:r>
      <w:r>
        <w:t xml:space="preserve"> </w:t>
      </w:r>
      <w:r>
        <w:t xml:space="preserve">if they did so in conjunction with a licensed agent.&amp;hellip;</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 "recommend to the Legislature a model bill." &amp;hellip;</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changes.&amp;hellip;</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'Artists' 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interest.&amp;hellip; No</w:t>
      </w:r>
      <w:r>
        <w:t xml:space="preserve"> </w:t>
      </w:r>
      <w:r>
        <w:t xml:space="preserve">separate analogous licensing or regulatory scheme extends to personal</w:t>
      </w:r>
      <w:r>
        <w:t xml:space="preserve"> </w:t>
      </w:r>
      <w:r>
        <w:t xml:space="preserve">managers.</w:t>
      </w:r>
      <w:r>
        <w:t xml:space="preserve"> </w:t>
      </w:r>
      <w:hyperlink r:id="rId61">
        <w:r>
          <w:rPr>
            <w:i/>
            <w:rStyle w:val="Hyperlink"/>
          </w:rPr>
          <w:t xml:space="preserve">Waisbren v. Peppercorn Productions, Inc.,</w:t>
        </w:r>
      </w:hyperlink>
      <w:r>
        <w:t xml:space="preserve">.</w:t>
      </w:r>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p>
      <w:pPr>
        <w:pStyle w:val="Heading3"/>
      </w:pPr>
      <w:bookmarkStart w:id="62" w:name="ii.-the-scope-of-the-talent-agencies-act-application-to-managers"/>
      <w:bookmarkEnd w:id="62"/>
      <w:r>
        <w:t xml:space="preserve">II.</w:t>
      </w:r>
      <w:r>
        <w:t xml:space="preserve"> </w:t>
      </w:r>
      <w:r>
        <w:rPr>
          <w:i/>
        </w:rPr>
        <w:t xml:space="preserve">The Scope of the Talent Agencies Act: Application to Managers</w:t>
      </w:r>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Act.&amp;hellip;</w:t>
      </w:r>
      <w:r>
        <w:t xml:space="preserve"> </w:t>
      </w:r>
      <w:r>
        <w:t xml:space="preserve">Section 1700.5 provides in relevant part: "No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 (Italics added.) In</w:t>
      </w:r>
      <w:r>
        <w:t xml:space="preserve"> </w:t>
      </w:r>
      <w:r>
        <w:t xml:space="preserve">turn, "person" is expressly defined to include "any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 (§ 1700, italics</w:t>
      </w:r>
      <w:r>
        <w:t xml:space="preserve"> </w:t>
      </w:r>
      <w:r>
        <w:t xml:space="preserve">added), and "'talent agency' 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 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regulation.&amp;hellip;</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63">
        <w:r>
          <w:rPr>
            <w:i/>
            <w:rStyle w:val="Hyperlink"/>
          </w:rPr>
          <w:t xml:space="preserve">Park v. Deftones,</w:t>
        </w:r>
      </w:hyperlink>
      <w:r>
        <w:t xml:space="preserve">;</w:t>
      </w:r>
      <w:r>
        <w:t xml:space="preserve"> </w:t>
      </w:r>
      <w:hyperlink r:id="rId61">
        <w:r>
          <w:rPr>
            <w:rStyle w:val="Hyperlink"/>
          </w:rPr>
          <w:t xml:space="preserve">*Waisbren v. Peppercorn Productions, Inc.</w:t>
        </w:r>
      </w:hyperlink>
      <w:r>
        <w:t xml:space="preserve">&amp;hellip;</w:t>
      </w:r>
      <w:r>
        <w:t xml:space="preserve"> </w:t>
      </w:r>
      <w:r>
        <w:t xml:space="preserve">The Labor Commissioner, whose interpretations of the</w:t>
      </w:r>
      <w:r>
        <w:t xml:space="preserve"> </w:t>
      </w:r>
      <w:r>
        <w:t xml:space="preserve">Act we may look to for guidance &amp;hellip;</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 "occupation" 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64">
        <w:r>
          <w:rPr>
            <w:i/>
            <w:rStyle w:val="Hyperlink"/>
          </w:rPr>
          <w:t xml:space="preserve">Wachs</w:t>
        </w:r>
        <w:r>
          <w:rPr>
            <w:i/>
            <w:rStyle w:val="Hyperlink"/>
          </w:rPr>
          <w:t xml:space="preserve"> </w:t>
        </w:r>
        <w:r>
          <w:rPr>
            <w:i/>
            <w:rStyle w:val="Hyperlink"/>
          </w:rPr>
          <w:t xml:space="preserve">v. Curry</w:t>
        </w:r>
      </w:hyperlink>
      <w:r>
        <w:t xml:space="preserve"> </w:t>
      </w:r>
      <w:r>
        <w:t xml:space="preserve">(Act applies only when "the agent's employment procurement function</w:t>
      </w:r>
      <w:r>
        <w:t xml:space="preserve"> </w:t>
      </w:r>
      <w:r>
        <w:t xml:space="preserve">constitutes a significant part of the agent's business as a whole").</w:t>
      </w:r>
      <w:r>
        <w:t xml:space="preserve"> </w:t>
      </w:r>
      <w:r>
        <w:t xml:space="preserve">However, as we have previously acknowledged in dicta, "[t]he weight of</w:t>
      </w:r>
      <w:r>
        <w:t xml:space="preserve"> </w:t>
      </w:r>
      <w:r>
        <w:t xml:space="preserve">authority is that even the incidental or occasional provision of such</w:t>
      </w:r>
      <w:r>
        <w:t xml:space="preserve"> </w:t>
      </w:r>
      <w:r>
        <w:t xml:space="preserve">services requires licensure."&amp;hellip;</w:t>
      </w:r>
    </w:p>
    <w:p>
      <w:pPr>
        <w:pStyle w:val="BodyText"/>
      </w:pPr>
      <w:r>
        <w:t xml:space="preserve">In agreement with these decisions, the Labor Commissioner has</w:t>
      </w:r>
      <w:r>
        <w:t xml:space="preserve"> </w:t>
      </w:r>
      <w:r>
        <w:t xml:space="preserve">uniformly interpreted the Act as extending to incidental procurement.&amp;hellip;</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Act.&amp;hellip;</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 "log-rolling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 &amp;hellip;</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legislation.&amp;hellip;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 "It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activity."&amp;hellip;</w:t>
      </w:r>
    </w:p>
    <w:p>
      <w:pPr>
        <w:pStyle w:val="Heading3"/>
      </w:pPr>
      <w:bookmarkStart w:id="65" w:name="iii.-sanctions-for-solicitation-and-procurement-under-the-act"/>
      <w:bookmarkEnd w:id="65"/>
      <w:r>
        <w:t xml:space="preserve">III.</w:t>
      </w:r>
      <w:r>
        <w:t xml:space="preserve"> </w:t>
      </w:r>
      <w:r>
        <w:rPr>
          <w:i/>
        </w:rPr>
        <w:t xml:space="preserve">Sanctions for Solicitation and Procurement Under the Act</w:t>
      </w:r>
    </w:p>
    <w:p>
      <w:pPr>
        <w:pStyle w:val="Heading4"/>
      </w:pPr>
      <w:bookmarkStart w:id="66" w:name="a.-marathons-procurement"/>
      <w:bookmarkEnd w:id="66"/>
      <w:r>
        <w:t xml:space="preserve">A.</w:t>
      </w:r>
      <w:r>
        <w:t xml:space="preserve"> </w:t>
      </w:r>
      <w:r>
        <w:rPr>
          <w:i/>
        </w:rPr>
        <w:t xml:space="preserve">Marathon's Procurement</w:t>
      </w:r>
    </w:p>
    <w:p>
      <w:pPr>
        <w:pStyle w:val="FirstParagraph"/>
      </w:pPr>
      <w:r>
        <w:t xml:space="preserve">We note we are not called on to decide, and do not decide, what</w:t>
      </w:r>
      <w:r>
        <w:t xml:space="preserve"> </w:t>
      </w:r>
      <w:r>
        <w:t xml:space="preserve">precisely constitutes "procurement" 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&amp;hellip;</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 "safe harbor" 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p>
      <w:pPr>
        <w:pStyle w:val="Heading4"/>
      </w:pPr>
      <w:bookmarkStart w:id="67" w:name="b.-the-applicability-of-the-doctrine-of-severability-to-manager-talent-contracts"/>
      <w:bookmarkEnd w:id="67"/>
      <w:r>
        <w:t xml:space="preserve">B.</w:t>
      </w:r>
      <w:r>
        <w:t xml:space="preserve"> </w:t>
      </w:r>
      <w:r>
        <w:rPr>
          <w:i/>
        </w:rPr>
        <w:t xml:space="preserve">The Applicability of the Doctrine of Severability to Manager-talent Contracts</w:t>
      </w:r>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 "Where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both.&amp;hellip;</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services.&amp;hellip;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68">
        <w:r>
          <w:rPr>
            <w:i/>
            <w:rStyle w:val="Hyperlink"/>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considerations.&amp;hellip;</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illegality.&amp;hellip;</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69">
        <w:r>
          <w:rPr>
            <w:i/>
            <w:rStyle w:val="Hyperlink"/>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services.&amp;hellip;</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services.&amp;hellip;</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 "The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 (Entertainment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 "power" to void</w:t>
      </w:r>
      <w:r>
        <w:t xml:space="preserve"> </w:t>
      </w:r>
      <w:r>
        <w:t xml:space="preserve">contracts, that she is "empowered" to deny all recovery for services</w:t>
      </w:r>
      <w:r>
        <w:t xml:space="preserve"> </w:t>
      </w:r>
      <w:r>
        <w:t xml:space="preserve">where the Act has been violated, and that these remedies are</w:t>
      </w:r>
      <w:r>
        <w:t xml:space="preserve"> </w:t>
      </w:r>
      <w:r>
        <w:t xml:space="preserve">"available." 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69">
        <w:r>
          <w:rPr>
            <w:i/>
            <w:rStyle w:val="Hyperlink"/>
          </w:rPr>
          <w:t xml:space="preserve">Chiba v. Greenwald supra</w:t>
        </w:r>
      </w:hyperlink>
      <w:r>
        <w:t xml:space="preserve"> </w:t>
      </w:r>
      <w:hyperlink r:id="rId68">
        <w:r>
          <w:rPr>
            <w:i/>
            <w:rStyle w:val="Hyperlink"/>
          </w:rPr>
          <w:t xml:space="preserve">Yoo v. Robi supra</w:t>
        </w:r>
      </w:hyperlink>
      <w:r>
        <w:t xml:space="preserve"> </w:t>
      </w:r>
      <w:hyperlink r:id="rId63">
        <w:r>
          <w:rPr>
            <w:i/>
            <w:rStyle w:val="Hyperlink"/>
          </w:rPr>
          <w:t xml:space="preserve">Park v. Deftones, supra,</w:t>
        </w:r>
      </w:hyperlink>
      <w:r>
        <w:t xml:space="preserve"> </w:t>
      </w:r>
      <w:hyperlink r:id="rId61">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procurement.&amp;hellip;</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&amp;hellip;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license.&amp;hellip;</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force.&amp;hellip;</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p>
      <w:pPr>
        <w:pStyle w:val="Heading2"/>
      </w:pPr>
      <w:bookmarkStart w:id="70" w:name="c.-application-of-the-severability-doctrine"/>
      <w:bookmarkEnd w:id="70"/>
      <w:r>
        <w:t xml:space="preserve">C.</w:t>
      </w:r>
      <w:r>
        <w:t xml:space="preserve"> </w:t>
      </w:r>
      <w:r>
        <w:rPr>
          <w:i/>
        </w:rPr>
        <w:t xml:space="preserve">Application of the Severability Doctrine</w:t>
      </w:r>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 "[t]he</w:t>
      </w:r>
      <w:r>
        <w:t xml:space="preserve"> </w:t>
      </w:r>
      <w:r>
        <w:t xml:space="preserve">overarching inquiry is whether `"the interests of justice ... would be</w:t>
      </w:r>
      <w:r>
        <w:t xml:space="preserve"> </w:t>
      </w:r>
      <w:r>
        <w:t xml:space="preserve">furthered"' by severance." &amp;hellip; "Courts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appropriate."&amp;hellip;</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client.&amp;hellip;</w:t>
      </w:r>
    </w:p>
    <w:p>
      <w:pPr>
        <w:pStyle w:val="BodyText"/>
      </w:pPr>
      <w:r>
        <w:t xml:space="preserve">While an undifferentiated compensation scheme may in some instances</w:t>
      </w:r>
      <w:r>
        <w:t xml:space="preserve"> </w:t>
      </w:r>
      <w:r>
        <w:t xml:space="preserve">preclude severance &amp;hellip;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license.&amp;hellip;</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scheme.&amp;hellip;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services.&amp;hellip;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&amp;hellip;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&amp;hellip;</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p>
      <w:pPr>
        <w:pStyle w:val="Heading2"/>
      </w:pPr>
      <w:bookmarkStart w:id="71" w:name="disposition"/>
      <w:bookmarkEnd w:id="71"/>
      <w:r>
        <w:t xml:space="preserve">Disposition</w:t>
      </w:r>
    </w:p>
    <w:p>
      <w:pPr>
        <w:pStyle w:val="FirstParagraph"/>
      </w:pPr>
      <w:r>
        <w:t xml:space="preserve">For the foregoing reasons, we affirm the Court of Appeal's judgment and</w:t>
      </w:r>
      <w:r>
        <w:t xml:space="preserve"> </w:t>
      </w:r>
      <w:r>
        <w:t xml:space="preserve">remand this case for further proceedings consistent with this opinion.</w:t>
      </w:r>
    </w:p>
    <w:p>
      <w:pPr>
        <w:pStyle w:val="Heading3"/>
      </w:pPr>
      <w:bookmarkStart w:id="72" w:name="wachs-v.-curry-cal.ct.app.2d-1993."/>
      <w:bookmarkEnd w:id="72"/>
      <w:r>
        <w:rPr>
          <w:i/>
        </w:rPr>
        <w:t xml:space="preserve">Wachs v. Curry,</w:t>
      </w:r>
      <w:r>
        <w:t xml:space="preserve"> </w:t>
      </w:r>
      <w:r>
        <w:t xml:space="preserve">(Cal.Ct.App.2d 1993).</w:t>
      </w:r>
    </w:p>
    <w:p>
      <w:pPr>
        <w:pStyle w:val="Compact"/>
        <w:numPr>
          <w:numId w:val="1013"/>
          <w:ilvl w:val="0"/>
        </w:numPr>
      </w:pPr>
      <w:hyperlink r:id="rId73">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4">
        <w:r>
          <w:rPr>
            <w:rStyle w:val="Hyperlink"/>
          </w:rPr>
          <w:t xml:space="preserve">Arsenio Hall</w:t>
        </w:r>
      </w:hyperlink>
      <w:r>
        <w:t xml:space="preserve"> </w:t>
      </w:r>
      <w:r>
        <w:t xml:space="preserve">sued his former manager, Robert Wachs (a lawyer) of X Corporation, accusing Wachs of trying to "procure empoyment" 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 "no rational basis" for exempting the recording industry from the provisions of the TAA.</w:t>
      </w:r>
    </w:p>
    <w:p>
      <w:pPr>
        <w:pStyle w:val="Compact"/>
        <w:numPr>
          <w:numId w:val="1014"/>
          <w:ilvl w:val="0"/>
        </w:numPr>
      </w:pPr>
      <w:r>
        <w:t xml:space="preserve">The TAA is unconstitutionally VAGUE.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 "legal" portions of the representation provided and sever the illegal ones.</w:t>
      </w:r>
    </w:p>
    <w:p>
      <w:pPr>
        <w:pStyle w:val="Compact"/>
        <w:numPr>
          <w:numId w:val="1016"/>
          <w:ilvl w:val="0"/>
        </w:numPr>
      </w:pPr>
      <w:hyperlink r:id="rId75">
        <w:r>
          <w:rPr>
            <w:rStyle w:val="Hyperlink"/>
          </w:rPr>
          <w:t xml:space="preserve">California's Talent Agencies Act: Don't Procure Employment Without A License</w:t>
        </w:r>
      </w:hyperlink>
    </w:p>
    <w:p>
      <w:pPr>
        <w:pStyle w:val="Compact"/>
        <w:numPr>
          <w:numId w:val="1016"/>
          <w:ilvl w:val="0"/>
        </w:numPr>
      </w:pPr>
      <w:r>
        <w:t xml:space="preserve">For more information, see:</w:t>
      </w:r>
      <w:r>
        <w:t xml:space="preserve"> </w:t>
      </w:r>
      <w:hyperlink r:id="rId76">
        <w:r>
          <w:rPr>
            <w:rStyle w:val="Hyperlink"/>
          </w:rPr>
          <w:t xml:space="preserve">How to obtain a California Talent Agency License</w:t>
        </w:r>
      </w:hyperlink>
      <w:r>
        <w:t xml:space="preserve">.</w:t>
      </w:r>
    </w:p>
    <w:p>
      <w:pPr>
        <w:pStyle w:val="Heading3"/>
      </w:pPr>
      <w:bookmarkStart w:id="77" w:name="music-industry-exception"/>
      <w:bookmarkEnd w:id="77"/>
      <w:r>
        <w:t xml:space="preserve">Music Industry Exception</w:t>
      </w:r>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artist.&amp;hellip; However, the problems of attempting to license or otherwise regulate this activity arise from the ambiguities, intangibles and imprecisions of the activity.&amp;hellip; The majority of the Commission concluded that the industry would be best served by resolving these ambiguities on the side of preserving the exemption of this activity from the requirements of licensure".&amp;hellip; On the commission's recommendation, the exemption for those who procure recording contracts became permanent.</w:t>
      </w:r>
    </w:p>
    <w:p>
      <w:pPr>
        <w:pStyle w:val="BlockText"/>
      </w:pPr>
      <w:hyperlink r:id="rId78">
        <w:r>
          <w:rPr>
            <w:i/>
            <w:rStyle w:val="Hyperlink"/>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pStyle w:val="Compact"/>
        <w:numPr>
          <w:numId w:val="1017"/>
          <w:ilvl w:val="0"/>
        </w:numPr>
      </w:pPr>
      <w:hyperlink r:id="rId79">
        <w:r>
          <w:rPr>
            <w:rStyle w:val="Hyperlink"/>
          </w:rPr>
          <w:t xml:space="preserve">Actors Union Introduces Voluntary Regulation of Talent Managers</w:t>
        </w:r>
      </w:hyperlink>
    </w:p>
    <w:p>
      <w:pPr>
        <w:pStyle w:val="Compact"/>
        <w:numPr>
          <w:numId w:val="1017"/>
          <w:ilvl w:val="0"/>
        </w:numPr>
      </w:pPr>
      <w:hyperlink r:id="rId80">
        <w:r>
          <w:rPr>
            <w:rStyle w:val="Hyperlink"/>
          </w:rPr>
          <w:t xml:space="preserve">Did the California Labor Commissioner Just Shake Up the Music Industry?</w:t>
        </w:r>
      </w:hyperlink>
    </w:p>
    <w:p>
      <w:pPr>
        <w:pStyle w:val="Heading2"/>
      </w:pPr>
      <w:bookmarkStart w:id="81" w:name="conflicts-of-interest"/>
      <w:bookmarkEnd w:id="81"/>
      <w:r>
        <w:t xml:space="preserve">Conflicts of Interest:</w:t>
      </w:r>
    </w:p>
    <w:p>
      <w:pPr>
        <w:pStyle w:val="Heading2"/>
      </w:pPr>
      <w:bookmarkStart w:id="82" w:name="croce-v.-kurnit"/>
      <w:bookmarkEnd w:id="82"/>
      <w:r>
        <w:t xml:space="preserve">Croce v. Kurnit</w:t>
      </w:r>
    </w:p>
    <w:p>
      <w:pPr>
        <w:pStyle w:val="Heading6"/>
      </w:pPr>
      <w:bookmarkStart w:id="83" w:name="united-states-district-court-s.d.n.y.-1982"/>
      <w:bookmarkEnd w:id="83"/>
      <w:r>
        <w:t xml:space="preserve">United States District Court (S.D.N.Y. 1982)</w:t>
      </w:r>
    </w:p>
    <w:p>
      <w:pPr>
        <w:pStyle w:val="Compact"/>
        <w:numPr>
          <w:numId w:val="1018"/>
          <w:ilvl w:val="0"/>
        </w:numPr>
      </w:pPr>
      <w:hyperlink r:id="rId84">
        <w:r>
          <w:rPr>
            <w:i/>
            <w:rStyle w:val="Hyperlink"/>
          </w:rPr>
          <w:t xml:space="preserve">Croce v. Kurnit,</w:t>
        </w:r>
      </w:hyperlink>
      <w:r>
        <w:t xml:space="preserve"> </w:t>
      </w:r>
      <w:r>
        <w:t xml:space="preserve">565 F.Supp. 884 (SDNY 1982).</w:t>
      </w:r>
    </w:p>
    <w:p>
      <w:pPr>
        <w:pStyle w:val="Compact"/>
        <w:numPr>
          <w:numId w:val="1018"/>
          <w:ilvl w:val="0"/>
        </w:numPr>
      </w:pPr>
      <w:hyperlink r:id="rId85">
        <w:r>
          <w:rPr>
            <w:rStyle w:val="Hyperlink"/>
          </w:rPr>
          <w:t xml:space="preserve">case on Google Scholar</w:t>
        </w:r>
      </w:hyperlink>
    </w:p>
    <w:p>
      <w:pPr>
        <w:pStyle w:val="Heading3"/>
      </w:pPr>
      <w:bookmarkStart w:id="86" w:name="opinion"/>
      <w:bookmarkEnd w:id="86"/>
      <w:r>
        <w:t xml:space="preserve">OPINION</w:t>
      </w:r>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 "A Star Is Born," 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("Mrs. Croce"),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denied.&amp;hellip;</w:t>
      </w:r>
    </w:p>
    <w:p>
      <w:pPr>
        <w:pStyle w:val="Heading4"/>
      </w:pPr>
      <w:bookmarkStart w:id="87" w:name="findings-of-fact"/>
      <w:bookmarkEnd w:id="87"/>
      <w:r>
        <w:rPr>
          <w:i/>
        </w:rPr>
        <w:t xml:space="preserve">Findings of Fact</w:t>
      </w:r>
    </w:p>
    <w:p>
      <w:pPr>
        <w:pStyle w:val="FirstParagraph"/>
      </w:pPr>
      <w:r>
        <w:t xml:space="preserve">James Joseph Croce ("Jim Croce")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("Pistilli")</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 "the lawyer." 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("the contracts").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("Interrobang"),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 "demo")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("Cushman") of Pepper, Hamilton &amp; Schatz in Philadelphia. On June 9,</w:t>
      </w:r>
      <w:r>
        <w:t xml:space="preserve"> </w:t>
      </w:r>
      <w:r>
        <w:t xml:space="preserve">1970 Croce wrote to Kurnit seeking to terminate the contracts and</w:t>
      </w:r>
      <w:r>
        <w:t xml:space="preserve"> </w:t>
      </w:r>
      <w:r>
        <w:t xml:space="preserve">advising him that "Ingrid and I are getting out of music." 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("BNB")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 "the estate sides," were the subject of the contract issues</w:t>
      </w:r>
      <w:r>
        <w:t xml:space="preserve"> </w:t>
      </w:r>
      <w:r>
        <w:t xml:space="preserve">concerning the publication of "The Faces I Have Been" 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p>
      <w:pPr>
        <w:pStyle w:val="Heading4"/>
      </w:pPr>
      <w:bookmarkStart w:id="88" w:name="representation-by-kurnit"/>
      <w:bookmarkEnd w:id="88"/>
      <w:r>
        <w:t xml:space="preserve">1.</w:t>
      </w:r>
      <w:r>
        <w:t xml:space="preserve"> </w:t>
      </w:r>
      <w:r>
        <w:rPr>
          <w:i/>
        </w:rPr>
        <w:t xml:space="preserve">Representation by Kurnit</w:t>
      </w:r>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 "the lawyer," 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deals.&amp;hellip;</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him.&amp;hellip; Kurnit's introduction as "the</w:t>
      </w:r>
      <w:r>
        <w:t xml:space="preserve"> </w:t>
      </w:r>
      <w:r>
        <w:t xml:space="preserve">lawyer," his explanation to the Croces of the "legal ramifications" 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duty.&amp;hellip;</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89">
        <w:r>
          <w:rPr>
            <w:i/>
            <w:rStyle w:val="Hyperlink"/>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90">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statement.&amp;hellip;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90">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 Mrs.</w:t>
      </w:r>
      <w:r>
        <w:t xml:space="preserve"> </w:t>
      </w:r>
      <w:r>
        <w:t xml:space="preserve">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controls.&amp;hellip;</w:t>
      </w:r>
    </w:p>
    <w:p>
      <w:pPr>
        <w:pStyle w:val="Heading4"/>
      </w:pPr>
      <w:bookmarkStart w:id="91" w:name="unconscionability-and-breach-of-fiduciary-duty"/>
      <w:bookmarkEnd w:id="91"/>
      <w:r>
        <w:t xml:space="preserve">3.</w:t>
      </w:r>
      <w:r>
        <w:t xml:space="preserve"> </w:t>
      </w:r>
      <w:r>
        <w:rPr>
          <w:i/>
        </w:rPr>
        <w:t xml:space="preserve">Unconscionability and Breach of Fiduciary Duty</w:t>
      </w:r>
    </w:p>
    <w:p>
      <w:pPr>
        <w:pStyle w:val="FirstParagraph"/>
      </w:pPr>
      <w:r>
        <w:t xml:space="preserve">Mrs. Croce contends that the contracts were unconscionable. An</w:t>
      </w:r>
      <w:r>
        <w:t xml:space="preserve"> </w:t>
      </w:r>
      <w:r>
        <w:t xml:space="preserve">unconscionable contract "affronts the sense of decency," &amp;hellip;</w:t>
      </w:r>
      <w:r>
        <w:t xml:space="preserve"> </w:t>
      </w:r>
      <w:r>
        <w:t xml:space="preserve">and usually involves gross onesidedness, lack of meaningful choice and</w:t>
      </w:r>
      <w:r>
        <w:t xml:space="preserve"> </w:t>
      </w:r>
      <w:r>
        <w:t xml:space="preserve">susceptible clientèle.&amp;hellip; A claim of unconscionability "requires some showing of 'an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party.'"&amp;hellip;</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loyalty.&amp;hellip;</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unfair.&amp;hellip;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&amp;hellip; ,</w:t>
      </w:r>
      <w:r>
        <w:t xml:space="preserve"> </w:t>
      </w:r>
      <w:r>
        <w:t xml:space="preserve">and that the contracts did not provide for the sole benefit of the</w:t>
      </w:r>
      <w:r>
        <w:t xml:space="preserve"> </w:t>
      </w:r>
      <w:r>
        <w:t xml:space="preserve">defendants, &amp;hellip;</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p>
      <w:pPr>
        <w:pStyle w:val="Heading4"/>
      </w:pPr>
      <w:bookmarkStart w:id="92" w:name="remedy"/>
      <w:bookmarkEnd w:id="92"/>
      <w:r>
        <w:t xml:space="preserve">4.</w:t>
      </w:r>
      <w:r>
        <w:t xml:space="preserve"> </w:t>
      </w:r>
      <w:r>
        <w:rPr>
          <w:i/>
        </w:rPr>
        <w:t xml:space="preserve">Remedy</w:t>
      </w:r>
    </w:p>
    <w:p>
      <w:pPr>
        <w:pStyle w:val="FirstParagraph"/>
      </w:pPr>
      <w:r>
        <w:t xml:space="preserve">Mrs. Croce seeks rescission of the contracts or more specifically</w:t>
      </w:r>
      <w:r>
        <w:t xml:space="preserve"> </w:t>
      </w:r>
      <w:r>
        <w:t xml:space="preserve">termination of the contracts on the date of judgment.&amp;hellip;</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amount.&amp;hellip;</w:t>
      </w:r>
    </w:p>
    <w:p>
      <w:pPr>
        <w:pStyle w:val="BodyText"/>
      </w:pPr>
      <w:r>
        <w:t xml:space="preserve">IT IS SO ORDERED.</w:t>
      </w:r>
    </w:p>
    <w:p>
      <w:pPr>
        <w:pStyle w:val="Heading3"/>
      </w:pPr>
      <w:bookmarkStart w:id="93" w:name="totally-optional-reading-viewing"/>
      <w:bookmarkEnd w:id="93"/>
      <w:r>
        <w:t xml:space="preserve">Totally Optional Reading &amp; Viewing</w:t>
      </w:r>
    </w:p>
    <w:p>
      <w:pPr>
        <w:pStyle w:val="FirstParagraph"/>
      </w:pPr>
      <w:r>
        <w:rPr>
          <w:b/>
        </w:rPr>
        <w:t xml:space="preserve">Gary Shandling v. Brad Grey</w:t>
      </w:r>
    </w:p>
    <w:p>
      <w:pPr>
        <w:pStyle w:val="Compact"/>
        <w:numPr>
          <w:numId w:val="1019"/>
          <w:ilvl w:val="0"/>
        </w:numPr>
      </w:pPr>
      <w:hyperlink r:id="rId94">
        <w:r>
          <w:rPr>
            <w:rStyle w:val="Hyperlink"/>
          </w:rPr>
          <w:t xml:space="preserve">LA Times on the lawsuit itself</w:t>
        </w:r>
      </w:hyperlink>
    </w:p>
    <w:p>
      <w:pPr>
        <w:pStyle w:val="Compact"/>
        <w:numPr>
          <w:numId w:val="1019"/>
          <w:ilvl w:val="0"/>
        </w:numPr>
      </w:pPr>
      <w:hyperlink r:id="rId95">
        <w:r>
          <w:rPr>
            <w:rStyle w:val="Hyperlink"/>
          </w:rPr>
          <w:t xml:space="preserve">Deadline on Shandling testimony at trial</w:t>
        </w:r>
      </w:hyperlink>
    </w:p>
    <w:p>
      <w:pPr>
        <w:pStyle w:val="Compact"/>
        <w:numPr>
          <w:numId w:val="1019"/>
          <w:ilvl w:val="0"/>
        </w:numPr>
      </w:pPr>
      <w:hyperlink r:id="rId96">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97">
        <w:r>
          <w:rPr>
            <w:rStyle w:val="Hyperlink"/>
          </w:rPr>
          <w:t xml:space="preserve">Slate:</w:t>
        </w:r>
        <w:r>
          <w:rPr>
            <w:rStyle w:val="Hyperlink"/>
          </w:rPr>
          <w:t xml:space="preserve"> </w:t>
        </w:r>
        <w:r>
          <w:rPr>
            <w:i/>
            <w:rStyle w:val="Hyperlink"/>
          </w:rPr>
          <w:t xml:space="preserve">The Difference Between an "Agent" and a "Manager"</w:t>
        </w:r>
      </w:hyperlink>
    </w:p>
    <w:p>
      <w:pPr>
        <w:pStyle w:val="Compact"/>
        <w:numPr>
          <w:numId w:val="1020"/>
          <w:ilvl w:val="0"/>
        </w:numPr>
      </w:pPr>
      <w:r>
        <w:t xml:space="preserve">Poke around</w:t>
      </w:r>
      <w:r>
        <w:t xml:space="preserve"> </w:t>
      </w:r>
      <w:hyperlink r:id="rId98">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99">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00">
        <w:r>
          <w:rPr>
            <w:rStyle w:val="Hyperlink"/>
          </w:rPr>
          <w:t xml:space="preserve">How do I get an agent?</w:t>
        </w:r>
      </w:hyperlink>
      <w:r>
        <w:t xml:space="preserve">.</w:t>
      </w:r>
    </w:p>
    <w:p>
      <w:pPr>
        <w:pStyle w:val="Compact"/>
        <w:numPr>
          <w:numId w:val="1021"/>
          <w:ilvl w:val="1"/>
        </w:numPr>
      </w:pPr>
      <w:hyperlink r:id="rId101">
        <w:r>
          <w:rPr>
            <w:rStyle w:val="Hyperlink"/>
          </w:rPr>
          <w:t xml:space="preserve">What is coverage?</w:t>
        </w:r>
      </w:hyperlink>
      <w:r>
        <w:t xml:space="preserve">.</w:t>
      </w:r>
    </w:p>
    <w:p>
      <w:pPr>
        <w:pStyle w:val="Compact"/>
        <w:numPr>
          <w:numId w:val="1020"/>
          <w:ilvl w:val="0"/>
        </w:numPr>
      </w:pPr>
      <w:hyperlink r:id="rId102">
        <w:r>
          <w:rPr>
            <w:rStyle w:val="Hyperlink"/>
          </w:rPr>
          <w:t xml:space="preserve">How To Query A Literary Agent,</w:t>
        </w:r>
      </w:hyperlink>
      <w:r>
        <w:t xml:space="preserve"> </w:t>
      </w:r>
      <w:r>
        <w:t xml:space="preserve">by Richard Dooling</w:t>
      </w:r>
    </w:p>
    <w:p>
      <w:pPr>
        <w:pStyle w:val="Compact"/>
        <w:numPr>
          <w:numId w:val="1020"/>
          <w:ilvl w:val="0"/>
        </w:numPr>
      </w:pPr>
      <w:hyperlink r:id="rId103">
        <w:r>
          <w:rPr>
            <w:rStyle w:val="Hyperlink"/>
          </w:rPr>
          <w:t xml:space="preserve">Agents Who Ask For Fees</w:t>
        </w:r>
      </w:hyperlink>
    </w:p>
    <w:p>
      <w:pPr>
        <w:pStyle w:val="Compact"/>
        <w:numPr>
          <w:numId w:val="1020"/>
          <w:ilvl w:val="0"/>
        </w:numPr>
      </w:pPr>
      <w:hyperlink r:id="rId104">
        <w:r>
          <w:rPr>
            <w:rStyle w:val="Hyperlink"/>
          </w:rPr>
          <w:t xml:space="preserve">Wikipedia: Literary Agent</w:t>
        </w:r>
      </w:hyperlink>
    </w:p>
    <w:p>
      <w:pPr>
        <w:pStyle w:val="Compact"/>
        <w:numPr>
          <w:numId w:val="1020"/>
          <w:ilvl w:val="0"/>
        </w:numPr>
      </w:pPr>
      <w:hyperlink r:id="rId105">
        <w:r>
          <w:rPr>
            <w:rStyle w:val="Hyperlink"/>
          </w:rPr>
          <w:t xml:space="preserve">Legal definition of a "literary agent"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acfd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9c71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8413d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ccrispin.blogspot.com/2011/04/interminable-agency-clause.html" TargetMode="External" /><Relationship Type="http://schemas.openxmlformats.org/officeDocument/2006/relationships/hyperlink" Id="rId94" Target="http://articles.latimes.com/1998/jan/16/business/fi-8897" TargetMode="External" /><Relationship Type="http://schemas.openxmlformats.org/officeDocument/2006/relationships/hyperlink" Id="rId74" Target="http://en.wikipedia.org/wiki/Arsenio_Hall" TargetMode="External" /><Relationship Type="http://schemas.openxmlformats.org/officeDocument/2006/relationships/hyperlink" Id="rId104"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8" Target="http://johnaugust.com" TargetMode="External" /><Relationship Type="http://schemas.openxmlformats.org/officeDocument/2006/relationships/hyperlink" Id="rId99" Target="http://johnaugust.com/2011/get-a-manager" TargetMode="External" /><Relationship Type="http://schemas.openxmlformats.org/officeDocument/2006/relationships/hyperlink" Id="rId100" Target="http://johnaugust.com/2011/scriptnotes-ep-2-how-to-get-an-agent-andor-manager-transcript" TargetMode="External" /><Relationship Type="http://schemas.openxmlformats.org/officeDocument/2006/relationships/hyperlink" Id="rId101" Target="http://johnaugust.com/2013/lets-talk-about-coverage" TargetMode="External" /><Relationship Type="http://schemas.openxmlformats.org/officeDocument/2006/relationships/hyperlink" Id="rId44" Target="http://law.onecle.com/new-york/general-business/GBS0171_171.html" TargetMode="External" /><Relationship Type="http://schemas.openxmlformats.org/officeDocument/2006/relationships/hyperlink" Id="rId73" Target="http://lawschool.westlaw.com/shared/westlawRedirect.aspx?task=find&amp;cite=13+Cal.App.4th+616&amp;appflag=67.12" TargetMode="External" /><Relationship Type="http://schemas.openxmlformats.org/officeDocument/2006/relationships/hyperlink" Id="rId55" Target="http://lawschool.westlaw.com/shared/westlawRedirect.aspx?task=find&amp;cite=174+P.3d+741&amp;appflag=67.12" TargetMode="External" /><Relationship Type="http://schemas.openxmlformats.org/officeDocument/2006/relationships/hyperlink" Id="rId84" Target="http://lawschool.westlaw.com/shared/westlawRedirect.aspx?task=find&amp;cite=565+F.Supp.+884&amp;appflag=67.12" TargetMode="External" /><Relationship Type="http://schemas.openxmlformats.org/officeDocument/2006/relationships/hyperlink" Id="rId39" Target="http://scholar.google.co.uk/scholar_case?case=2622311633908231934" TargetMode="External" /><Relationship Type="http://schemas.openxmlformats.org/officeDocument/2006/relationships/hyperlink" Id="rId40" Target="http://scholar.google.co.uk/scholar_case?case=5116981929088179346" TargetMode="External" /><Relationship Type="http://schemas.openxmlformats.org/officeDocument/2006/relationships/hyperlink" Id="rId78" Target="http://scholar.google.co.uk/scholar_case?case=5228204368502171794" TargetMode="External" /><Relationship Type="http://schemas.openxmlformats.org/officeDocument/2006/relationships/hyperlink" Id="rId54" Target="http://scholar.google.com/scholar_case?case=10057569541268667408" TargetMode="External" /><Relationship Type="http://schemas.openxmlformats.org/officeDocument/2006/relationships/hyperlink" Id="rId68" Target="http://scholar.google.com/scholar_case?case=11022283380362174735" TargetMode="External" /><Relationship Type="http://schemas.openxmlformats.org/officeDocument/2006/relationships/hyperlink" Id="rId63" Target="http://scholar.google.com/scholar_case?case=14383445149997334293" TargetMode="External" /><Relationship Type="http://schemas.openxmlformats.org/officeDocument/2006/relationships/hyperlink" Id="rId69" Target="http://scholar.google.com/scholar_case?case=15640680622862336180" TargetMode="External" /><Relationship Type="http://schemas.openxmlformats.org/officeDocument/2006/relationships/hyperlink" Id="rId89" Target="http://scholar.google.com/scholar_case?case=17722836153500270409" TargetMode="External" /><Relationship Type="http://schemas.openxmlformats.org/officeDocument/2006/relationships/hyperlink" Id="rId35" Target="http://scholar.google.com/scholar_case?case=2622311633908231934" TargetMode="External" /><Relationship Type="http://schemas.openxmlformats.org/officeDocument/2006/relationships/hyperlink" Id="rId64" Target="http://scholar.google.com/scholar_case?case=5228204368502171794" TargetMode="External" /><Relationship Type="http://schemas.openxmlformats.org/officeDocument/2006/relationships/hyperlink" Id="rId85" Target="http://scholar.google.com/scholar_case?case=5414204845858812282" TargetMode="External" /><Relationship Type="http://schemas.openxmlformats.org/officeDocument/2006/relationships/hyperlink" Id="rId90" Target="http://scholar.google.com/scholar_case?case=6419292213404249553" TargetMode="External" /><Relationship Type="http://schemas.openxmlformats.org/officeDocument/2006/relationships/hyperlink" Id="rId61" Target="http://scholar.google.com/scholar_case?case=823549855453847638" TargetMode="External" /><Relationship Type="http://schemas.openxmlformats.org/officeDocument/2006/relationships/hyperlink" Id="rId75" Target="http://www.agentassociation.com/frontdoor/news_detail.cfm?id=306" TargetMode="External" /><Relationship Type="http://schemas.openxmlformats.org/officeDocument/2006/relationships/hyperlink" Id="rId95" Target="http://www.deadline.com/2008/03/garry-shandlings-testimony-at-pellicano-trial/" TargetMode="External" /><Relationship Type="http://schemas.openxmlformats.org/officeDocument/2006/relationships/hyperlink" Id="rId76" Target="http://www.dir.ca.gov/dlse/talent_agency_license.html" TargetMode="External" /><Relationship Type="http://schemas.openxmlformats.org/officeDocument/2006/relationships/hyperlink" Id="rId105" Target="http://www.duhaime.org/LegalDictionary/L/LiteraryAgent.aspx" TargetMode="External" /><Relationship Type="http://schemas.openxmlformats.org/officeDocument/2006/relationships/hyperlink" Id="rId80" Target="http://www.hollywoodreporter.com/thr-esq/did-california-labor-commissioner-just-724960" TargetMode="External" /><Relationship Type="http://schemas.openxmlformats.org/officeDocument/2006/relationships/hyperlink" Id="rId79"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49" Target="http://www.leginfo.ca.gov/.html/lab_table_of_contents.html" TargetMode="External" /><Relationship Type="http://schemas.openxmlformats.org/officeDocument/2006/relationships/hyperlink" Id="rId50" Target="http://www.leginfo.ca.gov/cgi-bin/displaycode?section=lab&amp;group=01001-02000&amp;file=1700-1700.4" TargetMode="External" /><Relationship Type="http://schemas.openxmlformats.org/officeDocument/2006/relationships/hyperlink" Id="rId96" Target="http://www.nytimes.com/2006/03/13/movies/13holl.html?pagewanted=all&amp;_r=0" TargetMode="External" /><Relationship Type="http://schemas.openxmlformats.org/officeDocument/2006/relationships/hyperlink" Id="rId102" Target="http://www.richarddooling.com/index.php/2007/02/07/how-to-query-a-literary-agent/" TargetMode="External" /><Relationship Type="http://schemas.openxmlformats.org/officeDocument/2006/relationships/hyperlink" Id="rId103" Target="http://www.sfwa.org/fees/" TargetMode="External" /><Relationship Type="http://schemas.openxmlformats.org/officeDocument/2006/relationships/hyperlink" Id="rId97"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_rels/footnotes.xml.rels><?xml version="1.0" encoding="UTF-8"?>
<Relationships xmlns="http://schemas.openxmlformats.org/package/2006/relationships"><Relationship Type="http://schemas.openxmlformats.org/officeDocument/2006/relationships/hyperlink" Id="rId32" Target="http://accrispin.blogspot.com/2011/04/interminable-agency-clause.html" TargetMode="External" /><Relationship Type="http://schemas.openxmlformats.org/officeDocument/2006/relationships/hyperlink" Id="rId94" Target="http://articles.latimes.com/1998/jan/16/business/fi-8897" TargetMode="External" /><Relationship Type="http://schemas.openxmlformats.org/officeDocument/2006/relationships/hyperlink" Id="rId74" Target="http://en.wikipedia.org/wiki/Arsenio_Hall" TargetMode="External" /><Relationship Type="http://schemas.openxmlformats.org/officeDocument/2006/relationships/hyperlink" Id="rId104"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8" Target="http://johnaugust.com" TargetMode="External" /><Relationship Type="http://schemas.openxmlformats.org/officeDocument/2006/relationships/hyperlink" Id="rId99" Target="http://johnaugust.com/2011/get-a-manager" TargetMode="External" /><Relationship Type="http://schemas.openxmlformats.org/officeDocument/2006/relationships/hyperlink" Id="rId100" Target="http://johnaugust.com/2011/scriptnotes-ep-2-how-to-get-an-agent-andor-manager-transcript" TargetMode="External" /><Relationship Type="http://schemas.openxmlformats.org/officeDocument/2006/relationships/hyperlink" Id="rId101" Target="http://johnaugust.com/2013/lets-talk-about-coverage" TargetMode="External" /><Relationship Type="http://schemas.openxmlformats.org/officeDocument/2006/relationships/hyperlink" Id="rId44" Target="http://law.onecle.com/new-york/general-business/GBS0171_171.html" TargetMode="External" /><Relationship Type="http://schemas.openxmlformats.org/officeDocument/2006/relationships/hyperlink" Id="rId73" Target="http://lawschool.westlaw.com/shared/westlawRedirect.aspx?task=find&amp;cite=13+Cal.App.4th+616&amp;appflag=67.12" TargetMode="External" /><Relationship Type="http://schemas.openxmlformats.org/officeDocument/2006/relationships/hyperlink" Id="rId55" Target="http://lawschool.westlaw.com/shared/westlawRedirect.aspx?task=find&amp;cite=174+P.3d+741&amp;appflag=67.12" TargetMode="External" /><Relationship Type="http://schemas.openxmlformats.org/officeDocument/2006/relationships/hyperlink" Id="rId84" Target="http://lawschool.westlaw.com/shared/westlawRedirect.aspx?task=find&amp;cite=565+F.Supp.+884&amp;appflag=67.12" TargetMode="External" /><Relationship Type="http://schemas.openxmlformats.org/officeDocument/2006/relationships/hyperlink" Id="rId39" Target="http://scholar.google.co.uk/scholar_case?case=2622311633908231934" TargetMode="External" /><Relationship Type="http://schemas.openxmlformats.org/officeDocument/2006/relationships/hyperlink" Id="rId40" Target="http://scholar.google.co.uk/scholar_case?case=5116981929088179346" TargetMode="External" /><Relationship Type="http://schemas.openxmlformats.org/officeDocument/2006/relationships/hyperlink" Id="rId78" Target="http://scholar.google.co.uk/scholar_case?case=5228204368502171794" TargetMode="External" /><Relationship Type="http://schemas.openxmlformats.org/officeDocument/2006/relationships/hyperlink" Id="rId54" Target="http://scholar.google.com/scholar_case?case=10057569541268667408" TargetMode="External" /><Relationship Type="http://schemas.openxmlformats.org/officeDocument/2006/relationships/hyperlink" Id="rId68" Target="http://scholar.google.com/scholar_case?case=11022283380362174735" TargetMode="External" /><Relationship Type="http://schemas.openxmlformats.org/officeDocument/2006/relationships/hyperlink" Id="rId63" Target="http://scholar.google.com/scholar_case?case=14383445149997334293" TargetMode="External" /><Relationship Type="http://schemas.openxmlformats.org/officeDocument/2006/relationships/hyperlink" Id="rId69" Target="http://scholar.google.com/scholar_case?case=15640680622862336180" TargetMode="External" /><Relationship Type="http://schemas.openxmlformats.org/officeDocument/2006/relationships/hyperlink" Id="rId89" Target="http://scholar.google.com/scholar_case?case=17722836153500270409" TargetMode="External" /><Relationship Type="http://schemas.openxmlformats.org/officeDocument/2006/relationships/hyperlink" Id="rId35" Target="http://scholar.google.com/scholar_case?case=2622311633908231934" TargetMode="External" /><Relationship Type="http://schemas.openxmlformats.org/officeDocument/2006/relationships/hyperlink" Id="rId64" Target="http://scholar.google.com/scholar_case?case=5228204368502171794" TargetMode="External" /><Relationship Type="http://schemas.openxmlformats.org/officeDocument/2006/relationships/hyperlink" Id="rId85" Target="http://scholar.google.com/scholar_case?case=5414204845858812282" TargetMode="External" /><Relationship Type="http://schemas.openxmlformats.org/officeDocument/2006/relationships/hyperlink" Id="rId90" Target="http://scholar.google.com/scholar_case?case=6419292213404249553" TargetMode="External" /><Relationship Type="http://schemas.openxmlformats.org/officeDocument/2006/relationships/hyperlink" Id="rId61" Target="http://scholar.google.com/scholar_case?case=823549855453847638" TargetMode="External" /><Relationship Type="http://schemas.openxmlformats.org/officeDocument/2006/relationships/hyperlink" Id="rId75" Target="http://www.agentassociation.com/frontdoor/news_detail.cfm?id=306" TargetMode="External" /><Relationship Type="http://schemas.openxmlformats.org/officeDocument/2006/relationships/hyperlink" Id="rId95" Target="http://www.deadline.com/2008/03/garry-shandlings-testimony-at-pellicano-trial/" TargetMode="External" /><Relationship Type="http://schemas.openxmlformats.org/officeDocument/2006/relationships/hyperlink" Id="rId76" Target="http://www.dir.ca.gov/dlse/talent_agency_license.html" TargetMode="External" /><Relationship Type="http://schemas.openxmlformats.org/officeDocument/2006/relationships/hyperlink" Id="rId105" Target="http://www.duhaime.org/LegalDictionary/L/LiteraryAgent.aspx" TargetMode="External" /><Relationship Type="http://schemas.openxmlformats.org/officeDocument/2006/relationships/hyperlink" Id="rId80" Target="http://www.hollywoodreporter.com/thr-esq/did-california-labor-commissioner-just-724960" TargetMode="External" /><Relationship Type="http://schemas.openxmlformats.org/officeDocument/2006/relationships/hyperlink" Id="rId79"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49" Target="http://www.leginfo.ca.gov/.html/lab_table_of_contents.html" TargetMode="External" /><Relationship Type="http://schemas.openxmlformats.org/officeDocument/2006/relationships/hyperlink" Id="rId50" Target="http://www.leginfo.ca.gov/cgi-bin/displaycode?section=lab&amp;group=01001-02000&amp;file=1700-1700.4" TargetMode="External" /><Relationship Type="http://schemas.openxmlformats.org/officeDocument/2006/relationships/hyperlink" Id="rId96" Target="http://www.nytimes.com/2006/03/13/movies/13holl.html?pagewanted=all&amp;_r=0" TargetMode="External" /><Relationship Type="http://schemas.openxmlformats.org/officeDocument/2006/relationships/hyperlink" Id="rId102" Target="http://www.richarddooling.com/index.php/2007/02/07/how-to-query-a-literary-agent/" TargetMode="External" /><Relationship Type="http://schemas.openxmlformats.org/officeDocument/2006/relationships/hyperlink" Id="rId103" Target="http://www.sfwa.org/fees/" TargetMode="External" /><Relationship Type="http://schemas.openxmlformats.org/officeDocument/2006/relationships/hyperlink" Id="rId97"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