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2"/>
      </w:pPr>
      <w:bookmarkStart w:id="21" w:name="trademark"/>
      <w:bookmarkEnd w:id="21"/>
      <w:r>
        <w:t xml:space="preserve">Trademark</w:t>
      </w:r>
    </w:p>
    <w:p>
      <w:pPr>
        <w:pStyle w:val="Heading3"/>
      </w:pPr>
      <w:bookmarkStart w:id="22" w:name="lanham-act-43a"/>
      <w:bookmarkEnd w:id="22"/>
      <w:r>
        <w:t xml:space="preserve">Lanham Act § 43(a)</w:t>
      </w:r>
    </w:p>
    <w:p>
      <w:pPr>
        <w:pStyle w:val="FirstParagraph"/>
      </w:pPr>
      <w:r>
        <w:t xml:space="preserve">Trademarks are "brands" or "marks"</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&amp;hellip; uses in commerce</w:t>
      </w:r>
      <w:r>
        <w:t xml:space="preserve"> </w:t>
      </w:r>
      <w:r>
        <w:t xml:space="preserve">any word, term, name, symbol, or device &amp;hellip;</w:t>
      </w:r>
      <w:r>
        <w:t xml:space="preserve"> </w:t>
      </w:r>
      <w:r>
        <w:t xml:space="preserve">or any false designation of origin,</w:t>
      </w:r>
      <w:r>
        <w:t xml:space="preserve"> </w:t>
      </w:r>
      <w:r>
        <w:t xml:space="preserve">false or misleading description of fact &amp;hellip;</w:t>
      </w:r>
      <w:r>
        <w:t xml:space="preserve"> </w:t>
      </w:r>
      <w:r>
        <w:t xml:space="preserve">which &amp;hellip; is likely to cause confusion &amp;hellip;</w:t>
      </w:r>
      <w:r>
        <w:t xml:space="preserve"> </w:t>
      </w:r>
      <w:r>
        <w:t xml:space="preserve">mistake &amp;hellip;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&amp;hellip;</w:t>
      </w:r>
    </w:p>
    <w:p>
      <w:pPr>
        <w:pStyle w:val="Heading3"/>
      </w:pPr>
      <w:bookmarkStart w:id="23" w:name="trademark-basics"/>
      <w:bookmarkEnd w:id="23"/>
      <w:r>
        <w:t xml:space="preserve">Trademark Basics</w:t>
      </w:r>
    </w:p>
    <w:p>
      <w:pPr>
        <w:pStyle w:val="FirstParagraph"/>
      </w:pPr>
      <w:r>
        <w:t xml:space="preserve">Watch this video from the US Patent &amp; Trademark Office</w:t>
      </w:r>
    </w:p>
    <w:p>
      <w:pPr>
        <w:pStyle w:val="BodyText"/>
      </w:pPr>
      <w:hyperlink r:id="rId24">
        <w:r>
          <w:rPr>
            <w:rStyle w:val="Hyperlink"/>
          </w:rPr>
          <w:t xml:space="preserve">Basic Facts About Trademarks: What Every Small Business Should Know Now, Not Later</w:t>
        </w:r>
      </w:hyperlink>
      <w:r>
        <w:t xml:space="preserve">.</w:t>
      </w:r>
    </w:p>
    <w:p>
      <w:pPr>
        <w:pStyle w:val="Heading4"/>
      </w:pPr>
      <w:bookmarkStart w:id="25" w:name="passing-off-palming-off-reverse-passing-off"/>
      <w:bookmarkEnd w:id="25"/>
      <w:r>
        <w:t xml:space="preserve">"Passing off," "Palming off," "Reverse passing off"</w:t>
      </w:r>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 "reverse passing off."</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p>
      <w:pPr>
        <w:pStyle w:val="Heading2"/>
      </w:pPr>
      <w:bookmarkStart w:id="26" w:name="lamothe-v.-atlantic-recording-group"/>
      <w:bookmarkEnd w:id="26"/>
      <w:r>
        <w:rPr>
          <w:i/>
        </w:rPr>
        <w:t xml:space="preserve">Lamothe v. Atlantic Recording Group</w:t>
      </w:r>
    </w:p>
    <w:p>
      <w:pPr>
        <w:pStyle w:val="Heading6"/>
      </w:pPr>
      <w:bookmarkStart w:id="27" w:name="united-states-court-of-appeals-ninth-circuit-1988"/>
      <w:bookmarkEnd w:id="27"/>
      <w:r>
        <w:t xml:space="preserve">United States Court Of Appeals Ninth Circuit (1988)</w:t>
      </w:r>
    </w:p>
    <w:p>
      <w:pPr>
        <w:pStyle w:val="Compact"/>
        <w:numPr>
          <w:numId w:val="1001"/>
          <w:ilvl w:val="0"/>
        </w:numPr>
      </w:pPr>
      <w:hyperlink r:id="rId28">
        <w:r>
          <w:rPr>
            <w:rStyle w:val="Hyperlink"/>
          </w:rPr>
          <w:t xml:space="preserve">case on Google Scholar</w:t>
        </w:r>
      </w:hyperlink>
    </w:p>
    <w:p>
      <w:pPr>
        <w:pStyle w:val="Compact"/>
        <w:numPr>
          <w:numId w:val="1001"/>
          <w:ilvl w:val="0"/>
        </w:numPr>
      </w:pPr>
      <w:hyperlink r:id="rId29">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w:t>
      </w:r>
      <w:r>
        <w:t xml:space="preserve"> </w:t>
      </w:r>
      <w:r>
        <w:t xml:space="preserve">because Lamothe and Jones failed to establish</w:t>
      </w:r>
      <w:r>
        <w:t xml:space="preserve"> </w:t>
      </w:r>
      <w:r>
        <w:t xml:space="preserve">that section 43(a) of the Lanham Act, 15 U.S.C. § 1125(a),</w:t>
      </w:r>
      <w:r>
        <w:t xml:space="preserve"> </w:t>
      </w:r>
      <w:r>
        <w:t xml:space="preserve">provides relief to co-authors</w:t>
      </w:r>
      <w:r>
        <w:t xml:space="preserve"> </w:t>
      </w:r>
      <w:r>
        <w:t xml:space="preserve">whose names have been omitted from a record album cover</w:t>
      </w:r>
      <w:r>
        <w:t xml:space="preserve"> </w:t>
      </w:r>
      <w:r>
        <w:t xml:space="preserve">and sheet music featuring the co-authored compositions.</w:t>
      </w:r>
      <w:r>
        <w:t xml:space="preserve"> </w:t>
      </w:r>
      <w:r>
        <w:t xml:space="preserve">Because the court concluded that no federal cause of action existed,</w:t>
      </w:r>
      <w:r>
        <w:t xml:space="preserve"> </w:t>
      </w:r>
      <w:r>
        <w:t xml:space="preserve">the court also dismissed the plaintiffs'pendent state law claims for an accounting, defamation, and misattribution of authorship.</w:t>
      </w:r>
    </w:p>
    <w:p>
      <w:pPr>
        <w:pStyle w:val="BodyText"/>
      </w:pPr>
      <w:r>
        <w:t xml:space="preserve">We have jurisdiction of this appeal under 28 U.S.C. § 1291, and we</w:t>
      </w:r>
      <w:r>
        <w:t xml:space="preserve"> </w:t>
      </w:r>
      <w:r>
        <w:t xml:space="preserve">reverse.</w:t>
      </w:r>
    </w:p>
    <w:p>
      <w:pPr>
        <w:pStyle w:val="Heading4"/>
      </w:pPr>
      <w:bookmarkStart w:id="30" w:name="facts"/>
      <w:bookmarkEnd w:id="30"/>
      <w:r>
        <w:t xml:space="preserve">FACTS</w:t>
      </w:r>
    </w:p>
    <w:p>
      <w:pPr>
        <w:pStyle w:val="FirstParagraph"/>
      </w:pPr>
      <w:r>
        <w:t xml:space="preserve">&amp;hellip; Lamothe, Jones and Crosby are coauthors of two songs entitled "Scene of</w:t>
      </w:r>
      <w:r>
        <w:t xml:space="preserve"> </w:t>
      </w:r>
      <w:r>
        <w:t xml:space="preserve">the Crime," and "I'm Insane." 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 "Out of the</w:t>
      </w:r>
      <w:r>
        <w:t xml:space="preserve"> </w:t>
      </w:r>
      <w:r>
        <w:t xml:space="preserve">Cellar," which included the recordings of the songs "Scene of the Crime"</w:t>
      </w:r>
      <w:r>
        <w:t xml:space="preserve"> </w:t>
      </w:r>
      <w:r>
        <w:t xml:space="preserve">and "I'm Insane." 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 "I'm</w:t>
      </w:r>
      <w:r>
        <w:t xml:space="preserve"> </w:t>
      </w:r>
      <w:r>
        <w:t xml:space="preserve">Insane" was attributed solely to Robinson Crosby and the music and</w:t>
      </w:r>
      <w:r>
        <w:t xml:space="preserve"> </w:t>
      </w:r>
      <w:r>
        <w:t xml:space="preserve">lyrics of "Scene of the Crime" were attributed to Robinson Crosby and</w:t>
      </w:r>
      <w:r>
        <w:t xml:space="preserve"> </w:t>
      </w:r>
      <w:r>
        <w:t xml:space="preserve">Juan Croucier. Neither Robert Lamothe nor Ronald Jones received credit</w:t>
      </w:r>
      <w:r>
        <w:t xml:space="preserve"> </w:t>
      </w:r>
      <w:r>
        <w:t xml:space="preserve">for their roles in the writing of these songs.</w:t>
      </w:r>
    </w:p>
    <w:p>
      <w:pPr>
        <w:pStyle w:val="Heading3"/>
      </w:pPr>
      <w:bookmarkStart w:id="31" w:name="iii"/>
      <w:bookmarkEnd w:id="31"/>
      <w:r>
        <w:t xml:space="preserve">III</w:t>
      </w:r>
    </w:p>
    <w:p>
      <w:pPr>
        <w:pStyle w:val="Heading4"/>
      </w:pPr>
      <w:bookmarkStart w:id="32" w:name="analysis"/>
      <w:bookmarkEnd w:id="32"/>
      <w:r>
        <w:t xml:space="preserve">ANALYSIS</w:t>
      </w:r>
    </w:p>
    <w:p>
      <w:pPr>
        <w:pStyle w:val="FirstParagraph"/>
      </w:pPr>
      <w:r>
        <w:t xml:space="preserve">The principal issue on appeal is whether Lamothe and Jones have stated a</w:t>
      </w:r>
      <w:r>
        <w:t xml:space="preserve"> </w:t>
      </w:r>
      <w:r>
        <w:t xml:space="preserve">claim under section 43(a) of the Lanham Act &amp;hellip;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33">
        <w:r>
          <w:rPr>
            <w:i/>
            <w:rStyle w:val="Hyperlink"/>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 "[t]o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 &amp;hellip;</w:t>
      </w:r>
      <w:r>
        <w:t xml:space="preserve"> </w:t>
      </w:r>
      <w:r>
        <w:t xml:space="preserve">Finally, we</w:t>
      </w:r>
      <w:r>
        <w:t xml:space="preserve"> </w:t>
      </w:r>
      <w:r>
        <w:t xml:space="preserve">recently have made clear that in cases involving false designation, the</w:t>
      </w:r>
      <w:r>
        <w:t xml:space="preserve"> </w:t>
      </w:r>
      <w:r>
        <w:t xml:space="preserve">actionable "conduct must not only be unfair but must in some discernable</w:t>
      </w:r>
      <w:r>
        <w:t xml:space="preserve"> </w:t>
      </w:r>
      <w:r>
        <w:t xml:space="preserve">way be competitive."</w:t>
      </w:r>
      <w:r>
        <w:t xml:space="preserve"> </w:t>
      </w:r>
      <w:hyperlink r:id="rId34">
        <w:r>
          <w:rPr>
            <w:i/>
            <w:rStyle w:val="Hyperlink"/>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p>
      <w:pPr>
        <w:pStyle w:val="Heading4"/>
      </w:pPr>
      <w:bookmarkStart w:id="35" w:name="prohibited-conduct-under-section-43a"/>
      <w:bookmarkEnd w:id="35"/>
      <w:r>
        <w:t xml:space="preserve">1.</w:t>
      </w:r>
      <w:r>
        <w:t xml:space="preserve"> </w:t>
      </w:r>
      <w:r>
        <w:rPr>
          <w:i/>
        </w:rPr>
        <w:t xml:space="preserve">Prohibited Conduct Under Section 43(a)</w:t>
      </w:r>
    </w:p>
    <w:p>
      <w:pPr>
        <w:pStyle w:val="FirstParagraph"/>
      </w:pPr>
      <w:r>
        <w:t xml:space="preserve">The Lanham Act applies to two different types of unfair competition in</w:t>
      </w:r>
      <w:r>
        <w:t xml:space="preserve"> </w:t>
      </w:r>
      <w:r>
        <w:t xml:space="preserve">interstate commerce. The first is "palming off" or "passing off," which</w:t>
      </w:r>
      <w:r>
        <w:t xml:space="preserve"> </w:t>
      </w:r>
      <w:r>
        <w:t xml:space="preserve">involves selling a good or service of one person's creation under the</w:t>
      </w:r>
      <w:r>
        <w:t xml:space="preserve"> </w:t>
      </w:r>
      <w:r>
        <w:t xml:space="preserve">name or mark of another.</w:t>
      </w:r>
      <w:r>
        <w:t xml:space="preserve"> </w:t>
      </w:r>
      <w:hyperlink r:id="rId33">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36">
        <w:r>
          <w:rPr>
            <w:i/>
            <w:rStyle w:val="Hyperlink"/>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 "reverse passing off" claim, we need not decide whether</w:t>
      </w:r>
      <w:r>
        <w:t xml:space="preserve"> </w:t>
      </w:r>
      <w:r>
        <w:t xml:space="preserve">the defendants' actions also constitute false advertising.</w:t>
      </w:r>
    </w:p>
    <w:p>
      <w:pPr>
        <w:pStyle w:val="Heading4"/>
      </w:pPr>
      <w:bookmarkStart w:id="37" w:name="passing-off"/>
      <w:bookmarkEnd w:id="37"/>
      <w:r>
        <w:t xml:space="preserve">2.</w:t>
      </w:r>
      <w:r>
        <w:t xml:space="preserve"> </w:t>
      </w:r>
      <w:r>
        <w:rPr>
          <w:i/>
        </w:rPr>
        <w:t xml:space="preserve">Passing Off</w:t>
      </w:r>
    </w:p>
    <w:p>
      <w:pPr>
        <w:pStyle w:val="FirstParagraph"/>
      </w:pPr>
      <w:r>
        <w:t xml:space="preserve">The leading case in this circuit discussing the "passing off" doctrine</w:t>
      </w:r>
      <w:r>
        <w:t xml:space="preserve"> </w:t>
      </w:r>
      <w:r>
        <w:t xml:space="preserve">embodied in section 43(a) is</w:t>
      </w:r>
      <w:r>
        <w:t xml:space="preserve"> </w:t>
      </w:r>
      <w:hyperlink r:id="rId33">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 "Bob Spencer."</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 "in the nature of, or economically equivalent</w:t>
      </w:r>
      <w:r>
        <w:t xml:space="preserve"> </w:t>
      </w:r>
      <w:r>
        <w:t xml:space="preserve">to, palming off ... and/or misuse of trademarks and trade names."</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 "passing off" 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 "practices or conduct 'economically equivalent' to</w:t>
      </w:r>
      <w:r>
        <w:t xml:space="preserve"> </w:t>
      </w:r>
      <w:r>
        <w:t xml:space="preserve">palming off." Among those practices is "reverse passing</w:t>
      </w:r>
      <w:r>
        <w:t xml:space="preserve"> </w:t>
      </w:r>
      <w:r>
        <w:t xml:space="preserve">off," which may be either "express" or "implied." Express reverse</w:t>
      </w:r>
      <w:r>
        <w:t xml:space="preserve"> </w:t>
      </w:r>
      <w:r>
        <w:t xml:space="preserve">passing off is "accomplished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 "Bob Spencer," the</w:t>
      </w:r>
      <w:r>
        <w:t xml:space="preserve"> </w:t>
      </w:r>
      <w:r>
        <w:t xml:space="preserve">defendants had engaged in express reverse passing off&amp;hellip;</w:t>
      </w:r>
    </w:p>
    <w:p>
      <w:pPr>
        <w:pStyle w:val="BodyText"/>
      </w:pPr>
      <w:r>
        <w:t xml:space="preserve">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 "mere</w:t>
      </w:r>
      <w:r>
        <w:t xml:space="preserve"> </w:t>
      </w:r>
      <w:r>
        <w:t xml:space="preserve">omission," which is not actionable under section 43(a). We disagree. We</w:t>
      </w:r>
      <w:r>
        <w:t xml:space="preserve"> </w:t>
      </w:r>
      <w:r>
        <w:t xml:space="preserve">do not read the "falsity" 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competition.&amp;hellip;</w:t>
      </w:r>
    </w:p>
    <w:p>
      <w:pPr>
        <w:pStyle w:val="BodyText"/>
      </w:pPr>
      <w:r>
        <w:t xml:space="preserve">In the present case,</w:t>
      </w:r>
      <w:r>
        <w:t xml:space="preserve"> </w:t>
      </w:r>
      <w:r>
        <w:t xml:space="preserve">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 "RATT," or to some other person, this</w:t>
      </w:r>
      <w:r>
        <w:t xml:space="preserve"> </w:t>
      </w:r>
      <w:r>
        <w:t xml:space="preserve">would be a false designation of origin. It seems to us no less "false"</w:t>
      </w:r>
      <w:r>
        <w:t xml:space="preserve"> </w:t>
      </w:r>
      <w:r>
        <w:t xml:space="preserve">to attribute authorship to only one of several co-authors.</w:t>
      </w:r>
      <w:r>
        <w:t xml:space="preserve"> </w:t>
      </w:r>
      <w:r>
        <w:rPr>
          <w:i/>
        </w:rPr>
        <w:t xml:space="preserve">Cf.</w:t>
      </w:r>
      <w:r>
        <w:t xml:space="preserve"> </w:t>
      </w:r>
      <w:hyperlink r:id="rId38">
        <w:r>
          <w:rPr>
            <w:i/>
            <w:rStyle w:val="Hyperlink"/>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 "practices or conduct [are]</w:t>
      </w:r>
      <w:r>
        <w:t xml:space="preserve"> </w:t>
      </w:r>
      <w:r>
        <w:t xml:space="preserve">'economically equivalent' to palming off."</w:t>
      </w:r>
      <w:r>
        <w:t xml:space="preserve"> </w:t>
      </w:r>
      <w:hyperlink r:id="rId33">
        <w:r>
          <w:rPr>
            <w:i/>
            <w:rStyle w:val="Hyperlink"/>
          </w:rPr>
          <w:t xml:space="preserve">Smith</w:t>
        </w:r>
      </w:hyperlink>
      <w:r>
        <w:t xml:space="preserve">.</w:t>
      </w:r>
    </w:p>
    <w:p>
      <w:pPr>
        <w:pStyle w:val="Heading4"/>
      </w:pPr>
      <w:bookmarkStart w:id="39" w:name="liability-of-licensees"/>
      <w:bookmarkEnd w:id="39"/>
      <w:r>
        <w:t xml:space="preserve">3.</w:t>
      </w:r>
      <w:r>
        <w:t xml:space="preserve"> </w:t>
      </w:r>
      <w:r>
        <w:rPr>
          <w:i/>
        </w:rPr>
        <w:t xml:space="preserve">Liability of Licensees</w:t>
      </w:r>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 "with knowledge of the falsity of such designation of origin ...</w:t>
      </w:r>
      <w:r>
        <w:t xml:space="preserve"> </w:t>
      </w:r>
      <w:r>
        <w:t xml:space="preserve">cause or procure the same to be transported or used in commerce."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p>
      <w:pPr>
        <w:pStyle w:val="Heading3"/>
      </w:pPr>
      <w:bookmarkStart w:id="40" w:name="iv"/>
      <w:bookmarkEnd w:id="40"/>
      <w:r>
        <w:t xml:space="preserve">IV</w:t>
      </w:r>
    </w:p>
    <w:p>
      <w:pPr>
        <w:pStyle w:val="Heading4"/>
      </w:pPr>
      <w:bookmarkStart w:id="41" w:name="conclusion"/>
      <w:bookmarkEnd w:id="41"/>
      <w:r>
        <w:t xml:space="preserve">CONCLUSION</w:t>
      </w:r>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action.&amp;hellip;</w:t>
      </w:r>
    </w:p>
    <w:p>
      <w:pPr>
        <w:pStyle w:val="BodyText"/>
      </w:pPr>
      <w:r>
        <w:t xml:space="preserve">REVERSED AND REMANDED.</w:t>
      </w:r>
    </w:p>
    <w:p>
      <w:pPr>
        <w:pStyle w:val="Heading4"/>
      </w:pPr>
      <w:bookmarkStart w:id="42" w:name="summary-notes"/>
      <w:bookmarkEnd w:id="42"/>
      <w:r>
        <w:t xml:space="preserve">Summary &amp; Notes</w:t>
      </w:r>
    </w:p>
    <w:p>
      <w:pPr>
        <w:pStyle w:val="FirstParagraph"/>
      </w:pPr>
      <w:r>
        <w:t xml:space="preserve">Lamothe, Jones and Crosby had a band called Mac Meda and jointly authored two songs entitled "Scene of the Crime" and "I'm Insane."</w:t>
      </w:r>
    </w:p>
    <w:p>
      <w:pPr>
        <w:pStyle w:val="BodyText"/>
      </w:pPr>
      <w:r>
        <w:t xml:space="preserve">The Mac Meda band broke up, and Crosby joined a band called RATT. Atlantic Records released an album by RATT, which included the two songs “Scene of the Crime” and "I'm Insane."</w:t>
      </w:r>
    </w:p>
    <w:p>
      <w:pPr>
        <w:pStyle w:val="BodyText"/>
      </w:pPr>
      <w:r>
        <w:t xml:space="preserve">The songs were attributed to Crosby and Croucier (another member of RATT). The other two members of Mac Meda, Lamothe and Jones, who had jointly authored "Scene of the Crime" and "I'm Insane" 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3"/>
      </w:pPr>
      <w:bookmarkStart w:id="43" w:name="the-polaroid-test"/>
      <w:bookmarkEnd w:id="43"/>
      <w:r>
        <w:t xml:space="preserve">The</w:t>
      </w:r>
      <w:r>
        <w:t xml:space="preserve"> </w:t>
      </w:r>
      <w:r>
        <w:rPr>
          <w:i/>
        </w:rPr>
        <w:t xml:space="preserve">Polaroid</w:t>
      </w:r>
      <w:r>
        <w:t xml:space="preserve"> </w:t>
      </w:r>
      <w:r>
        <w:t xml:space="preserve">test</w:t>
      </w:r>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 "confusion as to the origin,</w:t>
      </w:r>
      <w:r>
        <w:t xml:space="preserve"> </w:t>
      </w:r>
      <w:r>
        <w:t xml:space="preserve">sponsorship, or approval" of the defendant's product.&amp;hellip;</w:t>
      </w:r>
    </w:p>
    <w:p>
      <w:pPr>
        <w:pStyle w:val="BodyText"/>
      </w:pPr>
      <w:r>
        <w:t xml:space="preserve">Courts look to the eight</w:t>
      </w:r>
      <w:r>
        <w:t xml:space="preserve"> </w:t>
      </w:r>
      <w:r>
        <w:t xml:space="preserve">factor test first articulated in</w:t>
      </w:r>
      <w:r>
        <w:t xml:space="preserve"> </w:t>
      </w:r>
      <w:hyperlink r:id="rId44">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 "on the ultimate</w:t>
      </w:r>
      <w:r>
        <w:t xml:space="preserve"> </w:t>
      </w:r>
      <w:r>
        <w:t xml:space="preserve">question of whether consumers are likely to be confused." &amp;hellip;</w:t>
      </w:r>
    </w:p>
    <w:p>
      <w:pPr>
        <w:pStyle w:val="BodyText"/>
      </w:pPr>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pPr>
        <w:pStyle w:val="FirstParagraph"/>
      </w:pPr>
      <w:hyperlink r:id="rId44">
        <w:r>
          <w:rPr>
            <w:i/>
            <w:rStyle w:val="Hyperlink"/>
          </w:rPr>
          <w:t xml:space="preserve">Polaroid,</w:t>
        </w:r>
        <w:r>
          <w:rPr>
            <w:rStyle w:val="Hyperlink"/>
          </w:rPr>
          <w:t xml:space="preserve"> </w:t>
        </w:r>
        <w:r>
          <w:rPr>
            <w:rStyle w:val="Hyperlink"/>
          </w:rPr>
          <w:t xml:space="preserve">287 F.2d at 495</w:t>
        </w:r>
      </w:hyperlink>
      <w:r>
        <w:t xml:space="preserve">.</w:t>
      </w:r>
    </w:p>
    <w:p>
      <w:pPr>
        <w:pStyle w:val="BodyText"/>
      </w:pPr>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5" w:name="hormel-foods-corporation-v.-jim-henson-productions-inc."/>
      <w:bookmarkEnd w:id="45"/>
      <w:r>
        <w:rPr>
          <w:i/>
        </w:rPr>
        <w:t xml:space="preserve">Hormel Foods Corporation v. Jim Henson Productions, Inc.</w:t>
      </w:r>
    </w:p>
    <w:p>
      <w:pPr>
        <w:pStyle w:val="Heading6"/>
      </w:pPr>
      <w:bookmarkStart w:id="46" w:name="united-states-court-of-appeals-second-circuit-1996"/>
      <w:bookmarkEnd w:id="46"/>
      <w:r>
        <w:t xml:space="preserve">United States Court Of Appeals Second Circuit (1996)</w:t>
      </w:r>
    </w:p>
    <w:p>
      <w:pPr>
        <w:pStyle w:val="Compact"/>
        <w:numPr>
          <w:numId w:val="1003"/>
          <w:ilvl w:val="0"/>
        </w:numPr>
      </w:pPr>
      <w:hyperlink r:id="rId47">
        <w:r>
          <w:rPr>
            <w:rStyle w:val="Hyperlink"/>
          </w:rPr>
          <w:t xml:space="preserve">case on Google Scholar</w:t>
        </w:r>
      </w:hyperlink>
    </w:p>
    <w:p>
      <w:pPr>
        <w:pStyle w:val="Compact"/>
        <w:numPr>
          <w:numId w:val="1003"/>
          <w:ilvl w:val="0"/>
        </w:numPr>
      </w:pPr>
      <w:hyperlink r:id="rId48">
        <w:r>
          <w:rPr>
            <w:rStyle w:val="Hyperlink"/>
          </w:rPr>
          <w:t xml:space="preserve">case on Westlaw</w:t>
        </w:r>
      </w:hyperlink>
    </w:p>
    <w:p>
      <w:pPr>
        <w:pStyle w:val="Compact"/>
        <w:numPr>
          <w:numId w:val="1003"/>
          <w:ilvl w:val="0"/>
        </w:numPr>
      </w:pPr>
      <w:hyperlink r:id="rId49">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Inc.&amp;hellip;</w:t>
      </w:r>
      <w:r>
        <w:t xml:space="preserve"> </w:t>
      </w:r>
      <w:r>
        <w:t xml:space="preserve">Hormel originally contended</w:t>
      </w:r>
      <w:r>
        <w:t xml:space="preserve"> </w:t>
      </w:r>
      <w:r>
        <w:t xml:space="preserve">that Henson's use of the character</w:t>
      </w:r>
      <w:r>
        <w:t xml:space="preserve"> </w:t>
      </w:r>
      <w:r>
        <w:t xml:space="preserve">"Spa'am" 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p>
      <w:pPr>
        <w:pStyle w:val="Heading3"/>
      </w:pPr>
      <w:bookmarkStart w:id="50" w:name="background"/>
      <w:bookmarkEnd w:id="50"/>
      <w:r>
        <w:t xml:space="preserve">BACKGROUND</w:t>
      </w:r>
    </w:p>
    <w:p>
      <w:pPr>
        <w:pStyle w:val="FirstParagraph"/>
      </w:pPr>
      <w:r>
        <w:t xml:space="preserve">Since 1937, Hormel has used the trademark name "SPAM" to market its</w:t>
      </w:r>
      <w:r>
        <w:t xml:space="preserve"> </w:t>
      </w:r>
      <w:r>
        <w:t xml:space="preserve">luncheon meat. It is beyond dispute that SPAM is a distinctive, widely</w:t>
      </w:r>
      <w:r>
        <w:t xml:space="preserve"> </w:t>
      </w:r>
      <w:r>
        <w:t xml:space="preserve">recognized mark.&amp;hellip;</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 "Muppets." 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 "Spa'am" 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"Spa'am" 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 "evil in porcine form."</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 "classically handsome." &amp;hellip;</w:t>
      </w:r>
      <w:r>
        <w:t xml:space="preserve"> </w:t>
      </w:r>
      <w:r>
        <w:t xml:space="preserve">Indeed, Spa'am is a comic character who "seems childish rather than evil."</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 "Spa'am is shown</w:t>
      </w:r>
      <w:r>
        <w:t xml:space="preserve"> </w:t>
      </w:r>
      <w:r>
        <w:t xml:space="preserve">sailing away with the other Muppets as good humor and camaraderie</w:t>
      </w:r>
      <w:r>
        <w:t xml:space="preserve"> </w:t>
      </w:r>
      <w:r>
        <w:t xml:space="preserve">reign."</w:t>
      </w:r>
    </w:p>
    <w:p>
      <w:pPr>
        <w:pStyle w:val="BodyText"/>
      </w:pPr>
      <w:r>
        <w:t xml:space="preserve">Hormel also expresses concern that even comic association with an</w:t>
      </w:r>
      <w:r>
        <w:t xml:space="preserve"> </w:t>
      </w:r>
      <w:r>
        <w:t xml:space="preserve">unclean "grotesque" 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 "untidy."</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 "the secret ingredient to SPAM" as he looks on at</w:t>
      </w:r>
      <w:r>
        <w:t xml:space="preserve"> </w:t>
      </w:r>
      <w:r>
        <w:t xml:space="preserve">"Murray's Incontinent Camel Farm." In a recent newspaper column it was</w:t>
      </w:r>
      <w:r>
        <w:t xml:space="preserve"> </w:t>
      </w:r>
      <w:r>
        <w:t xml:space="preserve">noted that "[I]n one little can, Spam contains the five major food</w:t>
      </w:r>
      <w:r>
        <w:t xml:space="preserve"> </w:t>
      </w:r>
      <w:r>
        <w:t xml:space="preserve">groups: Snouts. Ears. Feet. Tails. Brains." 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"Spa'am" 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 "Spa'am" on movie-related merchandise &amp;hellip;</w:t>
      </w:r>
      <w:r>
        <w:t xml:space="preserve"> </w:t>
      </w:r>
      <w:r>
        <w:t xml:space="preserve">Henson has shelved its plans to place the name</w:t>
      </w:r>
      <w:r>
        <w:t xml:space="preserve"> </w:t>
      </w:r>
      <w:r>
        <w:t xml:space="preserve">"Spa'am" on its</w:t>
      </w:r>
      <w:r>
        <w:t xml:space="preserve"> </w:t>
      </w:r>
      <w:r>
        <w:rPr>
          <w:i/>
        </w:rPr>
        <w:t xml:space="preserve">Muppet Treasure Island</w:t>
      </w:r>
      <w:r>
        <w:t xml:space="preserve"> </w:t>
      </w:r>
      <w:r>
        <w:t xml:space="preserve">merchandise pending the outcome</w:t>
      </w:r>
      <w:r>
        <w:t xml:space="preserve"> </w:t>
      </w:r>
      <w:r>
        <w:t xml:space="preserve">of this litigation. However, according to Henson's proposals &amp;hellip; if it were permitted to go ahead with its plans, the merchandise</w:t>
      </w:r>
      <w:r>
        <w:t xml:space="preserve"> </w:t>
      </w:r>
      <w:r>
        <w:t xml:space="preserve">would carry only the Spa'am likeness or the Spa'am likeness beside the</w:t>
      </w:r>
      <w:r>
        <w:t xml:space="preserve"> </w:t>
      </w:r>
      <w:r>
        <w:t xml:space="preserve">name "Spa'am." The name "Spa'am" would not appear alone. Moreover, any</w:t>
      </w:r>
      <w:r>
        <w:t xml:space="preserve"> </w:t>
      </w:r>
      <w:r>
        <w:t xml:space="preserve">merchandise in which Spa'am appeared would clearly display the words</w:t>
      </w:r>
      <w:r>
        <w:t xml:space="preserve"> </w:t>
      </w:r>
      <w:r>
        <w:t xml:space="preserve">"Muppet Treasure Island."</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 "SPAM-man," 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 "[p]urchasers of the secondary [SPAM]</w:t>
      </w:r>
      <w:r>
        <w:t xml:space="preserve"> </w:t>
      </w:r>
      <w:r>
        <w:t xml:space="preserve">products are generally consumers of the luncheon meat and associate the</w:t>
      </w:r>
      <w:r>
        <w:t xml:space="preserve"> </w:t>
      </w:r>
      <w:r>
        <w:t xml:space="preserve">secondary products with the luncheon meat."</w:t>
      </w:r>
    </w:p>
    <w:p>
      <w:pPr>
        <w:pStyle w:val="BodyText"/>
      </w:pPr>
      <w:r>
        <w:t xml:space="preserve">Moreover, the Muppets are familiar to television and motion picture</w:t>
      </w:r>
      <w:r>
        <w:t xml:space="preserve"> </w:t>
      </w:r>
      <w:r>
        <w:t xml:space="preserve">audiences, and they are "well-known for parodies of brand names,</w:t>
      </w:r>
      <w:r>
        <w:t xml:space="preserve"> </w:t>
      </w:r>
      <w:r>
        <w:t xml:space="preserve">trademarks, television programs, fictional characters, and celebrities." The district court found that "[c]hildren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 </w:t>
      </w:r>
      <w:r>
        <w:t xml:space="preserve">This undoubtedly led to the court's further finding that "[c]onsumers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p>
    <w:p>
      <w:pPr>
        <w:pStyle w:val="BodyText"/>
      </w:pPr>
      <w:r>
        <w:t xml:space="preserve">Hormel points out that some newspaper accounts already have confused the</w:t>
      </w:r>
      <w:r>
        <w:t xml:space="preserve"> </w:t>
      </w:r>
      <w:r>
        <w:t xml:space="preserve">names "SPAM" and "Spa'am." 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p>
      <w:pPr>
        <w:pStyle w:val="Heading3"/>
      </w:pPr>
      <w:bookmarkStart w:id="51" w:name="discussion"/>
      <w:bookmarkEnd w:id="51"/>
      <w:r>
        <w:t xml:space="preserve">DISCUSSION</w:t>
      </w:r>
    </w:p>
    <w:p>
      <w:pPr>
        <w:pStyle w:val="Heading3"/>
      </w:pPr>
      <w:bookmarkStart w:id="52" w:name="a.-trademark-infringement"/>
      <w:bookmarkEnd w:id="52"/>
      <w:r>
        <w:t xml:space="preserve">A. Trademark Infringement</w:t>
      </w:r>
    </w:p>
    <w:p>
      <w:pPr>
        <w:pStyle w:val="FirstParagraph"/>
      </w:pPr>
      <w:r>
        <w:t xml:space="preserve">A plaintiff's trademark is protected by federal law against infringement</w:t>
      </w:r>
      <w:r>
        <w:t xml:space="preserve"> </w:t>
      </w:r>
      <w:r>
        <w:t xml:space="preserve">by use of colorable imitations of the mark which are "likely to cause</w:t>
      </w:r>
      <w:r>
        <w:t xml:space="preserve"> </w:t>
      </w:r>
      <w:r>
        <w:t xml:space="preserve">confusion, or to cause mistake, or to deceive." 15 U.S.C. § 1114(1). The</w:t>
      </w:r>
      <w:r>
        <w:t xml:space="preserve"> </w:t>
      </w:r>
      <w:r>
        <w:t xml:space="preserve">central inquiry is whether there is a "likelihood of confusion," a</w:t>
      </w:r>
      <w:r>
        <w:t xml:space="preserve"> </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 </w:t>
      </w:r>
      <w:hyperlink r:id="rId53">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54">
        <w:r>
          <w:rPr>
            <w:i/>
            <w:rStyle w:val="Hyperlink"/>
          </w:rPr>
          <w:t xml:space="preserve">Dallas Cowboys Cheerleaders,</w:t>
        </w:r>
        <w:r>
          <w:rPr>
            <w:i/>
            <w:rStyle w:val="Hyperlink"/>
          </w:rPr>
          <w:t xml:space="preserve"> </w:t>
        </w:r>
        <w:r>
          <w:rPr>
            <w:i/>
            <w:rStyle w:val="Hyperlink"/>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44">
        <w:r>
          <w:rPr>
            <w:i/>
            <w:rStyle w:val="Hyperlink"/>
          </w:rPr>
          <w:t xml:space="preserve">Polaroid Corp. v. Polarad</w:t>
        </w:r>
        <w:r>
          <w:rPr>
            <w:i/>
            <w:rStyle w:val="Hyperlink"/>
          </w:rPr>
          <w:t xml:space="preserve"> </w:t>
        </w:r>
        <w:r>
          <w:rPr>
            <w:i/>
            <w:rStyle w:val="Hyperlink"/>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 "Spa'am" 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erroneous.&amp;hellip;</w:t>
      </w:r>
    </w:p>
    <w:p>
      <w:pPr>
        <w:pStyle w:val="Heading4"/>
      </w:pPr>
      <w:bookmarkStart w:id="55" w:name="strength-of-the-mark"/>
      <w:bookmarkEnd w:id="55"/>
      <w:r>
        <w:rPr>
          <w:i/>
        </w:rPr>
        <w:t xml:space="preserve">Strength of the Mark</w:t>
      </w:r>
    </w:p>
    <w:p>
      <w:pPr>
        <w:pStyle w:val="FirstParagraph"/>
      </w:pPr>
      <w:r>
        <w:t xml:space="preserve">There is little doubt that SPAM is a distinctive, widely recognized</w:t>
      </w:r>
      <w:r>
        <w:t xml:space="preserve"> </w:t>
      </w:r>
      <w:r>
        <w:t xml:space="preserve">trademark.&amp;hellip;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56">
        <w:r>
          <w:rPr>
            <w:i/>
            <w:rStyle w:val="Hyperlink"/>
          </w:rPr>
          <w:t xml:space="preserve">Yankee Publishing Inc. v. News America Publishing</w:t>
        </w:r>
        <w:r>
          <w:rPr>
            <w:i/>
            <w:rStyle w:val="Hyperlink"/>
          </w:rPr>
          <w:t xml:space="preserve"> </w:t>
        </w:r>
        <w:r>
          <w:rPr>
            <w:i/>
            <w:rStyle w:val="Hyperlink"/>
          </w:rPr>
          <w:t xml:space="preserve">Inc.,</w:t>
        </w:r>
        <w:r>
          <w:rPr>
            <w:rStyle w:val="Hyperlink"/>
          </w:rPr>
          <w:t xml:space="preserve"> </w:t>
        </w:r>
        <w:r>
          <w:rPr>
            <w:rStyle w:val="Hyperlink"/>
          </w:rPr>
          <w:t xml:space="preserve">(S.D.N.Y.1992),</w:t>
        </w:r>
      </w:hyperlink>
      <w:r>
        <w:t xml:space="preserve"> </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 Indeed, a</w:t>
      </w:r>
      <w:r>
        <w:t xml:space="preserve"> </w:t>
      </w:r>
      <w:r>
        <w:t xml:space="preserve">parody depends on a lack of confusion to make its point. "A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 </w:t>
      </w:r>
      <w:hyperlink r:id="rId57">
        <w:r>
          <w:rPr>
            <w:i/>
            <w:rStyle w:val="Hyperlink"/>
          </w:rPr>
          <w:t xml:space="preserve">Cliffs Notes, Inc. v. Bantam Doubleday Dell Publishing Group,</w:t>
        </w:r>
        <w:r>
          <w:rPr>
            <w:i/>
            <w:rStyle w:val="Hyperlink"/>
          </w:rPr>
          <w:t xml:space="preserve"> </w:t>
        </w:r>
        <w:r>
          <w:rPr>
            <w:i/>
            <w:rStyle w:val="Hyperlink"/>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 "Spa'am" 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 "Muppet Treasure Island," are likely to see</w:t>
      </w:r>
      <w:r>
        <w:t xml:space="preserve"> </w:t>
      </w:r>
      <w:r>
        <w:t xml:space="preserve">the name "Spa'am" as the joke it was intended to be &amp;hellip;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 "Spa'am."</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p>
      <w:pPr>
        <w:pStyle w:val="Heading4"/>
      </w:pPr>
      <w:bookmarkStart w:id="58" w:name="degree-of-similarity-between-the-marks"/>
      <w:bookmarkEnd w:id="58"/>
      <w:r>
        <w:rPr>
          <w:i/>
        </w:rPr>
        <w:t xml:space="preserve">Degree of Similarity Between the Marks</w:t>
      </w:r>
    </w:p>
    <w:p>
      <w:pPr>
        <w:pStyle w:val="FirstParagraph"/>
      </w:pPr>
      <w:r>
        <w:t xml:space="preserve">&amp;hellip;[C]ombined use of the name and likeness does not present a strong</w:t>
      </w:r>
      <w:r>
        <w:t xml:space="preserve"> </w:t>
      </w:r>
      <w:r>
        <w:t xml:space="preserve">case of similarity. Viewed alone, of course, the names "Spa'am" and</w:t>
      </w:r>
      <w:r>
        <w:t xml:space="preserve"> </w:t>
      </w:r>
      <w:r>
        <w:t xml:space="preserve">"SPAM" bear more than a passing resemblance. Indeed, Henson's parody</w:t>
      </w:r>
      <w:r>
        <w:t xml:space="preserve"> </w:t>
      </w:r>
      <w:r>
        <w:t xml:space="preserve">depends on the correspondence between the two. However, there are also</w:t>
      </w:r>
      <w:r>
        <w:t xml:space="preserve"> </w:t>
      </w:r>
      <w:r>
        <w:t xml:space="preserve">some significant differences. "Spa'am" is divided in two by an</w:t>
      </w:r>
      <w:r>
        <w:t xml:space="preserve"> </w:t>
      </w:r>
      <w:r>
        <w:t xml:space="preserve">apostrophe and it contains two "a"s instead of one. In addition, Spa'am</w:t>
      </w:r>
      <w:r>
        <w:t xml:space="preserve"> </w:t>
      </w:r>
      <w:r>
        <w:t xml:space="preserve">is pronounced as two distinct syllables, SPAM only one.</w:t>
      </w:r>
    </w:p>
    <w:p>
      <w:pPr>
        <w:pStyle w:val="BodyText"/>
      </w:pPr>
      <w:r>
        <w:t xml:space="preserve">Moreover, "an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 </w:t>
      </w:r>
      <w:hyperlink r:id="rId59">
        <w:r>
          <w:rPr>
            <w:i/>
            <w:rStyle w:val="Hyperlink"/>
          </w:rPr>
          <w:t xml:space="preserve">Spring Mills, Inc. v. Ultracashmere</w:t>
        </w:r>
        <w:r>
          <w:rPr>
            <w:i/>
            <w:rStyle w:val="Hyperlink"/>
          </w:rPr>
          <w:t xml:space="preserve"> </w:t>
        </w:r>
        <w:r>
          <w:rPr>
            <w:i/>
            <w:rStyle w:val="Hyperlink"/>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 "Spa'am" next to a likeness of the wild boar puppet. In addition, the words "Muppet</w:t>
      </w:r>
      <w:r>
        <w:t xml:space="preserve"> </w:t>
      </w:r>
      <w:r>
        <w:t xml:space="preserve">Treasure Island" always will be prominently displayed wherever the name</w:t>
      </w:r>
      <w:r>
        <w:t xml:space="preserve"> </w:t>
      </w:r>
      <w:r>
        <w:t xml:space="preserve">"Spa'am" 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 "Spa'am" appears will</w:t>
      </w:r>
      <w:r>
        <w:t xml:space="preserve"> </w:t>
      </w:r>
      <w:r>
        <w:t xml:space="preserve">distinguish the marks in the consumer's mind.</w:t>
      </w:r>
    </w:p>
    <w:p>
      <w:pPr>
        <w:pStyle w:val="Heading4"/>
      </w:pPr>
      <w:bookmarkStart w:id="60" w:name="proximity-of-the-products"/>
      <w:bookmarkEnd w:id="60"/>
      <w:r>
        <w:rPr>
          <w:i/>
        </w:rPr>
        <w:t xml:space="preserve">Proximity of the Products</w:t>
      </w:r>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 "[c]learly ... derive their associations from a primary</w:t>
      </w:r>
      <w:r>
        <w:t xml:space="preserve"> </w:t>
      </w:r>
      <w:r>
        <w:t xml:space="preserve">product — luncheon meat, in the case of SPAM, and a Muppet motion</w:t>
      </w:r>
      <w:r>
        <w:t xml:space="preserve"> </w:t>
      </w:r>
      <w:r>
        <w:t xml:space="preserve">picture, in the case of Spa'am." It</w:t>
      </w:r>
      <w:r>
        <w:t xml:space="preserve"> </w:t>
      </w:r>
      <w:r>
        <w:t xml:space="preserve">noted that "purchasers of SPAM merchandise would generally be consumers</w:t>
      </w:r>
      <w:r>
        <w:t xml:space="preserve"> </w:t>
      </w:r>
      <w:r>
        <w:t xml:space="preserve">of the luncheon meat," and that "[c]onsumers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&amp;hellip;[T]he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p>
      <w:pPr>
        <w:pStyle w:val="Heading4"/>
      </w:pPr>
      <w:bookmarkStart w:id="61" w:name="bridging-the-gap"/>
      <w:bookmarkEnd w:id="61"/>
      <w:r>
        <w:rPr>
          <w:i/>
        </w:rPr>
        <w:t xml:space="preserve">Bridging the Gap</w:t>
      </w:r>
    </w:p>
    <w:p>
      <w:pPr>
        <w:pStyle w:val="FirstParagraph"/>
      </w:pPr>
      <w:r>
        <w:t xml:space="preserve">Bridging the gap refers to the "senior user's interest in preserving</w:t>
      </w:r>
      <w:r>
        <w:t xml:space="preserve"> </w:t>
      </w:r>
      <w:r>
        <w:t xml:space="preserve">avenues of expansion and entering into related fields."</w:t>
      </w:r>
      <w:r>
        <w:t xml:space="preserve"> </w:t>
      </w:r>
      <w:hyperlink r:id="rId62">
        <w:r>
          <w:rPr>
            <w:i/>
            <w:rStyle w:val="Hyperlink"/>
          </w:rPr>
          <w:t xml:space="preserve">C.L.A.S.S.</w:t>
        </w:r>
        <w:r>
          <w:rPr>
            <w:i/>
            <w:rStyle w:val="Hyperlink"/>
          </w:rPr>
          <w:t xml:space="preserve"> </w:t>
        </w:r>
        <w:r>
          <w:rPr>
            <w:i/>
            <w:rStyle w:val="Hyperlink"/>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63">
        <w:r>
          <w:rPr>
            <w:i/>
            <w:rStyle w:val="Hyperlink"/>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p>
      <w:pPr>
        <w:pStyle w:val="Heading4"/>
      </w:pPr>
      <w:bookmarkStart w:id="64" w:name="actual-confusion"/>
      <w:bookmarkEnd w:id="64"/>
      <w:r>
        <w:rPr>
          <w:i/>
        </w:rPr>
        <w:t xml:space="preserve">Actual Confusion</w:t>
      </w:r>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p>
      <w:pPr>
        <w:pStyle w:val="Heading4"/>
      </w:pPr>
      <w:bookmarkStart w:id="65" w:name="bad-faith"/>
      <w:bookmarkEnd w:id="65"/>
      <w:r>
        <w:rPr>
          <w:i/>
        </w:rPr>
        <w:t xml:space="preserve">Bad Faith</w:t>
      </w:r>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56">
        <w:r>
          <w:rPr>
            <w:i/>
            <w:rStyle w:val="Hyperlink"/>
          </w:rPr>
          <w:t xml:space="preserve">Yankee Publishing,</w:t>
        </w:r>
        <w:r>
          <w:rPr>
            <w:i/>
            <w:rStyle w:val="Hyperlink"/>
          </w:rPr>
          <w:t xml:space="preserve"> </w:t>
        </w:r>
        <w:r>
          <w:rPr>
            <w:i/>
            <w:rStyle w:val="Hyperlink"/>
          </w:rPr>
          <w:t xml:space="preserve">supra</w:t>
        </w:r>
      </w:hyperlink>
      <w:r>
        <w:rPr>
          <w:i/>
        </w:rPr>
        <w:t xml:space="preserve">,</w:t>
      </w:r>
      <w:r>
        <w:t xml:space="preserve"> </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 </w:t>
      </w:r>
      <w:hyperlink r:id="rId56">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66">
        <w:r>
          <w:rPr>
            <w:i/>
            <w:rStyle w:val="Hyperlink"/>
          </w:rPr>
          <w:t xml:space="preserve">Tetley, Inc. v. Topps Chewing</w:t>
        </w:r>
        <w:r>
          <w:rPr>
            <w:i/>
            <w:rStyle w:val="Hyperlink"/>
          </w:rPr>
          <w:t xml:space="preserve"> </w:t>
        </w:r>
        <w:r>
          <w:rPr>
            <w:i/>
            <w:rStyle w:val="Hyperlink"/>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p>
      <w:pPr>
        <w:pStyle w:val="Heading4"/>
      </w:pPr>
      <w:bookmarkStart w:id="67" w:name="quality-of-the-products"/>
      <w:bookmarkEnd w:id="67"/>
      <w:r>
        <w:rPr>
          <w:i/>
        </w:rPr>
        <w:t xml:space="preserve">Quality of the Products</w:t>
      </w:r>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68">
        <w:r>
          <w:rPr>
            <w:i/>
            <w:rStyle w:val="Hyperlink"/>
          </w:rPr>
          <w:t xml:space="preserve">Nikon</w:t>
        </w:r>
        <w:r>
          <w:rPr>
            <w:i/>
            <w:rStyle w:val="Hyperlink"/>
          </w:rPr>
          <w:t xml:space="preserve"> </w:t>
        </w:r>
        <w:r>
          <w:rPr>
            <w:i/>
            <w:rStyle w:val="Hyperlink"/>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p>
      <w:pPr>
        <w:pStyle w:val="Heading4"/>
      </w:pPr>
      <w:bookmarkStart w:id="69" w:name="consumer-sophistication"/>
      <w:bookmarkEnd w:id="69"/>
      <w:r>
        <w:rPr>
          <w:i/>
        </w:rPr>
        <w:t xml:space="preserve">Consumer Sophistication</w:t>
      </w:r>
    </w:p>
    <w:p>
      <w:pPr>
        <w:pStyle w:val="FirstParagraph"/>
      </w:pPr>
      <w:r>
        <w:t xml:space="preserve">The district court found that a child or adult who would be likely to</w:t>
      </w:r>
      <w:r>
        <w:t xml:space="preserve"> </w:t>
      </w:r>
      <w:r>
        <w:t xml:space="preserve">buy merchandise featuring Spa'am would do so "because he likes the</w:t>
      </w:r>
      <w:r>
        <w:t xml:space="preserve"> </w:t>
      </w:r>
      <w:r>
        <w:t xml:space="preserve">Muppets, not because he mistakenly thinks that it is a SPAM [product]."</w:t>
      </w:r>
      <w:r>
        <w:t xml:space="preserve"> </w:t>
      </w:r>
      <w:r>
        <w:t xml:space="preserve">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70">
        <w:r>
          <w:rPr>
            <w:i/>
            <w:rStyle w:val="Hyperlink"/>
          </w:rPr>
          <w:t xml:space="preserve">Vitarroz, supra,</w:t>
        </w:r>
      </w:hyperlink>
      <w:r>
        <w:t xml:space="preserve">.</w:t>
      </w:r>
      <w:r>
        <w:t xml:space="preserve"> </w:t>
      </w:r>
      <w:r>
        <w:t xml:space="preserve">Therefore, we find no error in the district court's reasoning.</w:t>
      </w:r>
    </w:p>
    <w:p>
      <w:pPr>
        <w:pStyle w:val="Heading4"/>
      </w:pPr>
      <w:bookmarkStart w:id="71" w:name="likelihood-of-confusion"/>
      <w:bookmarkEnd w:id="71"/>
      <w:r>
        <w:rPr>
          <w:i/>
        </w:rPr>
        <w:t xml:space="preserve">Likelihood of Confusion</w:t>
      </w:r>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p>
      <w:pPr>
        <w:pStyle w:val="Heading3"/>
      </w:pPr>
      <w:bookmarkStart w:id="72" w:name="b.-trademark-dilution"/>
      <w:bookmarkEnd w:id="72"/>
      <w:r>
        <w:t xml:space="preserve">B. Trademark Dilution</w:t>
      </w:r>
    </w:p>
    <w:p>
      <w:pPr>
        <w:pStyle w:val="FirstParagraph"/>
      </w:pPr>
      <w:r>
        <w:t xml:space="preserve">Hormel asserts error in the district court's conclusion that use of the</w:t>
      </w:r>
      <w:r>
        <w:t xml:space="preserve"> </w:t>
      </w:r>
      <w:r>
        <w:t xml:space="preserve">Spa'am likeness, both with and without the name "Spa'am," will not</w:t>
      </w:r>
      <w:r>
        <w:t xml:space="preserve"> </w:t>
      </w:r>
      <w:r>
        <w:t xml:space="preserve">dilute Hormel's SPAM trademark under New York's anti-dilution statute.&amp;hellip;</w:t>
      </w:r>
    </w:p>
    <w:p>
      <w:pPr>
        <w:pStyle w:val="BodyText"/>
      </w:pPr>
      <w:r>
        <w:t xml:space="preserve">Dilution is grounded on the idea that a trademark can lose its "ability</w:t>
      </w:r>
      <w:r>
        <w:t xml:space="preserve"> </w:t>
      </w:r>
      <w:r>
        <w:t xml:space="preserve">&amp;hellip; to clearly and unmistakably distinguish one source" 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73">
        <w:r>
          <w:rPr>
            <w:i/>
            <w:rStyle w:val="Hyperlink"/>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p>
      <w:pPr>
        <w:pStyle w:val="Heading4"/>
      </w:pPr>
      <w:bookmarkStart w:id="74" w:name="blurring"/>
      <w:bookmarkEnd w:id="74"/>
      <w:r>
        <w:rPr>
          <w:i/>
        </w:rPr>
        <w:t xml:space="preserve">Blurring</w:t>
      </w:r>
    </w:p>
    <w:p>
      <w:pPr>
        <w:pStyle w:val="FirstParagraph"/>
      </w:pPr>
      <w:r>
        <w:t xml:space="preserve">Dilution by blurring occurs when</w:t>
      </w:r>
      <w:r>
        <w:t xml:space="preserve"> </w:t>
      </w:r>
      <w:r>
        <w:t xml:space="preserve">"[c]ustomers or prospective customers &amp;hellip;</w:t>
      </w:r>
      <w:r>
        <w:t xml:space="preserve"> </w:t>
      </w:r>
      <w:r>
        <w:t xml:space="preserve">see the plaintiff's mark used on a plethora of different goods and</w:t>
      </w:r>
      <w:r>
        <w:t xml:space="preserve"> </w:t>
      </w:r>
      <w:r>
        <w:t xml:space="preserve">services." &amp;hellip; "Thus, dilution by</w:t>
      </w:r>
      <w:r>
        <w:t xml:space="preserve"> </w:t>
      </w:r>
      <w:r>
        <w:t xml:space="preserve">'blurring' 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 </w:t>
      </w:r>
      <w:hyperlink r:id="rId75">
        <w:r>
          <w:rPr>
            <w:i/>
            <w:rStyle w:val="Hyperlink"/>
          </w:rPr>
          <w:t xml:space="preserve">Deere &amp; Co. v. MTD</w:t>
        </w:r>
        <w:r>
          <w:rPr>
            <w:i/>
            <w:rStyle w:val="Hyperlink"/>
          </w:rPr>
          <w:t xml:space="preserve"> </w:t>
        </w:r>
        <w:r>
          <w:rPr>
            <w:i/>
            <w:rStyle w:val="Hyperlink"/>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73">
        <w:r>
          <w:rPr>
            <w:i/>
            <w:rStyle w:val="Hyperlink"/>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 "DuPont shoes, Buick aspirin tablets, Schlitz</w:t>
      </w:r>
      <w:r>
        <w:t xml:space="preserve"> </w:t>
      </w:r>
      <w:r>
        <w:t xml:space="preserve">varnish, Kodak pianos, Bulova gowns, and so forth."</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 "'tend to increase public</w:t>
      </w:r>
      <w:r>
        <w:t xml:space="preserve"> </w:t>
      </w:r>
      <w:r>
        <w:t xml:space="preserve">identification'" of Hormel's mark with Hormel.&amp;hellip;</w:t>
      </w:r>
    </w:p>
    <w:p>
      <w:pPr>
        <w:pStyle w:val="Heading4"/>
      </w:pPr>
      <w:bookmarkStart w:id="76" w:name="tarnishment"/>
      <w:bookmarkEnd w:id="76"/>
      <w:r>
        <w:rPr>
          <w:i/>
        </w:rPr>
        <w:t xml:space="preserve">Tarnishment</w:t>
      </w:r>
    </w:p>
    <w:p>
      <w:pPr>
        <w:pStyle w:val="FirstParagraph"/>
      </w:pPr>
      <w:r>
        <w:t xml:space="preserve">Dilution may also occur by tarnishment. A trademark may be tarnished</w:t>
      </w:r>
      <w:r>
        <w:t xml:space="preserve"> </w:t>
      </w:r>
      <w:r>
        <w:t xml:space="preserve">when it is "linked to products of shoddy quality, or is portrayed in an</w:t>
      </w:r>
      <w:r>
        <w:t xml:space="preserve"> </w:t>
      </w:r>
      <w:r>
        <w:t xml:space="preserve">unwholesome or unsavory context," with the result that "the public will</w:t>
      </w:r>
      <w:r>
        <w:t xml:space="preserve"> </w:t>
      </w:r>
      <w:r>
        <w:t xml:space="preserve">associate the lack of quality or lack of prestige in the defendant's</w:t>
      </w:r>
      <w:r>
        <w:t xml:space="preserve"> </w:t>
      </w:r>
      <w:r>
        <w:t xml:space="preserve">goods with the plaintiff's unrelated goods."</w:t>
      </w:r>
      <w:r>
        <w:t xml:space="preserve"> </w:t>
      </w:r>
      <w:hyperlink r:id="rId75">
        <w:r>
          <w:rPr>
            <w:i/>
            <w:rStyle w:val="Hyperlink"/>
          </w:rPr>
          <w:t xml:space="preserve">Deere &amp; Co., supra,</w:t>
        </w:r>
      </w:hyperlink>
      <w:r>
        <w:t xml:space="preserve">.</w:t>
      </w:r>
      <w:r>
        <w:t xml:space="preserve"> </w:t>
      </w:r>
      <w:r>
        <w:t xml:space="preserve">The mark may also be tarnished if it loses its ability to serve as a</w:t>
      </w:r>
      <w:r>
        <w:t xml:space="preserve"> </w:t>
      </w:r>
      <w:r>
        <w:t xml:space="preserve">"wholesome identifier" 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77">
        <w:r>
          <w:rPr>
            <w:i/>
            <w:rStyle w:val="Hyperlink"/>
          </w:rPr>
          <w:t xml:space="preserve">Eastman</w:t>
        </w:r>
        <w:r>
          <w:rPr>
            <w:i/>
            <w:rStyle w:val="Hyperlink"/>
          </w:rPr>
          <w:t xml:space="preserve"> </w:t>
        </w:r>
        <w:r>
          <w:rPr>
            <w:i/>
            <w:rStyle w:val="Hyperlink"/>
          </w:rPr>
          <w:t xml:space="preserve">Kodak Co. v. Rakow,</w:t>
        </w:r>
        <w:r>
          <w:rPr>
            <w:rStyle w:val="Hyperlink"/>
          </w:rPr>
          <w:t xml:space="preserve"> </w:t>
        </w:r>
        <w:r>
          <w:rPr>
            <w:rStyle w:val="Hyperlink"/>
          </w:rPr>
          <w:t xml:space="preserve">(W.D.N.Y.1989)</w:t>
        </w:r>
      </w:hyperlink>
      <w:r>
        <w:t xml:space="preserve">;</w:t>
      </w:r>
      <w:r>
        <w:t xml:space="preserve"> </w:t>
      </w:r>
      <w:hyperlink r:id="rId78">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54">
        <w:r>
          <w:rPr>
            <w:rStyle w:val="Hyperlink"/>
          </w:rPr>
          <w:t xml:space="preserve">(2d</w:t>
        </w:r>
        <w:r>
          <w:rPr>
            <w:rStyle w:val="Hyperlink"/>
          </w:rPr>
          <w:t xml:space="preserve"> </w:t>
        </w:r>
        <w:r>
          <w:rPr>
            <w:rStyle w:val="Hyperlink"/>
          </w:rPr>
          <w:t xml:space="preserve">Cir. 1979)</w:t>
        </w:r>
      </w:hyperlink>
      <w:r>
        <w:t xml:space="preserve">;</w:t>
      </w:r>
      <w:r>
        <w:t xml:space="preserve"> </w:t>
      </w:r>
      <w:hyperlink r:id="rId79">
        <w:r>
          <w:rPr>
            <w:i/>
            <w:rStyle w:val="Hyperlink"/>
          </w:rPr>
          <w:t xml:space="preserve">Pillsbury Co. v. Milky Way Productions, Inc.,</w:t>
        </w:r>
        <w:r>
          <w:rPr>
            <w:rStyle w:val="Hyperlink"/>
          </w:rPr>
          <w:t xml:space="preserve"> </w:t>
        </w:r>
        <w:r>
          <w:rPr>
            <w:rStyle w:val="Hyperlink"/>
          </w:rPr>
          <w:t xml:space="preserve">(N.D.Ga.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 "grotesque," "untidy" wild</w:t>
      </w:r>
      <w:r>
        <w:t xml:space="preserve"> </w:t>
      </w:r>
      <w:r>
        <w:t xml:space="preserve">boar will "inspire negative and unsavory associations with SPAM®</w:t>
      </w:r>
      <w:r>
        <w:t xml:space="preserve"> </w:t>
      </w:r>
      <w:r>
        <w:t xml:space="preserve">luncheon meat." Both Hormel and Amicus Curiae rely heavily on our recent</w:t>
      </w:r>
      <w:r>
        <w:t xml:space="preserve"> </w:t>
      </w:r>
      <w:r>
        <w:t xml:space="preserve">decision in</w:t>
      </w:r>
      <w:r>
        <w:t xml:space="preserve"> </w:t>
      </w:r>
      <w:hyperlink r:id="rId75">
        <w:r>
          <w:rPr>
            <w:i/>
            <w:rStyle w:val="Hyperlink"/>
          </w:rPr>
          <w:t xml:space="preserve">Deere,</w:t>
        </w:r>
        <w:r>
          <w:rPr>
            <w:i/>
            <w:rStyle w:val="Hyperlink"/>
          </w:rPr>
          <w:t xml:space="preserve"> </w:t>
        </w:r>
        <w:r>
          <w:rPr>
            <w:i/>
            <w:rStyle w:val="Hyperlink"/>
          </w:rPr>
          <w:t xml:space="preserve">supra</w:t>
        </w:r>
      </w:hyperlink>
      <w:r>
        <w:rPr>
          <w:i/>
        </w:rPr>
        <w:t xml:space="preserve">,</w:t>
      </w:r>
      <w:r>
        <w:t xml:space="preserve"> </w:t>
      </w:r>
      <w:r>
        <w:t xml:space="preserve">for the proposition that products that "pok[e] fun at widely recognized</w:t>
      </w:r>
      <w:r>
        <w:t xml:space="preserve"> </w:t>
      </w:r>
      <w:r>
        <w:t xml:space="preserve">marks of non-competing products, risk diluting the selling power of the</w:t>
      </w:r>
      <w:r>
        <w:t xml:space="preserve"> </w:t>
      </w:r>
      <w:r>
        <w:t xml:space="preserve">mark that is made fun of."</w:t>
      </w:r>
      <w:r>
        <w:t xml:space="preserve"> </w:t>
      </w:r>
      <w:hyperlink r:id="rId75">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 * *</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66">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 "Dilution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 </w:t>
      </w:r>
      <w:hyperlink r:id="rId75">
        <w:r>
          <w:rPr>
            <w:i/>
            <w:rStyle w:val="Hyperlink"/>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 "[t]he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 "we must be careful not to broaden section 368-d to</w:t>
      </w:r>
      <w:r>
        <w:t xml:space="preserve"> </w:t>
      </w:r>
      <w:r>
        <w:t xml:space="preserve">prohibit all uses of a distinctive mark that the owner prefers not be</w:t>
      </w:r>
      <w:r>
        <w:t xml:space="preserve"> </w:t>
      </w:r>
      <w:r>
        <w:t xml:space="preserve">made."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 * *</w:t>
      </w:r>
    </w:p>
    <w:p>
      <w:pPr>
        <w:pStyle w:val="BodyText"/>
      </w:pPr>
      <w:r>
        <w:t xml:space="preserve">We affirm the district court's denial of injunctive relief.</w:t>
      </w:r>
    </w:p>
    <w:p>
      <w:pPr>
        <w:pStyle w:val="Heading2"/>
      </w:pPr>
      <w:bookmarkStart w:id="80" w:name="browne-v.-mccain"/>
      <w:bookmarkEnd w:id="80"/>
      <w:r>
        <w:rPr>
          <w:i/>
        </w:rPr>
        <w:t xml:space="preserve">Browne v. McCain</w:t>
      </w:r>
    </w:p>
    <w:p>
      <w:pPr>
        <w:pStyle w:val="Heading6"/>
      </w:pPr>
      <w:bookmarkStart w:id="81" w:name="united-states-district-court-cd-california-2009"/>
      <w:bookmarkEnd w:id="81"/>
      <w:r>
        <w:t xml:space="preserve">United States District Court, CD California (2009)</w:t>
      </w:r>
    </w:p>
    <w:p>
      <w:pPr>
        <w:pStyle w:val="Compact"/>
        <w:numPr>
          <w:numId w:val="1004"/>
          <w:ilvl w:val="0"/>
        </w:numPr>
      </w:pPr>
      <w:hyperlink r:id="rId82">
        <w:r>
          <w:rPr>
            <w:rStyle w:val="Hyperlink"/>
          </w:rPr>
          <w:t xml:space="preserve">case on Google Scholar</w:t>
        </w:r>
      </w:hyperlink>
    </w:p>
    <w:p>
      <w:pPr>
        <w:pStyle w:val="Compact"/>
        <w:numPr>
          <w:numId w:val="1004"/>
          <w:ilvl w:val="0"/>
        </w:numPr>
      </w:pPr>
      <w:hyperlink r:id="rId83">
        <w:r>
          <w:rPr>
            <w:rStyle w:val="Hyperlink"/>
          </w:rPr>
          <w:t xml:space="preserve">case on Westlaw</w:t>
        </w:r>
      </w:hyperlink>
    </w:p>
    <w:p>
      <w:pPr>
        <w:pStyle w:val="Compact"/>
        <w:numPr>
          <w:numId w:val="1004"/>
          <w:ilvl w:val="0"/>
        </w:numPr>
      </w:pPr>
      <w:hyperlink r:id="rId84">
        <w:r>
          <w:rPr>
            <w:i/>
            <w:rStyle w:val="Hyperlink"/>
          </w:rPr>
          <w:t xml:space="preserve">Browne v. McCain,</w:t>
        </w:r>
        <w:r>
          <w:rPr>
            <w:rStyle w:val="Hyperlink"/>
          </w:rPr>
          <w:t xml:space="preserve"> </w:t>
        </w:r>
        <w:r>
          <w:rPr>
            <w:rStyle w:val="Hyperlink"/>
          </w:rPr>
          <w:t xml:space="preserve">WSJ Blogs</w:t>
        </w:r>
      </w:hyperlink>
      <w:r>
        <w:t xml:space="preserve">.</w:t>
      </w:r>
    </w:p>
    <w:p>
      <w:pPr>
        <w:pStyle w:val="FirstParagraph"/>
      </w:pPr>
      <w:r>
        <w:t xml:space="preserve">R. GARY KLAUSNER, District Judge.</w:t>
      </w:r>
    </w:p>
    <w:p>
      <w:pPr>
        <w:pStyle w:val="Heading3"/>
      </w:pPr>
      <w:bookmarkStart w:id="85" w:name="i.-introduction"/>
      <w:bookmarkEnd w:id="85"/>
      <w:r>
        <w:t xml:space="preserve">I.</w:t>
      </w:r>
      <w:r>
        <w:t xml:space="preserve"> </w:t>
      </w:r>
      <w:r>
        <w:rPr>
          <w:i/>
        </w:rPr>
        <w:t xml:space="preserve">INTRODUCTION</w:t>
      </w:r>
    </w:p>
    <w:p>
      <w:pPr>
        <w:pStyle w:val="FirstParagraph"/>
      </w:pPr>
      <w:r>
        <w:t xml:space="preserve">A few months before the 2008 Presidential election, Jackson Browne</w:t>
      </w:r>
      <w:r>
        <w:t xml:space="preserve"> </w:t>
      </w:r>
      <w:r>
        <w:t xml:space="preserve">("Browne" or "Plaintiff") sued Republican Presidential candidate,</w:t>
      </w:r>
      <w:r>
        <w:t xml:space="preserve"> </w:t>
      </w:r>
      <w:r>
        <w:t xml:space="preserve">Senator John McCain ("Senator McCain"), along with the Republican</w:t>
      </w:r>
      <w:r>
        <w:t xml:space="preserve"> </w:t>
      </w:r>
      <w:r>
        <w:t xml:space="preserve">National Committee ("RNC"), and the Ohio Republican Party ("ORP")</w:t>
      </w:r>
      <w:r>
        <w:t xml:space="preserve"> </w:t>
      </w:r>
      <w:r>
        <w:t xml:space="preserve">(collectively "Defendants") for copyright infringement, and other</w:t>
      </w:r>
      <w:r>
        <w:t xml:space="preserve"> </w:t>
      </w:r>
      <w:r>
        <w:t xml:space="preserve">related claims. Browne's claims arise out of Defendants' alleged</w:t>
      </w:r>
      <w:r>
        <w:t xml:space="preserve"> </w:t>
      </w:r>
      <w:r>
        <w:t xml:space="preserve">improper use of his song</w:t>
      </w:r>
      <w:r>
        <w:t xml:space="preserve"> </w:t>
      </w:r>
      <w:r>
        <w:rPr>
          <w:i/>
        </w:rPr>
        <w:t xml:space="preserve">Running on Empty</w:t>
      </w:r>
      <w:r>
        <w:t xml:space="preserve"> </w:t>
      </w:r>
      <w:r>
        <w:t xml:space="preserve">in a campaign commercial for</w:t>
      </w:r>
      <w:r>
        <w:t xml:space="preserve"> </w:t>
      </w:r>
      <w:r>
        <w:t xml:space="preserve">Senator McCain.</w:t>
      </w:r>
    </w:p>
    <w:p>
      <w:pPr>
        <w:pStyle w:val="BodyText"/>
      </w:pPr>
      <w:r>
        <w:t xml:space="preserve">Presently before the Court is RNC's Motion to Dismiss for Failure to</w:t>
      </w:r>
      <w:r>
        <w:t xml:space="preserve"> </w:t>
      </w:r>
      <w:r>
        <w:t xml:space="preserve">State a Claim. For the following reasons, the Court DENIES RNC's Motion.</w:t>
      </w:r>
    </w:p>
    <w:p>
      <w:pPr>
        <w:pStyle w:val="Heading3"/>
      </w:pPr>
      <w:bookmarkStart w:id="86" w:name="ii.-factual-background"/>
      <w:bookmarkEnd w:id="86"/>
      <w:r>
        <w:t xml:space="preserve">II. FACTUAL BACKGROUND</w:t>
      </w:r>
    </w:p>
    <w:p>
      <w:pPr>
        <w:pStyle w:val="FirstParagraph"/>
      </w:pPr>
      <w:r>
        <w:t xml:space="preserve">Browne is a singer and songwriter who is closely associated with liberal</w:t>
      </w:r>
      <w:r>
        <w:t xml:space="preserve"> </w:t>
      </w:r>
      <w:r>
        <w:t xml:space="preserve">causes and Democratic political candidates. Browne's</w:t>
      </w:r>
      <w:r>
        <w:t xml:space="preserve"> </w:t>
      </w:r>
      <w:r>
        <w:t xml:space="preserve">public support for the Democratic Party and President Barack Obama is</w:t>
      </w:r>
      <w:r>
        <w:t xml:space="preserve"> </w:t>
      </w:r>
      <w:r>
        <w:t xml:space="preserve">well-known. In fact, Browne has performed at political</w:t>
      </w:r>
      <w:r>
        <w:t xml:space="preserve"> </w:t>
      </w:r>
      <w:r>
        <w:t xml:space="preserve">rallies for Democratic Party candidates.</w:t>
      </w:r>
    </w:p>
    <w:p>
      <w:pPr>
        <w:pStyle w:val="BodyText"/>
      </w:pPr>
      <w:r>
        <w:t xml:space="preserve">Senator McCain is a citizen of Arizona and ran as the Republican</w:t>
      </w:r>
      <w:r>
        <w:t xml:space="preserve"> </w:t>
      </w:r>
      <w:r>
        <w:t xml:space="preserve">Presidential candidate in the 2008 Presidential election. RNC is a non-profit political organization based in the District of</w:t>
      </w:r>
      <w:r>
        <w:t xml:space="preserve"> </w:t>
      </w:r>
      <w:r>
        <w:t xml:space="preserve">Columbia. ORP is a non-profit political organization based</w:t>
      </w:r>
      <w:r>
        <w:t xml:space="preserve"> </w:t>
      </w:r>
      <w:r>
        <w:t xml:space="preserve">in Ohio.</w:t>
      </w:r>
    </w:p>
    <w:p>
      <w:pPr>
        <w:pStyle w:val="Heading4"/>
      </w:pPr>
      <w:bookmarkStart w:id="87" w:name="a.-the-composition"/>
      <w:bookmarkEnd w:id="87"/>
      <w:r>
        <w:t xml:space="preserve">A.</w:t>
      </w:r>
      <w:r>
        <w:t xml:space="preserve"> </w:t>
      </w:r>
      <w:r>
        <w:rPr>
          <w:i/>
        </w:rPr>
        <w:t xml:space="preserve">The Composition</w:t>
      </w:r>
    </w:p>
    <w:p>
      <w:pPr>
        <w:pStyle w:val="FirstParagraph"/>
      </w:pPr>
      <w:r>
        <w:t xml:space="preserve">In 1977, Browne released an album entitled</w:t>
      </w:r>
      <w:r>
        <w:t xml:space="preserve"> </w:t>
      </w:r>
      <w:r>
        <w:rPr>
          <w:i/>
        </w:rPr>
        <w:t xml:space="preserve">Running on Empty</w:t>
      </w:r>
      <w:r>
        <w:t xml:space="preserve"> </w:t>
      </w:r>
      <w:r>
        <w:t xml:space="preserve">(the</w:t>
      </w:r>
      <w:r>
        <w:t xml:space="preserve"> </w:t>
      </w:r>
      <w:r>
        <w:t xml:space="preserve">"Album"), which</w:t>
      </w:r>
      <w:r>
        <w:t xml:space="preserve"> </w:t>
      </w:r>
      <w:r>
        <w:t xml:space="preserve">contained a composition of the same name (the "Composition"). The Album reached platinum status (i.e., sales of one million or</w:t>
      </w:r>
      <w:r>
        <w:t xml:space="preserve"> </w:t>
      </w:r>
      <w:r>
        <w:t xml:space="preserve">more) seven times over. The Album and Composition are both</w:t>
      </w:r>
      <w:r>
        <w:t xml:space="preserve"> </w:t>
      </w:r>
      <w:r>
        <w:t xml:space="preserve">famously associated with Browne, who owns a federally registered</w:t>
      </w:r>
      <w:r>
        <w:t xml:space="preserve"> </w:t>
      </w:r>
      <w:r>
        <w:t xml:space="preserve">copyright in the Composition. It is that Composition</w:t>
      </w:r>
      <w:r>
        <w:t xml:space="preserve"> </w:t>
      </w:r>
      <w:r>
        <w:t xml:space="preserve">that Browne alleges Defendants improperly used in a campaign commercial</w:t>
      </w:r>
      <w:r>
        <w:t xml:space="preserve"> </w:t>
      </w:r>
      <w:r>
        <w:t xml:space="preserve">for Senator McCain.&amp;hellip;</w:t>
      </w:r>
    </w:p>
    <w:p>
      <w:pPr>
        <w:pStyle w:val="Heading4"/>
      </w:pPr>
      <w:bookmarkStart w:id="88" w:name="b.-the-commercial"/>
      <w:bookmarkEnd w:id="88"/>
      <w:r>
        <w:t xml:space="preserve">B.</w:t>
      </w:r>
      <w:r>
        <w:t xml:space="preserve"> </w:t>
      </w:r>
      <w:r>
        <w:rPr>
          <w:i/>
        </w:rPr>
        <w:t xml:space="preserve">The Commercial</w:t>
      </w:r>
    </w:p>
    <w:p>
      <w:pPr>
        <w:pStyle w:val="FirstParagraph"/>
      </w:pPr>
      <w:r>
        <w:t xml:space="preserve">In anticipation of then-Democratic Presidential candidate Barack Obama's</w:t>
      </w:r>
      <w:r>
        <w:t xml:space="preserve"> </w:t>
      </w:r>
      <w:r>
        <w:t xml:space="preserve">visit to Ohio the week of August 4, 2008, ORP, acting as an agent for</w:t>
      </w:r>
      <w:r>
        <w:t xml:space="preserve"> </w:t>
      </w:r>
      <w:r>
        <w:t xml:space="preserve">the RNC and Senator McCain, created a web video to criticize and comment</w:t>
      </w:r>
      <w:r>
        <w:t xml:space="preserve"> </w:t>
      </w:r>
      <w:r>
        <w:t xml:space="preserve">on Barack Obama's energy policy and his suggestion that the country</w:t>
      </w:r>
      <w:r>
        <w:t xml:space="preserve"> </w:t>
      </w:r>
      <w:r>
        <w:t xml:space="preserve">could conserve gasoline by keeping their automobile tires inflated to</w:t>
      </w:r>
      <w:r>
        <w:t xml:space="preserve"> </w:t>
      </w:r>
      <w:r>
        <w:t xml:space="preserve">the proper pressure (the "Commercial"). During the</w:t>
      </w:r>
      <w:r>
        <w:t xml:space="preserve"> </w:t>
      </w:r>
      <w:r>
        <w:t xml:space="preserve">Commercial, a sound recording of Browne performing the Composition,</w:t>
      </w:r>
      <w:r>
        <w:t xml:space="preserve"> </w:t>
      </w:r>
      <w:r>
        <w:rPr>
          <w:i/>
        </w:rPr>
        <w:t xml:space="preserve">Running on Empty,</w:t>
      </w:r>
      <w:r>
        <w:t xml:space="preserve"> </w:t>
      </w:r>
      <w:r>
        <w:t xml:space="preserve">plays in the background.</w:t>
      </w:r>
    </w:p>
    <w:p>
      <w:pPr>
        <w:pStyle w:val="BodyText"/>
      </w:pPr>
      <w:r>
        <w:t xml:space="preserve">The Commercial is approximately one minute and twenty seconds. It begins by displaying the words "Pain at the Pump"</w:t>
      </w:r>
      <w:r>
        <w:t xml:space="preserve"> </w:t>
      </w:r>
      <w:r>
        <w:t xml:space="preserve">in large white and black letters, with bluish-pink graphics, followed by</w:t>
      </w:r>
      <w:r>
        <w:t xml:space="preserve"> </w:t>
      </w:r>
      <w:r>
        <w:t xml:space="preserve">a twenty-five second montage of Ohio news broadcasts regarding the high</w:t>
      </w:r>
      <w:r>
        <w:t xml:space="preserve"> </w:t>
      </w:r>
      <w:r>
        <w:t xml:space="preserve">price of gas. The montage features reporters from Channels 5, 6,</w:t>
      </w:r>
      <w:r>
        <w:t xml:space="preserve"> </w:t>
      </w:r>
      <w:r>
        <w:t xml:space="preserve">and 10, who state: (1) "we don't have to say it, we are all certainly</w:t>
      </w:r>
      <w:r>
        <w:t xml:space="preserve"> </w:t>
      </w:r>
      <w:r>
        <w:t xml:space="preserve">sick of the pain at the pump"; (2) "now the price at the pump is going</w:t>
      </w:r>
      <w:r>
        <w:t xml:space="preserve"> </w:t>
      </w:r>
      <w:r>
        <w:t xml:space="preserve">up once again"; (3) "$3.64 for a gallon"; (4) "gallon of regular going</w:t>
      </w:r>
      <w:r>
        <w:t xml:space="preserve"> </w:t>
      </w:r>
      <w:r>
        <w:t xml:space="preserve">for $3.69"; (5) "gas prices are thirty-eight percent higher now than</w:t>
      </w:r>
      <w:r>
        <w:t xml:space="preserve"> </w:t>
      </w:r>
      <w:r>
        <w:t xml:space="preserve">they were this time last year"; and (6) "for most of us, fill-up can be</w:t>
      </w:r>
      <w:r>
        <w:t xml:space="preserve"> </w:t>
      </w:r>
      <w:r>
        <w:t xml:space="preserve">a budget buster." The montage concludes with a Channel 5 reporter</w:t>
      </w:r>
      <w:r>
        <w:t xml:space="preserve"> </w:t>
      </w:r>
      <w:r>
        <w:t xml:space="preserve">asking "so how do you bring down the price of gas here in northeast Ohio</w:t>
      </w:r>
      <w:r>
        <w:t xml:space="preserve"> </w:t>
      </w:r>
      <w:r>
        <w:t xml:space="preserve">and across the U.S.A.?"</w:t>
      </w:r>
    </w:p>
    <w:p>
      <w:pPr>
        <w:pStyle w:val="BodyText"/>
      </w:pPr>
      <w:r>
        <w:t xml:space="preserve">The Commercial then cuts to a CNN broadcast of then-Democratic candidate</w:t>
      </w:r>
      <w:r>
        <w:t xml:space="preserve"> </w:t>
      </w:r>
      <w:r>
        <w:t xml:space="preserve">Barack Obama at a rally saying "making sure your tires are properly</w:t>
      </w:r>
      <w:r>
        <w:t xml:space="preserve"> </w:t>
      </w:r>
      <w:r>
        <w:t xml:space="preserve">inflated." The sound of a needle dragged across a record is heard</w:t>
      </w:r>
      <w:r>
        <w:t xml:space="preserve"> </w:t>
      </w:r>
      <w:r>
        <w:t xml:space="preserve">as the screen flashes the word "What!?" Next, an image of Senator</w:t>
      </w:r>
      <w:r>
        <w:t xml:space="preserve"> </w:t>
      </w:r>
      <w:r>
        <w:t xml:space="preserve">McCain appears, along with the words "Senator McCain has [illegible]." The Commercial then cuts to information on Senator McCain's energy</w:t>
      </w:r>
      <w:r>
        <w:t xml:space="preserve"> </w:t>
      </w:r>
      <w:r>
        <w:t xml:space="preserve">plan, including the words: "Expand Domestic Oil and Natural Gas</w:t>
      </w:r>
      <w:r>
        <w:t xml:space="preserve"> </w:t>
      </w:r>
      <w:r>
        <w:t xml:space="preserve">Production; Reform Transportation Sector; Invest in Clean, Alternative</w:t>
      </w:r>
      <w:r>
        <w:t xml:space="preserve"> </w:t>
      </w:r>
      <w:r>
        <w:t xml:space="preserve">Sources of Energy; Address Climate Change; Promote Energy Efficiency."&amp;hellip;</w:t>
      </w:r>
    </w:p>
    <w:p>
      <w:pPr>
        <w:pStyle w:val="BodyText"/>
      </w:pPr>
      <w:r>
        <w:t xml:space="preserve">At approximately fifty seconds, the Instrumental Introduction of the</w:t>
      </w:r>
      <w:r>
        <w:t xml:space="preserve"> </w:t>
      </w:r>
      <w:r>
        <w:t xml:space="preserve">Composition begins playing as the screen displays the words "What's that</w:t>
      </w:r>
      <w:r>
        <w:t xml:space="preserve"> </w:t>
      </w:r>
      <w:r>
        <w:t xml:space="preserve">Obama plan again?" At approximately fifty-seven seconds, the</w:t>
      </w:r>
      <w:r>
        <w:t xml:space="preserve"> </w:t>
      </w:r>
      <w:r>
        <w:t xml:space="preserve">volume on the Composition is lowered, but is still audible, and the</w:t>
      </w:r>
      <w:r>
        <w:t xml:space="preserve"> </w:t>
      </w:r>
      <w:r>
        <w:t xml:space="preserve">Commercial cuts back to the CNN broadcast of Obama at a rally saying</w:t>
      </w:r>
      <w:r>
        <w:t xml:space="preserve"> </w:t>
      </w:r>
      <w:r>
        <w:t xml:space="preserve">"making sure your tires are properly inflated, simple thing, but we</w:t>
      </w:r>
      <w:r>
        <w:t xml:space="preserve"> </w:t>
      </w:r>
      <w:r>
        <w:t xml:space="preserve">could save all the oil that they are talking about getting off drilling</w:t>
      </w:r>
      <w:r>
        <w:t xml:space="preserve"> </w:t>
      </w:r>
      <w:r>
        <w:t xml:space="preserve">if everybody was just inflating their tires?" At approximately one</w:t>
      </w:r>
      <w:r>
        <w:t xml:space="preserve"> </w:t>
      </w:r>
      <w:r>
        <w:t xml:space="preserve">minute eight seconds, the volume of the Composition increases as the</w:t>
      </w:r>
      <w:r>
        <w:t xml:space="preserve"> </w:t>
      </w:r>
      <w:r>
        <w:t xml:space="preserve">Commercial cuts to a CNN broadcast of former Presidential candidate</w:t>
      </w:r>
      <w:r>
        <w:t xml:space="preserve"> </w:t>
      </w:r>
      <w:r>
        <w:t xml:space="preserve">Senator Hillary Clinton saying "shame on you Barack Obama." &amp;hellip;</w:t>
      </w:r>
    </w:p>
    <w:p>
      <w:pPr>
        <w:pStyle w:val="BodyText"/>
      </w:pPr>
      <w:r>
        <w:t xml:space="preserve">Neither Senator McCain, ORP, nor RNC received a license nor Browne's</w:t>
      </w:r>
      <w:r>
        <w:t xml:space="preserve"> </w:t>
      </w:r>
      <w:r>
        <w:t xml:space="preserve">permission to use the Composition in the Commercial.</w:t>
      </w:r>
    </w:p>
    <w:p>
      <w:pPr>
        <w:pStyle w:val="BodyText"/>
      </w:pPr>
      <w:r>
        <w:t xml:space="preserve">ORP posted the Commercial on You-Tube.com ("YouTube").</w:t>
      </w:r>
      <w:r>
        <w:t xml:space="preserve"> </w:t>
      </w:r>
      <w:r>
        <w:t xml:space="preserve">The Commercial also aired on television and cable networks in Ohio and</w:t>
      </w:r>
      <w:r>
        <w:t xml:space="preserve"> </w:t>
      </w:r>
      <w:r>
        <w:t xml:space="preserve">Pennsylvania, as well as other websites such as the Huffingtonpost.com.</w:t>
      </w:r>
      <w:r>
        <w:t xml:space="preserve"> </w:t>
      </w:r>
      <w:r>
        <w:t xml:space="preserve">The Commercial was also aired on and discussed by the national</w:t>
      </w:r>
      <w:r>
        <w:t xml:space="preserve"> </w:t>
      </w:r>
      <w:r>
        <w:t xml:space="preserve">news media, including MSNBC.</w:t>
      </w:r>
    </w:p>
    <w:p>
      <w:pPr>
        <w:pStyle w:val="BodyText"/>
      </w:pPr>
      <w:r>
        <w:t xml:space="preserve">Since the Commercial first appeared on television and the Internet,</w:t>
      </w:r>
      <w:r>
        <w:t xml:space="preserve"> </w:t>
      </w:r>
      <w:r>
        <w:t xml:space="preserve">Browne has received numerous inquiries expressing concern about</w:t>
      </w:r>
      <w:r>
        <w:t xml:space="preserve"> </w:t>
      </w:r>
      <w:r>
        <w:t xml:space="preserve">Defendants' use of the Composition and Browne's performance.</w:t>
      </w:r>
    </w:p>
    <w:p>
      <w:pPr>
        <w:pStyle w:val="BodyText"/>
      </w:pPr>
      <w:r>
        <w:t xml:space="preserve">Browne contends that the Commercial falsely suggests that he sponsors,</w:t>
      </w:r>
      <w:r>
        <w:t xml:space="preserve"> </w:t>
      </w:r>
      <w:r>
        <w:t xml:space="preserve">endorses, or is associated with Senator McCain and the Republican Party,</w:t>
      </w:r>
      <w:r>
        <w:t xml:space="preserve"> </w:t>
      </w:r>
      <w:r>
        <w:t xml:space="preserve">"when nothing could be further from the truth."</w:t>
      </w:r>
    </w:p>
    <w:p>
      <w:pPr>
        <w:pStyle w:val="BodyText"/>
      </w:pPr>
      <w:r>
        <w:t xml:space="preserve">As a result, Browne sued Defendants on August 14, 2008, asserting claims</w:t>
      </w:r>
      <w:r>
        <w:t xml:space="preserve"> </w:t>
      </w:r>
      <w:r>
        <w:t xml:space="preserve">for (1) Copyright Infringement, (2) Vicarious Copyright Infringement,</w:t>
      </w:r>
      <w:r>
        <w:t xml:space="preserve"> </w:t>
      </w:r>
      <w:r>
        <w:t xml:space="preserve">(3) Violation of the Lanham Act (False Association or Endorsement), and</w:t>
      </w:r>
      <w:r>
        <w:t xml:space="preserve"> </w:t>
      </w:r>
      <w:r>
        <w:t xml:space="preserve">(4) Violation of California Common Law Right of Publicity.</w:t>
      </w:r>
    </w:p>
    <w:p>
      <w:pPr>
        <w:pStyle w:val="Heading3"/>
      </w:pPr>
      <w:bookmarkStart w:id="89" w:name="discussion-1"/>
      <w:bookmarkEnd w:id="89"/>
      <w:r>
        <w:t xml:space="preserve">DISCUSSION</w:t>
      </w:r>
    </w:p>
    <w:p>
      <w:pPr>
        <w:pStyle w:val="FirstParagraph"/>
      </w:pPr>
      <w:r>
        <w:t xml:space="preserve">[Court's discussion of plaintiff's copyright claims omitted.]</w:t>
      </w:r>
    </w:p>
    <w:p>
      <w:pPr>
        <w:pStyle w:val="Heading4"/>
      </w:pPr>
      <w:bookmarkStart w:id="90" w:name="c.-lanham-act-claim"/>
      <w:bookmarkEnd w:id="90"/>
      <w:r>
        <w:t xml:space="preserve">C.</w:t>
      </w:r>
      <w:r>
        <w:t xml:space="preserve"> </w:t>
      </w:r>
      <w:r>
        <w:rPr>
          <w:i/>
        </w:rPr>
        <w:t xml:space="preserve">Lanham Act Claim</w:t>
      </w:r>
    </w:p>
    <w:p>
      <w:pPr>
        <w:pStyle w:val="FirstParagraph"/>
      </w:pPr>
      <w:r>
        <w:t xml:space="preserve">RNC contends that the Court should dismiss Plaintiffs Lanham Act claim</w:t>
      </w:r>
      <w:r>
        <w:t xml:space="preserve"> </w:t>
      </w:r>
      <w:r>
        <w:t xml:space="preserve">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w:t>
      </w:r>
      <w:r>
        <w:t xml:space="preserve"> </w:t>
      </w:r>
      <w:r>
        <w:t xml:space="preserve">For the following reasons, the Court disagrees.</w:t>
      </w:r>
    </w:p>
    <w:p>
      <w:pPr>
        <w:pStyle w:val="Heading4"/>
      </w:pPr>
      <w:bookmarkStart w:id="91" w:name="application-of-the-lanham-act-to-political-speech"/>
      <w:bookmarkEnd w:id="91"/>
      <w:r>
        <w:rPr>
          <w:i/>
        </w:rPr>
        <w:t xml:space="preserve">1. Application of the Lanham Act to Political Speech</w:t>
      </w:r>
    </w:p>
    <w:p>
      <w:pPr>
        <w:pStyle w:val="FirstParagraph"/>
      </w:pPr>
      <w:r>
        <w:t xml:space="preserve">RNC contends that Plaintiff cannot state a claim for false association</w:t>
      </w:r>
      <w:r>
        <w:t xml:space="preserve"> </w:t>
      </w:r>
      <w:r>
        <w:t xml:space="preserve">or endorsement under 15 U.S.C. § 1125(a)(1)(A) of the Lanham Act</w:t>
      </w:r>
      <w:r>
        <w:t xml:space="preserve"> </w:t>
      </w:r>
      <w:r>
        <w:t xml:space="preserve">("Section 43(a)(1)(A)") because the Lanham Act applies only to</w:t>
      </w:r>
      <w:r>
        <w:t xml:space="preserve"> </w:t>
      </w:r>
      <w:r>
        <w:t xml:space="preserve">commercial speech and does</w:t>
      </w:r>
      <w:r>
        <w:t xml:space="preserve"> </w:t>
      </w:r>
      <w:r>
        <w:rPr>
          <w:i/>
        </w:rPr>
        <w:t xml:space="preserve">not</w:t>
      </w:r>
      <w:r>
        <w:t xml:space="preserve"> </w:t>
      </w:r>
      <w:r>
        <w:t xml:space="preserve">apply to political speech. For the</w:t>
      </w:r>
      <w:r>
        <w:t xml:space="preserve"> </w:t>
      </w:r>
      <w:r>
        <w:t xml:space="preserve">following reasons, the Court disagrees.&amp;hellip;</w:t>
      </w:r>
    </w:p>
    <w:p>
      <w:pPr>
        <w:pStyle w:val="BodyText"/>
      </w:pPr>
      <w:r>
        <w:t xml:space="preserve">First, contrary to RNC's assertions, courts have recognized that the</w:t>
      </w:r>
      <w:r>
        <w:t xml:space="preserve"> </w:t>
      </w:r>
      <w:r>
        <w:t xml:space="preserve">Lanham Act applies to noncommercial (i.e., political)</w:t>
      </w:r>
      <w:r>
        <w:t xml:space="preserve"> </w:t>
      </w:r>
      <w:r>
        <w:rPr>
          <w:i/>
        </w:rPr>
        <w:t xml:space="preserve">and</w:t>
      </w:r>
      <w:r>
        <w:t xml:space="preserve"> </w:t>
      </w:r>
      <w:r>
        <w:t xml:space="preserve">commercial</w:t>
      </w:r>
      <w:r>
        <w:t xml:space="preserve"> </w:t>
      </w:r>
      <w:r>
        <w:t xml:space="preserve">speech.</w:t>
      </w:r>
      <w:r>
        <w:t xml:space="preserve"> </w:t>
      </w:r>
      <w:r>
        <w:rPr>
          <w:i/>
        </w:rPr>
        <w:t xml:space="preserve">See, e.g.,</w:t>
      </w:r>
      <w:r>
        <w:t xml:space="preserve"> </w:t>
      </w:r>
      <w:hyperlink r:id="rId92">
        <w:r>
          <w:rPr>
            <w:i/>
            <w:rStyle w:val="Hyperlink"/>
          </w:rPr>
          <w:t xml:space="preserve">United We Stand America, Inc. v. United We Stand,</w:t>
        </w:r>
        <w:r>
          <w:rPr>
            <w:i/>
            <w:rStyle w:val="Hyperlink"/>
          </w:rPr>
          <w:t xml:space="preserve"> </w:t>
        </w:r>
        <w:r>
          <w:rPr>
            <w:i/>
            <w:rStyle w:val="Hyperlink"/>
          </w:rPr>
          <w:t xml:space="preserve">America New York, Inc.,</w:t>
        </w:r>
        <w:r>
          <w:rPr>
            <w:rStyle w:val="Hyperlink"/>
          </w:rPr>
          <w:t xml:space="preserve"> </w:t>
        </w:r>
        <w:r>
          <w:rPr>
            <w:rStyle w:val="Hyperlink"/>
          </w:rPr>
          <w:t xml:space="preserve">(2d Cir. 1997)</w:t>
        </w:r>
      </w:hyperlink>
      <w:r>
        <w:t xml:space="preserve">;</w:t>
      </w:r>
      <w:r>
        <w:t xml:space="preserve"> </w:t>
      </w:r>
      <w:hyperlink r:id="rId93">
        <w:r>
          <w:rPr>
            <w:i/>
            <w:rStyle w:val="Hyperlink"/>
          </w:rPr>
          <w:t xml:space="preserve">MGM-Pathe Commns. Co. v. Pink Panther Patrol,</w:t>
        </w:r>
        <w:r>
          <w:rPr>
            <w:rStyle w:val="Hyperlink"/>
          </w:rPr>
          <w:t xml:space="preserve"> </w:t>
        </w:r>
        <w:r>
          <w:rPr>
            <w:rStyle w:val="Hyperlink"/>
          </w:rPr>
          <w:t xml:space="preserve">(S.D.N.Y.</w:t>
        </w:r>
        <w:r>
          <w:rPr>
            <w:rStyle w:val="Hyperlink"/>
          </w:rPr>
          <w:t xml:space="preserve"> </w:t>
        </w:r>
        <w:r>
          <w:rPr>
            <w:rStyle w:val="Hyperlink"/>
          </w:rPr>
          <w:t xml:space="preserve">1991)</w:t>
        </w:r>
      </w:hyperlink>
      <w:r>
        <w:t xml:space="preserve">.</w:t>
      </w:r>
      <w:r>
        <w:t xml:space="preserve"> </w:t>
      </w:r>
      <w:r>
        <w:t xml:space="preserve">Indeed, the Act's purpose of reducing consumer confusion supports</w:t>
      </w:r>
      <w:r>
        <w:t xml:space="preserve"> </w:t>
      </w:r>
      <w:r>
        <w:t xml:space="preserve">application of the Act to political speech, where the consequences of</w:t>
      </w:r>
      <w:r>
        <w:t xml:space="preserve"> </w:t>
      </w:r>
      <w:r>
        <w:t xml:space="preserve">widespread confusion as to the source of such speech could be dire.</w:t>
      </w:r>
      <w:r>
        <w:t xml:space="preserve"> </w:t>
      </w:r>
      <w:r>
        <w:rPr>
          <w:i/>
        </w:rPr>
        <w:t xml:space="preserve">See</w:t>
      </w:r>
      <w:r>
        <w:t xml:space="preserve"> </w:t>
      </w:r>
      <w:hyperlink r:id="rId92">
        <w:r>
          <w:rPr>
            <w:i/>
            <w:rStyle w:val="Hyperlink"/>
          </w:rPr>
          <w:t xml:space="preserve">United We Stand America, Inc.</w:t>
        </w:r>
      </w:hyperlink>
      <w:r>
        <w:t xml:space="preserve"> </w:t>
      </w:r>
      <w:r>
        <w:t xml:space="preserve">Thus, to the extent RNC's Motion is based on its theory that the Lanham</w:t>
      </w:r>
      <w:r>
        <w:t xml:space="preserve"> </w:t>
      </w:r>
      <w:r>
        <w:t xml:space="preserve">Act applies only to commercial speech, that theory is rejected.</w:t>
      </w:r>
    </w:p>
    <w:p>
      <w:pPr>
        <w:pStyle w:val="BodyText"/>
      </w:pPr>
      <w:r>
        <w:t xml:space="preserve">Second, to the extent that RNC argues that Plaintiffs Lanham Act claim</w:t>
      </w:r>
      <w:r>
        <w:t xml:space="preserve"> </w:t>
      </w:r>
      <w:r>
        <w:t xml:space="preserve">must yield to important First Amendment concerns over protecting</w:t>
      </w:r>
      <w:r>
        <w:t xml:space="preserve"> </w:t>
      </w:r>
      <w:r>
        <w:t xml:space="preserve">political speech, such concerns are addressed in the Court's discussion</w:t>
      </w:r>
      <w:r>
        <w:t xml:space="preserve"> </w:t>
      </w:r>
      <w:r>
        <w:t xml:space="preserve">of the First Amendment and artistic relevance test in Section IV.2.</w:t>
      </w:r>
      <w:r>
        <w:t xml:space="preserve"> </w:t>
      </w:r>
      <w:r>
        <w:t xml:space="preserve">below.</w:t>
      </w:r>
    </w:p>
    <w:p>
      <w:pPr>
        <w:pStyle w:val="BodyText"/>
      </w:pPr>
      <w:r>
        <w:t xml:space="preserve">Third, the mere fact that a defendant is engaged in political speech,</w:t>
      </w:r>
      <w:r>
        <w:t xml:space="preserve"> </w:t>
      </w:r>
      <w:r>
        <w:t xml:space="preserve">alone, does not bar a plaintiffs Lanham Act claim.</w:t>
      </w:r>
      <w:r>
        <w:t xml:space="preserve"> </w:t>
      </w:r>
      <w:r>
        <w:rPr>
          <w:i/>
        </w:rPr>
        <w:t xml:space="preserve">See</w:t>
      </w:r>
      <w:r>
        <w:t xml:space="preserve"> </w:t>
      </w:r>
      <w:hyperlink r:id="rId93">
        <w:r>
          <w:rPr>
            <w:i/>
            <w:rStyle w:val="Hyperlink"/>
          </w:rPr>
          <w:t xml:space="preserve">MGM-Pathe</w:t>
        </w:r>
        <w:r>
          <w:rPr>
            <w:i/>
            <w:rStyle w:val="Hyperlink"/>
          </w:rPr>
          <w:t xml:space="preserve"> </w:t>
        </w:r>
        <w:r>
          <w:rPr>
            <w:i/>
            <w:rStyle w:val="Hyperlink"/>
          </w:rPr>
          <w:t xml:space="preserve">Commns. Co</w:t>
        </w:r>
      </w:hyperlink>
      <w:r>
        <w:t xml:space="preserve">.</w:t>
      </w:r>
      <w:r>
        <w:t xml:space="preserve"> </w:t>
      </w:r>
      <w:r>
        <w:t xml:space="preserve">Thus, to the extent RNC's Motion is based on its theory that the mere</w:t>
      </w:r>
      <w:r>
        <w:t xml:space="preserve"> </w:t>
      </w:r>
      <w:r>
        <w:t xml:space="preserve">fact that Browne's Lanham Act claim is based on political speech bars</w:t>
      </w:r>
      <w:r>
        <w:t xml:space="preserve"> </w:t>
      </w:r>
      <w:r>
        <w:t xml:space="preserve">his claim as a matter of law, that theory is rejected.</w:t>
      </w:r>
    </w:p>
    <w:p>
      <w:pPr>
        <w:pStyle w:val="BodyText"/>
      </w:pPr>
      <w:r>
        <w:t xml:space="preserve">Fourth, contrary to the implications of RNC's arguments, the Lanham</w:t>
      </w:r>
      <w:r>
        <w:t xml:space="preserve"> </w:t>
      </w:r>
      <w:r>
        <w:t xml:space="preserve">Act's reference to use "in commerce" does not require a plaintiff who</w:t>
      </w:r>
      <w:r>
        <w:t xml:space="preserve"> </w:t>
      </w:r>
      <w:r>
        <w:t xml:space="preserve">asserts a claim under Section 43(a)(1)(A) to show that the defendant</w:t>
      </w:r>
      <w:r>
        <w:t xml:space="preserve"> </w:t>
      </w:r>
      <w:r>
        <w:t xml:space="preserve">actually used the mark in commerce.</w:t>
      </w:r>
      <w:r>
        <w:t xml:space="preserve"> </w:t>
      </w:r>
      <w:hyperlink r:id="rId92">
        <w:r>
          <w:rPr>
            <w:i/>
            <w:rStyle w:val="Hyperlink"/>
          </w:rPr>
          <w:t xml:space="preserve">United We Stand America, Inc</w:t>
        </w:r>
      </w:hyperlink>
      <w:r>
        <w:t xml:space="preserve">.</w:t>
      </w:r>
      <w:r>
        <w:t xml:space="preserve"> </w:t>
      </w:r>
      <w:r>
        <w:t xml:space="preserve">Rather, the Act's reference to use "in commerce" actually</w:t>
      </w:r>
      <w:r>
        <w:t xml:space="preserve"> </w:t>
      </w:r>
      <w:r>
        <w:t xml:space="preserve">"reflects Congress's intent to legislate to the limits of its authority</w:t>
      </w:r>
      <w:r>
        <w:t xml:space="preserve"> </w:t>
      </w:r>
      <w:r>
        <w:t xml:space="preserve">under the Commerce Clause" to regulate interstate commerce.</w:t>
      </w:r>
      <w:r>
        <w:t xml:space="preserve"> </w:t>
      </w:r>
      <w:r>
        <w:rPr>
          <w:i/>
        </w:rPr>
        <w:t xml:space="preserve">Id.</w:t>
      </w:r>
      <w:r>
        <w:t xml:space="preserve"> </w:t>
      </w:r>
      <w:r>
        <w:t xml:space="preserve">The</w:t>
      </w:r>
      <w:r>
        <w:t xml:space="preserve"> </w:t>
      </w:r>
      <w:r>
        <w:t xml:space="preserve">interstate commerce jurisdictional predicate for the Lanham Act merely</w:t>
      </w:r>
      <w:r>
        <w:t xml:space="preserve"> </w:t>
      </w:r>
      <w:r>
        <w:t xml:space="preserve">requires a party to show that the defendant's conduct affects interstate</w:t>
      </w:r>
      <w:r>
        <w:t xml:space="preserve"> </w:t>
      </w:r>
      <w:r>
        <w:t xml:space="preserve">commerce, such as through diminishing the plaintiffs ability to control</w:t>
      </w:r>
      <w:r>
        <w:t xml:space="preserve"> </w:t>
      </w:r>
      <w:r>
        <w:t xml:space="preserve">use of the mark, thereby affecting the mark and its relationship to</w:t>
      </w:r>
      <w:r>
        <w:t xml:space="preserve"> </w:t>
      </w:r>
      <w:r>
        <w:t xml:space="preserve">interstate commerce.</w:t>
      </w:r>
      <w:r>
        <w:t xml:space="preserve"> </w:t>
      </w:r>
      <w:r>
        <w:t xml:space="preserve">As such, the "scope of 'in commerce' as a jurisdictional predicate of</w:t>
      </w:r>
      <w:r>
        <w:t xml:space="preserve"> </w:t>
      </w:r>
      <w:r>
        <w:t xml:space="preserve">the Lanham Act is broad and has a sweeping reach."</w:t>
      </w:r>
      <w:r>
        <w:t xml:space="preserve"> </w:t>
      </w:r>
      <w:hyperlink r:id="rId94">
        <w:r>
          <w:rPr>
            <w:i/>
            <w:rStyle w:val="Hyperlink"/>
          </w:rPr>
          <w:t xml:space="preserve">Planned Parenthood</w:t>
        </w:r>
        <w:r>
          <w:rPr>
            <w:i/>
            <w:rStyle w:val="Hyperlink"/>
          </w:rPr>
          <w:t xml:space="preserve"> </w:t>
        </w:r>
        <w:r>
          <w:rPr>
            <w:i/>
            <w:rStyle w:val="Hyperlink"/>
          </w:rPr>
          <w:t xml:space="preserve">Federation of America, Inc. v. Bucci,</w:t>
        </w:r>
        <w:r>
          <w:rPr>
            <w:rStyle w:val="Hyperlink"/>
          </w:rPr>
          <w:t xml:space="preserve"> </w:t>
        </w:r>
        <w:r>
          <w:rPr>
            <w:rStyle w:val="Hyperlink"/>
          </w:rPr>
          <w:t xml:space="preserve">(S.D.N.Y)</w:t>
        </w:r>
      </w:hyperlink>
      <w:r>
        <w:t xml:space="preserve">)</w:t>
      </w:r>
      <w:r>
        <w:t xml:space="preserve"> </w:t>
      </w:r>
      <w:r>
        <w:t xml:space="preserve">(citing</w:t>
      </w:r>
      <w:r>
        <w:t xml:space="preserve"> </w:t>
      </w:r>
      <w:hyperlink r:id="rId95">
        <w:r>
          <w:rPr>
            <w:i/>
            <w:rStyle w:val="Hyperlink"/>
          </w:rPr>
          <w:t xml:space="preserve">Steele v. Bulova Watch Co</w:t>
        </w:r>
        <w:r>
          <w:rPr>
            <w:rStyle w:val="Hyperlink"/>
          </w:rPr>
          <w:t xml:space="preserve">(S.Ct. 1952)</w:t>
        </w:r>
      </w:hyperlink>
      <w:r>
        <w:t xml:space="preserve">).</w:t>
      </w:r>
    </w:p>
    <w:p>
      <w:pPr>
        <w:pStyle w:val="BodyText"/>
      </w:pPr>
      <w:r>
        <w:t xml:space="preserve">Thus, to the extent. RNC's Motion is based on its theory that Browne</w:t>
      </w:r>
      <w:r>
        <w:t xml:space="preserve"> </w:t>
      </w:r>
      <w:r>
        <w:t xml:space="preserve">cannot state a claim under the Lanham Act because he has not shown</w:t>
      </w:r>
      <w:r>
        <w:t xml:space="preserve"> </w:t>
      </w:r>
      <w:r>
        <w:t xml:space="preserve">actual use in commerce, that theory is rejected. Moreover, since RNC has</w:t>
      </w:r>
      <w:r>
        <w:t xml:space="preserve"> </w:t>
      </w:r>
      <w:r>
        <w:t xml:space="preserve">not actually argued that Plaintiffs claim fails to satisfy the</w:t>
      </w:r>
      <w:r>
        <w:t xml:space="preserve"> </w:t>
      </w:r>
      <w:r>
        <w:t xml:space="preserve">interstate commerce requirement, the Court will not address that issue</w:t>
      </w:r>
      <w:r>
        <w:t xml:space="preserve"> </w:t>
      </w:r>
      <w:r>
        <w:t xml:space="preserve">at this time.</w:t>
      </w:r>
    </w:p>
    <w:p>
      <w:pPr>
        <w:pStyle w:val="Heading4"/>
      </w:pPr>
      <w:bookmarkStart w:id="96" w:name="the-first-amendment-and-artistic-relevance-test"/>
      <w:bookmarkEnd w:id="96"/>
      <w:r>
        <w:rPr>
          <w:i/>
        </w:rPr>
        <w:t xml:space="preserve">2. The First Amendment and Artistic Relevance Test</w:t>
      </w:r>
    </w:p>
    <w:p>
      <w:pPr>
        <w:pStyle w:val="FirstParagraph"/>
      </w:pPr>
      <w:r>
        <w:t xml:space="preserve">RNC also contends that Plaintiff cannot state a claim under the Lanham</w:t>
      </w:r>
      <w:r>
        <w:t xml:space="preserve"> </w:t>
      </w:r>
      <w:r>
        <w:t xml:space="preserve">Act because the Commercial is an expressive work and thus the claim is</w:t>
      </w:r>
      <w:r>
        <w:t xml:space="preserve"> </w:t>
      </w:r>
      <w:r>
        <w:t xml:space="preserve">barred under the First Amendment and artistic relevance test. For the</w:t>
      </w:r>
      <w:r>
        <w:t xml:space="preserve"> </w:t>
      </w:r>
      <w:r>
        <w:t xml:space="preserve">following reasons, the Court disagrees.</w:t>
      </w:r>
    </w:p>
    <w:p>
      <w:pPr>
        <w:pStyle w:val="BodyText"/>
      </w:pPr>
      <w:r>
        <w:t xml:space="preserve">In the Ninth Circuit, a Lanham Act claim based on use of a mark in an</w:t>
      </w:r>
      <w:r>
        <w:t xml:space="preserve"> </w:t>
      </w:r>
      <w:r>
        <w:t xml:space="preserve">artistic work is analyzed under the Second Circuit's</w:t>
      </w:r>
      <w:r>
        <w:t xml:space="preserve"> </w:t>
      </w:r>
      <w:r>
        <w:rPr>
          <w:i/>
        </w:rPr>
        <w:t xml:space="preserve">Rogers</w:t>
      </w:r>
      <w:r>
        <w:t xml:space="preserve"> </w:t>
      </w:r>
      <w:r>
        <w:t xml:space="preserve">artistic</w:t>
      </w:r>
      <w:r>
        <w:t xml:space="preserve"> </w:t>
      </w:r>
      <w:r>
        <w:t xml:space="preserve">relevance test, which was developed to address the competing interests</w:t>
      </w:r>
      <w:r>
        <w:t xml:space="preserve"> </w:t>
      </w:r>
      <w:r>
        <w:t xml:space="preserve">of the First Amendment's protection of artistic works and trademark</w:t>
      </w:r>
      <w:r>
        <w:t xml:space="preserve"> </w:t>
      </w:r>
      <w:r>
        <w:t xml:space="preserve">protection.</w:t>
      </w:r>
      <w:r>
        <w:t xml:space="preserve"> </w:t>
      </w:r>
      <w:r>
        <w:rPr>
          <w:i/>
        </w:rPr>
        <w:t xml:space="preserve">See</w:t>
      </w:r>
      <w:r>
        <w:t xml:space="preserve"> </w:t>
      </w:r>
      <w:hyperlink r:id="rId97">
        <w:r>
          <w:rPr>
            <w:i/>
            <w:rStyle w:val="Hyperlink"/>
          </w:rPr>
          <w:t xml:space="preserve">Mattel, Inc. v. MCA Records, Inc.,</w:t>
        </w:r>
        <w:r>
          <w:rPr>
            <w:rStyle w:val="Hyperlink"/>
          </w:rPr>
          <w:t xml:space="preserve"> </w:t>
        </w:r>
        <w:r>
          <w:rPr>
            <w:rStyle w:val="Hyperlink"/>
          </w:rPr>
          <w:t xml:space="preserve">(9th</w:t>
        </w:r>
        <w:r>
          <w:rPr>
            <w:rStyle w:val="Hyperlink"/>
          </w:rPr>
          <w:t xml:space="preserve"> </w:t>
        </w:r>
        <w:r>
          <w:rPr>
            <w:rStyle w:val="Hyperlink"/>
          </w:rPr>
          <w:t xml:space="preserve">Cir. 2002)</w:t>
        </w:r>
      </w:hyperlink>
      <w:r>
        <w:t xml:space="preserve">.</w:t>
      </w:r>
      <w:r>
        <w:t xml:space="preserve"> </w:t>
      </w:r>
      <w:r>
        <w:t xml:space="preserve">Under this test, "[a]n artistic work's use of a trademark that otherwise</w:t>
      </w:r>
      <w:r>
        <w:t xml:space="preserve"> </w:t>
      </w:r>
      <w:r>
        <w:t xml:space="preserve">would violate the Lanham Act is not actionable [1] 'unless the use of</w:t>
      </w:r>
      <w:r>
        <w:t xml:space="preserve"> </w:t>
      </w:r>
      <w:r>
        <w:t xml:space="preserve">the mark has no artistic relevance to the underlying work whatsoever,</w:t>
      </w:r>
      <w:r>
        <w:t xml:space="preserve"> </w:t>
      </w:r>
      <w:r>
        <w:t xml:space="preserve">or, [2] if it has some artistic relevance, unless it explicitly misleads</w:t>
      </w:r>
      <w:r>
        <w:t xml:space="preserve"> </w:t>
      </w:r>
      <w:r>
        <w:t xml:space="preserve">as to the source or content of the work.'"</w:t>
      </w:r>
      <w:r>
        <w:t xml:space="preserve"> </w:t>
      </w:r>
      <w:hyperlink r:id="rId98">
        <w:r>
          <w:rPr>
            <w:i/>
            <w:rStyle w:val="Hyperlink"/>
          </w:rPr>
          <w:t xml:space="preserve">E.S.S. Entm't 2000, Inc. v.</w:t>
        </w:r>
        <w:r>
          <w:rPr>
            <w:i/>
            <w:rStyle w:val="Hyperlink"/>
          </w:rPr>
          <w:t xml:space="preserve"> </w:t>
        </w:r>
        <w:r>
          <w:rPr>
            <w:i/>
            <w:rStyle w:val="Hyperlink"/>
          </w:rPr>
          <w:t xml:space="preserve">Rock Star Videos, Inc.</w:t>
        </w:r>
        <w:r>
          <w:rPr>
            <w:rStyle w:val="Hyperlink"/>
          </w:rPr>
          <w:t xml:space="preserve"> </w:t>
        </w:r>
        <w:r>
          <w:rPr>
            <w:rStyle w:val="Hyperlink"/>
          </w:rPr>
          <w:t xml:space="preserve">(9th</w:t>
        </w:r>
        <w:r>
          <w:rPr>
            <w:rStyle w:val="Hyperlink"/>
          </w:rPr>
          <w:t xml:space="preserve"> </w:t>
        </w:r>
        <w:r>
          <w:rPr>
            <w:rStyle w:val="Hyperlink"/>
          </w:rPr>
          <w:t xml:space="preserve">Cir. 2008)</w:t>
        </w:r>
      </w:hyperlink>
      <w:r>
        <w:t xml:space="preserve"> </w:t>
      </w:r>
      <w:r>
        <w:t xml:space="preserve">(citing</w:t>
      </w:r>
      <w:r>
        <w:t xml:space="preserve"> </w:t>
      </w:r>
      <w:hyperlink r:id="rId97">
        <w:r>
          <w:rPr>
            <w:i/>
            <w:rStyle w:val="Hyperlink"/>
          </w:rPr>
          <w:t xml:space="preserve">MCA Records, Inc.</w:t>
        </w:r>
      </w:hyperlink>
      <w:r>
        <w:t xml:space="preserve">).</w:t>
      </w:r>
    </w:p>
    <w:p>
      <w:pPr>
        <w:pStyle w:val="BodyText"/>
      </w:pPr>
      <w:r>
        <w:t xml:space="preserve">Here, the Court finds that RNC has not established that the First</w:t>
      </w:r>
      <w:r>
        <w:t xml:space="preserve"> </w:t>
      </w:r>
      <w:r>
        <w:t xml:space="preserve">Amendment and artistic relevance test bar Plaintiffs Lanham Act claim at</w:t>
      </w:r>
      <w:r>
        <w:t xml:space="preserve"> </w:t>
      </w:r>
      <w:r>
        <w:t xml:space="preserve">this time. First, RNC has not established that the Commercial is an</w:t>
      </w:r>
      <w:r>
        <w:t xml:space="preserve"> </w:t>
      </w:r>
      <w:r>
        <w:t xml:space="preserve">artistic work, requiring application of the artistic relevance test.</w:t>
      </w:r>
      <w:r>
        <w:t xml:space="preserve"> </w:t>
      </w:r>
      <w:r>
        <w:t xml:space="preserve">Second, RNC has not shown that the First Amendment and artistic</w:t>
      </w:r>
      <w:r>
        <w:t xml:space="preserve"> </w:t>
      </w:r>
      <w:r>
        <w:t xml:space="preserve">relevance test bar Browne's claim merely because the Commercial is</w:t>
      </w:r>
      <w:r>
        <w:t xml:space="preserve"> </w:t>
      </w:r>
      <w:r>
        <w:t xml:space="preserve">noncommercial, political speech. In fact, courts that have applied the</w:t>
      </w:r>
      <w:r>
        <w:t xml:space="preserve"> </w:t>
      </w:r>
      <w:r>
        <w:t xml:space="preserve">Lanham Act to noncommercial and political speech have implicitly</w:t>
      </w:r>
      <w:r>
        <w:t xml:space="preserve"> </w:t>
      </w:r>
      <w:r>
        <w:t xml:space="preserve">rejected the theory that claims based on such speech are barred, as a</w:t>
      </w:r>
      <w:r>
        <w:t xml:space="preserve"> </w:t>
      </w:r>
      <w:r>
        <w:t xml:space="preserve">matter of law, based on the First Amendment and artistic relevance test.</w:t>
      </w:r>
      <w:r>
        <w:t xml:space="preserve"> </w:t>
      </w:r>
      <w:r>
        <w:rPr>
          <w:i/>
        </w:rPr>
        <w:t xml:space="preserve">See, e.g.,</w:t>
      </w:r>
      <w:r>
        <w:t xml:space="preserve"> </w:t>
      </w:r>
      <w:hyperlink r:id="rId93">
        <w:r>
          <w:rPr>
            <w:i/>
            <w:rStyle w:val="Hyperlink"/>
          </w:rPr>
          <w:t xml:space="preserve">MGM-Pathe Commns. Co.</w:t>
        </w:r>
      </w:hyperlink>
      <w:r>
        <w:t xml:space="preserve">;</w:t>
      </w:r>
      <w:r>
        <w:t xml:space="preserve"> </w:t>
      </w:r>
      <w:r>
        <w:rPr>
          <w:i/>
        </w:rPr>
        <w:t xml:space="preserve">see generally</w:t>
      </w:r>
      <w:r>
        <w:t xml:space="preserve"> </w:t>
      </w:r>
      <w:hyperlink r:id="rId92">
        <w:r>
          <w:rPr>
            <w:i/>
            <w:rStyle w:val="Hyperlink"/>
          </w:rPr>
          <w:t xml:space="preserve">United We Stand America, Inc</w:t>
        </w:r>
      </w:hyperlink>
      <w:r>
        <w:t xml:space="preserve">.</w:t>
      </w:r>
      <w:r>
        <w:t xml:space="preserve"> </w:t>
      </w:r>
      <w:r>
        <w:t xml:space="preserve">Finally, it appears that, in light of the Court's limited inquiry on a</w:t>
      </w:r>
      <w:r>
        <w:t xml:space="preserve"> </w:t>
      </w:r>
      <w:r>
        <w:t xml:space="preserve">12(b)(6) motion, the Court would have difficulty applying the artistic</w:t>
      </w:r>
      <w:r>
        <w:t xml:space="preserve"> </w:t>
      </w:r>
      <w:r>
        <w:t xml:space="preserve">relevance test at this time.</w:t>
      </w:r>
    </w:p>
    <w:p>
      <w:pPr>
        <w:pStyle w:val="BodyText"/>
      </w:pPr>
      <w:r>
        <w:t xml:space="preserve">Thus, the Court finds that RNC has not established that Plaintiff's</w:t>
      </w:r>
      <w:r>
        <w:t xml:space="preserve"> </w:t>
      </w:r>
      <w:r>
        <w:t xml:space="preserve">Lanham Act claim is barred by the First Amendment and artistic relevance</w:t>
      </w:r>
      <w:r>
        <w:t xml:space="preserve"> </w:t>
      </w:r>
      <w:r>
        <w:t xml:space="preserve">test at this time and rejects RNC's contention that the</w:t>
      </w:r>
      <w:r>
        <w:t xml:space="preserve"> </w:t>
      </w:r>
      <w:r>
        <w:t xml:space="preserve">Court should dismiss this claim on that basis.</w:t>
      </w:r>
    </w:p>
    <w:p>
      <w:pPr>
        <w:pStyle w:val="Heading4"/>
      </w:pPr>
      <w:bookmarkStart w:id="99" w:name="likelihood-of-confusion-1"/>
      <w:bookmarkEnd w:id="99"/>
      <w:r>
        <w:rPr>
          <w:i/>
        </w:rPr>
        <w:t xml:space="preserve">3. Likelihood of Confusion</w:t>
      </w:r>
    </w:p>
    <w:p>
      <w:pPr>
        <w:pStyle w:val="FirstParagraph"/>
      </w:pPr>
      <w:r>
        <w:t xml:space="preserve">RNC also contends that Plaintiff cannot state a claim under the Lanham</w:t>
      </w:r>
      <w:r>
        <w:t xml:space="preserve"> </w:t>
      </w:r>
      <w:r>
        <w:t xml:space="preserve">Act because the Commercial clearly identifies its source as ORP, so</w:t>
      </w:r>
      <w:r>
        <w:t xml:space="preserve"> </w:t>
      </w:r>
      <w:r>
        <w:t xml:space="preserve">there is no likelihood of confusion as to its origin. For the following</w:t>
      </w:r>
      <w:r>
        <w:t xml:space="preserve"> </w:t>
      </w:r>
      <w:r>
        <w:t xml:space="preserve">reasons, the Court disagrees.</w:t>
      </w:r>
    </w:p>
    <w:p>
      <w:pPr>
        <w:pStyle w:val="BodyText"/>
      </w:pPr>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w:t>
      </w:r>
      <w:r>
        <w:t xml:space="preserve"> </w:t>
      </w:r>
      <w:r>
        <w:t xml:space="preserve">strength of the mark, (2) proximity or relatedness of the goods, (3)</w:t>
      </w:r>
      <w:r>
        <w:t xml:space="preserve"> </w:t>
      </w:r>
      <w:r>
        <w:t xml:space="preserve">similarity of the marks, (4) evidence of actual confusion, (5) marketing</w:t>
      </w:r>
      <w:r>
        <w:t xml:space="preserve"> </w:t>
      </w:r>
      <w:r>
        <w:t xml:space="preserve">channels used, (6) degree of care customers are likely to exercise in</w:t>
      </w:r>
      <w:r>
        <w:t xml:space="preserve"> </w:t>
      </w:r>
      <w:r>
        <w:t xml:space="preserve">purchasing the goods, (7) defendant's intent in selecting the mark, and</w:t>
      </w:r>
      <w:r>
        <w:t xml:space="preserve"> </w:t>
      </w:r>
      <w:r>
        <w:t xml:space="preserve">(8) likelihood of expansion into other markets.</w:t>
      </w:r>
      <w:r>
        <w:t xml:space="preserve"> </w:t>
      </w:r>
      <w:hyperlink r:id="rId100">
        <w:r>
          <w:rPr>
            <w:i/>
            <w:rStyle w:val="Hyperlink"/>
          </w:rPr>
          <w:t xml:space="preserve">KP Permanent Make-Up,</w:t>
        </w:r>
        <w:r>
          <w:rPr>
            <w:i/>
            <w:rStyle w:val="Hyperlink"/>
          </w:rPr>
          <w:t xml:space="preserve"> </w:t>
        </w:r>
        <w:r>
          <w:rPr>
            <w:i/>
            <w:rStyle w:val="Hyperlink"/>
          </w:rPr>
          <w:t xml:space="preserve">Inc. v. Lasting Impression I, Inc.</w:t>
        </w:r>
        <w:r>
          <w:rPr>
            <w:rStyle w:val="Hyperlink"/>
          </w:rPr>
          <w:t xml:space="preserve">(9th</w:t>
        </w:r>
        <w:r>
          <w:rPr>
            <w:rStyle w:val="Hyperlink"/>
          </w:rPr>
          <w:t xml:space="preserve"> </w:t>
        </w:r>
        <w:r>
          <w:rPr>
            <w:rStyle w:val="Hyperlink"/>
          </w:rPr>
          <w:t xml:space="preserve">Cir. 2005)</w:t>
        </w:r>
      </w:hyperlink>
      <w:r>
        <w:t xml:space="preserve">.</w:t>
      </w:r>
    </w:p>
    <w:p>
      <w:pPr>
        <w:pStyle w:val="BodyText"/>
      </w:pPr>
      <w:r>
        <w:t xml:space="preserve">Here, the Court finds that RNC has not established, at this time, that</w:t>
      </w:r>
      <w:r>
        <w:t xml:space="preserve"> </w:t>
      </w:r>
      <w:r>
        <w:t xml:space="preserve">Plaintiff cannot show likelihood of confusion. RNC's contention that the</w:t>
      </w:r>
      <w:r>
        <w:t xml:space="preserve"> </w:t>
      </w:r>
      <w:r>
        <w:t xml:space="preserve">Commercial clearly identifies its source as ORP, alone, does not show</w:t>
      </w:r>
      <w:r>
        <w:t xml:space="preserve"> </w:t>
      </w:r>
      <w:r>
        <w:t xml:space="preserve">that a consumer could not possibly be confused as to whether Browne</w:t>
      </w:r>
      <w:r>
        <w:t xml:space="preserve"> </w:t>
      </w:r>
      <w:r>
        <w:t xml:space="preserve">endorsed Senator McCain, RNC, or ORP. Moreover, RNC has failed to</w:t>
      </w:r>
      <w:r>
        <w:t xml:space="preserve"> </w:t>
      </w:r>
      <w:r>
        <w:t xml:space="preserve">address all of the</w:t>
      </w:r>
      <w:r>
        <w:t xml:space="preserve"> </w:t>
      </w:r>
      <w:r>
        <w:rPr>
          <w:i/>
        </w:rPr>
        <w:t xml:space="preserve">Sleekcraft</w:t>
      </w:r>
      <w:r>
        <w:t xml:space="preserve"> </w:t>
      </w:r>
      <w:r>
        <w:t xml:space="preserve">factors and whether they weigh against</w:t>
      </w:r>
      <w:r>
        <w:t xml:space="preserve"> </w:t>
      </w:r>
      <w:r>
        <w:t xml:space="preserve">likelihood of confusion. Without the parties' arguments as to these</w:t>
      </w:r>
      <w:r>
        <w:t xml:space="preserve"> </w:t>
      </w:r>
      <w:r>
        <w:t xml:space="preserve">factors, the Court is unable to thoroughly analyze likelihood of</w:t>
      </w:r>
      <w:r>
        <w:t xml:space="preserve"> </w:t>
      </w:r>
      <w:r>
        <w:t xml:space="preserve">confusion at this time.</w:t>
      </w:r>
    </w:p>
    <w:p>
      <w:pPr>
        <w:pStyle w:val="BodyText"/>
      </w:pPr>
      <w:r>
        <w:t xml:space="preserve">Thus, the Court finds that RNC has not established that Plaintiff cannot</w:t>
      </w:r>
      <w:r>
        <w:t xml:space="preserve"> </w:t>
      </w:r>
      <w:r>
        <w:t xml:space="preserve">show likelihood of confusion at this time and rejects RNC's contention</w:t>
      </w:r>
      <w:r>
        <w:t xml:space="preserve"> </w:t>
      </w:r>
      <w:r>
        <w:t xml:space="preserve">that the Court should dismiss this claim on that basis.</w:t>
      </w:r>
    </w:p>
    <w:p>
      <w:pPr>
        <w:pStyle w:val="BodyText"/>
      </w:pPr>
      <w:r>
        <w:t xml:space="preserve">The Court accordingly DENIES RNC's Motion to Dismiss Plaintiffs Lanham</w:t>
      </w:r>
      <w:r>
        <w:t xml:space="preserve"> </w:t>
      </w:r>
      <w:r>
        <w:t xml:space="preserve">Act claim.</w:t>
      </w:r>
    </w:p>
    <w:p>
      <w:pPr>
        <w:pStyle w:val="Heading3"/>
      </w:pPr>
      <w:bookmarkStart w:id="101" w:name="v.-conclusion"/>
      <w:bookmarkEnd w:id="101"/>
      <w:r>
        <w:t xml:space="preserve">V.</w:t>
      </w:r>
      <w:r>
        <w:t xml:space="preserve"> </w:t>
      </w:r>
      <w:r>
        <w:rPr>
          <w:i/>
        </w:rPr>
        <w:t xml:space="preserve">CONCLUSION</w:t>
      </w:r>
    </w:p>
    <w:p>
      <w:pPr>
        <w:pStyle w:val="FirstParagraph"/>
      </w:pPr>
      <w:r>
        <w:t xml:space="preserve">In light of the foregoing, the Court DENIES RNC's Motion to Dismiss</w:t>
      </w:r>
      <w:r>
        <w:t xml:space="preserve"> </w:t>
      </w:r>
      <w:r>
        <w:t xml:space="preserve">Plaintiff's claims for Copyright Infringement, Vicarious Copyright</w:t>
      </w:r>
      <w:r>
        <w:t xml:space="preserve"> </w:t>
      </w:r>
      <w:r>
        <w:t xml:space="preserve">Infringement, and Violation of the Lanham Act. The Court addresses RNC's</w:t>
      </w:r>
      <w:r>
        <w:t xml:space="preserve"> </w:t>
      </w:r>
      <w:r>
        <w:t xml:space="preserve">grounds for dismissal of Plaintiffs California Common Law Right of</w:t>
      </w:r>
      <w:r>
        <w:t xml:space="preserve"> </w:t>
      </w:r>
      <w:r>
        <w:t xml:space="preserve">Publicity claim in its Order Re RNC's Special Motion to Strike.</w:t>
      </w:r>
    </w:p>
    <w:p>
      <w:pPr>
        <w:pStyle w:val="BodyText"/>
      </w:pPr>
      <w:r>
        <w:t xml:space="preserve">IT IS SO ORDERED.</w:t>
      </w:r>
    </w:p>
    <w:p>
      <w:pPr>
        <w:pStyle w:val="Heading2"/>
      </w:pPr>
      <w:bookmarkStart w:id="102" w:name="louis-vuitton-v.-warner-brothers-inc."/>
      <w:bookmarkEnd w:id="102"/>
      <w:r>
        <w:rPr>
          <w:i/>
        </w:rPr>
        <w:t xml:space="preserve">Louis Vuitton v. Warner Brothers, Inc.</w:t>
      </w:r>
    </w:p>
    <w:p>
      <w:pPr>
        <w:pStyle w:val="Heading6"/>
      </w:pPr>
      <w:bookmarkStart w:id="103" w:name="united-states-district-court-s.d.-new-york-2012"/>
      <w:bookmarkEnd w:id="103"/>
      <w:r>
        <w:t xml:space="preserve">United States District Court, S.D. New York (2012)</w:t>
      </w:r>
    </w:p>
    <w:p>
      <w:pPr>
        <w:pStyle w:val="Compact"/>
        <w:numPr>
          <w:numId w:val="1006"/>
          <w:ilvl w:val="0"/>
        </w:numPr>
      </w:pPr>
      <w:hyperlink r:id="rId104">
        <w:r>
          <w:rPr>
            <w:rStyle w:val="Hyperlink"/>
          </w:rPr>
          <w:t xml:space="preserve">case on Google Scholar</w:t>
        </w:r>
      </w:hyperlink>
    </w:p>
    <w:p>
      <w:pPr>
        <w:pStyle w:val="Compact"/>
        <w:numPr>
          <w:numId w:val="1006"/>
          <w:ilvl w:val="0"/>
        </w:numPr>
      </w:pPr>
      <w:hyperlink r:id="rId105">
        <w:r>
          <w:rPr>
            <w:rStyle w:val="Hyperlink"/>
          </w:rPr>
          <w:t xml:space="preserve">case on Wikipedia</w:t>
        </w:r>
      </w:hyperlink>
    </w:p>
    <w:p>
      <w:pPr>
        <w:pStyle w:val="Compact"/>
        <w:numPr>
          <w:numId w:val="1006"/>
          <w:ilvl w:val="0"/>
        </w:numPr>
      </w:pPr>
      <w:hyperlink r:id="rId106">
        <w:r>
          <w:rPr>
            <w:rStyle w:val="Hyperlink"/>
          </w:rPr>
          <w:t xml:space="preserve">THR Esq: Warner Bros. Beats Louis Vuitton in 'Hangover 2' 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("Louis Vuitton")</w:t>
      </w:r>
      <w:r>
        <w:t xml:space="preserve"> </w:t>
      </w:r>
      <w:r>
        <w:t xml:space="preserve">filed a complaint</w:t>
      </w:r>
      <w:r>
        <w:t xml:space="preserve"> </w:t>
      </w:r>
      <w:r>
        <w:t xml:space="preserve">against Warner Bros. Entertainment Inc. ("Warner Bros."),</w:t>
      </w:r>
      <w:r>
        <w:t xml:space="preserve"> </w:t>
      </w:r>
      <w:r>
        <w:t xml:space="preserve">focusing on Warner Bros.'</w:t>
      </w:r>
      <w:r>
        <w:t xml:space="preserve"> </w:t>
      </w:r>
      <w:r>
        <w:t xml:space="preserve">use of a travel bag in the film "The Hangover: Part II"</w:t>
      </w:r>
      <w:r>
        <w:t xml:space="preserve"> </w:t>
      </w:r>
      <w:r>
        <w:t xml:space="preserve">that allegedly infringes upon Louis Vuitton's trademarks.</w:t>
      </w:r>
      <w:r>
        <w:t xml:space="preserve"> </w:t>
      </w:r>
      <w:r>
        <w:t xml:space="preserve">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p>
      <w:pPr>
        <w:pStyle w:val="Heading3"/>
      </w:pPr>
      <w:bookmarkStart w:id="107" w:name="background-1"/>
      <w:bookmarkEnd w:id="107"/>
      <w:r>
        <w:t xml:space="preserve">BACKGROUND</w:t>
      </w:r>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 "LVM Marks"), are famous, distinctive, and</w:t>
      </w:r>
      <w:r>
        <w:t xml:space="preserve"> </w:t>
      </w:r>
      <w:r>
        <w:t xml:space="preserve">incontestable.&amp;hellip;</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 "The Hangover: Part II" ("the Film"),</w:t>
      </w:r>
      <w:r>
        <w:t xml:space="preserve"> </w:t>
      </w:r>
      <w:r>
        <w:t xml:space="preserve">the sequel to the 2009 hit bachelor-party-gone-awry-comedy "The Hangover."</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 "Knock-Off</w:t>
      </w:r>
      <w:r>
        <w:t xml:space="preserve"> </w:t>
      </w:r>
      <w:r>
        <w:t xml:space="preserve">Monogram Design").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p>
      <w:pPr>
        <w:pStyle w:val="Heading4"/>
      </w:pPr>
      <w:bookmarkStart w:id="108" w:name="a.-the-airport-scene"/>
      <w:bookmarkEnd w:id="108"/>
      <w:r>
        <w:t xml:space="preserve">A. The Airport Scene</w:t>
      </w:r>
    </w:p>
    <w:p>
      <w:pPr>
        <w:pStyle w:val="FirstParagraph"/>
      </w:pPr>
      <w:r>
        <w:t xml:space="preserve">As alleged in the complaint,</w:t>
      </w:r>
      <w:r>
        <w:t xml:space="preserve"> </w:t>
      </w:r>
      <w:r>
        <w:t xml:space="preserve">in one early scene in the Film</w:t>
      </w:r>
      <w:r>
        <w:t xml:space="preserve"> </w:t>
      </w:r>
      <w:r>
        <w:t xml:space="preserve">the "four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p>
    <w:p>
      <w:pPr>
        <w:pStyle w:val="BodyText"/>
      </w:pP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 </w:t>
      </w:r>
      <w:r>
        <w:t xml:space="preserve">Alan, one of the characters, is carrying what appears to be a</w:t>
      </w:r>
      <w:r>
        <w:t xml:space="preserve"> </w:t>
      </w:r>
      <w:r>
        <w:t xml:space="preserve">matching over-the-shoulder Louis Vuitton "Keepall" 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"Careful that is ... that is a Lewis Vuitton."</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Blu-Ray.&amp;hellip;</w:t>
      </w:r>
    </w:p>
    <w:p>
      <w:pPr>
        <w:pStyle w:val="Heading4"/>
      </w:pPr>
      <w:bookmarkStart w:id="109" w:name="b.-the-present-motion"/>
      <w:bookmarkEnd w:id="109"/>
      <w:r>
        <w:t xml:space="preserve">B. The Present Motion</w:t>
      </w:r>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"[b]y using the infringing Diophy [b]ag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 [b]ag is an authentic Louis Vuitton product and that</w:t>
      </w:r>
      <w:r>
        <w:t xml:space="preserve"> </w:t>
      </w:r>
      <w:r>
        <w:t xml:space="preserve">Louis Vuitton has sponsored and approved Warner Bros.' use and</w:t>
      </w:r>
      <w:r>
        <w:t xml:space="preserve"> </w:t>
      </w:r>
      <w:r>
        <w:t xml:space="preserve">misrepresentation of the infringing Diophy [b]ag as a genuine product of</w:t>
      </w:r>
      <w:r>
        <w:t xml:space="preserve"> </w:t>
      </w:r>
      <w:r>
        <w:t xml:space="preserve">Louis Vuitton in</w:t>
      </w:r>
      <w:r>
        <w:t xml:space="preserve"> </w:t>
      </w:r>
      <w:r>
        <w:rPr>
          <w:i/>
        </w:rPr>
        <w:t xml:space="preserve">The Hangover: Part II.</w:t>
      </w:r>
      <w:r>
        <w:t xml:space="preserve">" The complaint</w:t>
      </w:r>
      <w:r>
        <w:t xml:space="preserve"> </w:t>
      </w:r>
      <w:r>
        <w:t xml:space="preserve">further alleges that "Warner Bros.' use and misrepresentation of the</w:t>
      </w:r>
      <w:r>
        <w:t xml:space="preserve"> </w:t>
      </w:r>
      <w:r>
        <w:t xml:space="preserve">Diophy [b]ag bearing the Knock-Off Monogram Design as an authentic Louis</w:t>
      </w:r>
      <w:r>
        <w:t xml:space="preserve"> </w:t>
      </w:r>
      <w:r>
        <w:t xml:space="preserve">Vuitton bag is likely to blur the distinctiveness of the LVM Marks" and</w:t>
      </w:r>
      <w:r>
        <w:t xml:space="preserve"> </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 On the basis of Warner</w:t>
      </w:r>
      <w:r>
        <w:t xml:space="preserve"> </w:t>
      </w:r>
      <w:r>
        <w:t xml:space="preserve">Bros.' use of the allegedly infringing Diophy bag in the Film, Louis</w:t>
      </w:r>
      <w:r>
        <w:t xml:space="preserve"> </w:t>
      </w:r>
      <w:r>
        <w:t xml:space="preserve">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 "are almost indistinguishable." &amp;hellip;</w:t>
      </w:r>
      <w:r>
        <w:t xml:space="preserve"> </w:t>
      </w:r>
      <w:hyperlink r:id="rId110">
        <w:r>
          <w:rPr>
            <w:i/>
            <w:rStyle w:val="Hyperlink"/>
          </w:rPr>
          <w:t xml:space="preserve">Tri-Star Pictures, Inc. v. Unger,</w:t>
        </w:r>
        <w:r>
          <w:rPr>
            <w:rStyle w:val="Hyperlink"/>
          </w:rPr>
          <w:t xml:space="preserve"> </w:t>
        </w:r>
        <w:r>
          <w:rPr>
            <w:rStyle w:val="Hyperlink"/>
          </w:rPr>
          <w:t xml:space="preserve">(S.D.N.Y.1998)</w:t>
        </w:r>
      </w:hyperlink>
      <w:r>
        <w:t xml:space="preserve">;</w:t>
      </w:r>
      <w:r>
        <w:t xml:space="preserve"> </w:t>
      </w:r>
      <w:hyperlink r:id="rId111">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 "mirror" 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12">
        <w:r>
          <w:rPr>
            <w:i/>
            <w:rStyle w:val="Hyperlink"/>
          </w:rPr>
          <w:t xml:space="preserve">Rogers v.</w:t>
        </w:r>
        <w:r>
          <w:rPr>
            <w:i/>
            <w:rStyle w:val="Hyperlink"/>
          </w:rPr>
          <w:t xml:space="preserve"> </w:t>
        </w:r>
        <w:r>
          <w:rPr>
            <w:i/>
            <w:rStyle w:val="Hyperlink"/>
          </w:rPr>
          <w:t xml:space="preserve">Grimaldi,</w:t>
        </w:r>
        <w:r>
          <w:rPr>
            <w:rStyle w:val="Hyperlink"/>
          </w:rPr>
          <w:t xml:space="preserve"> </w:t>
        </w:r>
        <w:r>
          <w:rPr>
            <w:rStyle w:val="Hyperlink"/>
          </w:rPr>
          <w:t xml:space="preserve">(2d Cir.1989)</w:t>
        </w:r>
      </w:hyperlink>
      <w:r>
        <w:t xml:space="preserve">.</w:t>
      </w:r>
    </w:p>
    <w:p>
      <w:pPr>
        <w:pStyle w:val="Heading3"/>
      </w:pPr>
      <w:bookmarkStart w:id="113" w:name="discussion-2"/>
      <w:bookmarkEnd w:id="113"/>
      <w:r>
        <w:t xml:space="preserve">DISCUSSION</w:t>
      </w:r>
    </w:p>
    <w:p>
      <w:pPr>
        <w:pStyle w:val="FirstParagraph"/>
      </w:pPr>
      <w:r>
        <w:t xml:space="preserve">[ &amp;hellip; ]</w:t>
      </w:r>
    </w:p>
    <w:p>
      <w:pPr>
        <w:pStyle w:val="Heading3"/>
      </w:pPr>
      <w:bookmarkStart w:id="114" w:name="b.-lanham-act-claim"/>
      <w:bookmarkEnd w:id="114"/>
      <w:r>
        <w:t xml:space="preserve">B. Lanham Act claim</w:t>
      </w:r>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 "an appreciable</w:t>
      </w:r>
      <w:r>
        <w:t xml:space="preserve"> </w:t>
      </w:r>
      <w:r>
        <w:t xml:space="preserve">number of ordinarily prudent purchasers" "confusion as to the origin,</w:t>
      </w:r>
      <w:r>
        <w:t xml:space="preserve"> </w:t>
      </w:r>
      <w:r>
        <w:t xml:space="preserve">sponsorship, or approval" of the defendant's product.&amp;hellip; Courts look to the eight</w:t>
      </w:r>
      <w:r>
        <w:t xml:space="preserve"> </w:t>
      </w:r>
      <w:r>
        <w:t xml:space="preserve">factor test first articulated in</w:t>
      </w:r>
      <w:r>
        <w:t xml:space="preserve"> </w:t>
      </w:r>
      <w:hyperlink r:id="rId44">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should focus "on the ultimate</w:t>
      </w:r>
      <w:r>
        <w:t xml:space="preserve"> </w:t>
      </w:r>
      <w:r>
        <w:t xml:space="preserve">question of whether consumers are likely to be confused." &amp;hellip;</w:t>
      </w:r>
    </w:p>
    <w:p>
      <w:pPr>
        <w:pStyle w:val="Heading4"/>
      </w:pPr>
      <w:bookmarkStart w:id="115" w:name="first-amendment"/>
      <w:bookmarkEnd w:id="115"/>
      <w:r>
        <w:t xml:space="preserve">1.</w:t>
      </w:r>
      <w:r>
        <w:t xml:space="preserve"> </w:t>
      </w:r>
      <w:r>
        <w:rPr>
          <w:i/>
        </w:rPr>
        <w:t xml:space="preserve">First Amendment</w:t>
      </w:r>
    </w:p>
    <w:p>
      <w:pPr>
        <w:pStyle w:val="FirstParagraph"/>
      </w:pPr>
      <w:r>
        <w:t xml:space="preserve">In</w:t>
      </w:r>
      <w:r>
        <w:t xml:space="preserve"> </w:t>
      </w:r>
      <w:hyperlink r:id="rId112">
        <w:r>
          <w:rPr>
            <w:i/>
            <w:rStyle w:val="Hyperlink"/>
          </w:rPr>
          <w:t xml:space="preserve">Rogers v. Grimaldi</w:t>
        </w:r>
      </w:hyperlink>
      <w:r>
        <w:t xml:space="preserve">,</w:t>
      </w:r>
      <w:r>
        <w:t xml:space="preserve"> </w:t>
      </w:r>
      <w:r>
        <w:t xml:space="preserve">the Second Circuit held</w:t>
      </w:r>
      <w:r>
        <w:t xml:space="preserve"> </w:t>
      </w:r>
      <w:r>
        <w:t xml:space="preserve">that the Lanham Act is inapplicable to "artistic works"</w:t>
      </w:r>
      <w:r>
        <w:t xml:space="preserve"> </w:t>
      </w:r>
      <w:r>
        <w:t xml:space="preserve">as long as the defendant's use of the mark is</w:t>
      </w:r>
      <w:r>
        <w:t xml:space="preserve"> </w:t>
      </w:r>
      <w:r>
        <w:t xml:space="preserve">(1) "artistically relevant" to the work and</w:t>
      </w:r>
      <w:r>
        <w:t xml:space="preserve"> </w:t>
      </w:r>
      <w:r>
        <w:t xml:space="preserve">(2) not "explicitly misleading"</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7">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98">
        <w:r>
          <w:rPr>
            <w:i/>
            <w:rStyle w:val="Hyperlink"/>
          </w:rPr>
          <w:t xml:space="preserve">E.S.S. Entm't 2000, Inc. v. Rock Star Videos, Inc.</w:t>
        </w:r>
        <w:r>
          <w:rPr>
            <w:rStyle w:val="Hyperlink"/>
          </w:rPr>
          <w:t xml:space="preserve"> </w:t>
        </w:r>
        <w:r>
          <w:rPr>
            <w:rStyle w:val="Hyper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16">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 "artistic work"</w:t>
      </w:r>
      <w:r>
        <w:t xml:space="preserve"> </w:t>
      </w:r>
      <w:r>
        <w:t xml:space="preserve">under</w:t>
      </w:r>
      <w:r>
        <w:t xml:space="preserve"> </w:t>
      </w:r>
      <w:r>
        <w:rPr>
          <w:i/>
        </w:rPr>
        <w:t xml:space="preserve">Rogers.</w:t>
      </w:r>
    </w:p>
    <w:p>
      <w:pPr>
        <w:pStyle w:val="BodyText"/>
      </w:pPr>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17" w:name="a.-artistic-relevance"/>
      <w:bookmarkEnd w:id="117"/>
      <w:r>
        <w:t xml:space="preserve">a. Artistic Relevance</w:t>
      </w:r>
    </w:p>
    <w:p>
      <w:pPr>
        <w:pStyle w:val="FirstParagraph"/>
      </w:pPr>
      <w:r>
        <w:t xml:space="preserve">The threshold for "artistic relevance" is purposely low</w:t>
      </w:r>
      <w:r>
        <w:t xml:space="preserve"> </w:t>
      </w:r>
      <w:r>
        <w:t xml:space="preserve">and will be satisfied unless the use</w:t>
      </w:r>
      <w:r>
        <w:t xml:space="preserve"> </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2">
        <w:r>
          <w:rPr>
            <w:i/>
            <w:rStyle w:val="Hyperlink"/>
          </w:rPr>
          <w:t xml:space="preserve">Rogers,</w:t>
        </w:r>
      </w:hyperlink>
      <w:r>
        <w:t xml:space="preserve"> </w:t>
      </w:r>
      <w:r>
        <w:t xml:space="preserve">(emphasis added).</w:t>
      </w:r>
      <w:r>
        <w:t xml:space="preserve"> </w:t>
      </w:r>
      <w:r>
        <w:t xml:space="preserve">The artistic relevance prong ensures</w:t>
      </w:r>
      <w:r>
        <w:t xml:space="preserve"> </w:t>
      </w:r>
      <w:r>
        <w:t xml:space="preserve">that the defendant intended an artistic---</w:t>
      </w:r>
      <w:r>
        <w:t xml:space="preserve"> </w:t>
      </w:r>
      <w:r>
        <w:t xml:space="preserve">i.e., noncommercial---association with the plaintiff's mark,</w:t>
      </w:r>
      <w:r>
        <w:t xml:space="preserve"> </w:t>
      </w:r>
      <w:r>
        <w:t xml:space="preserve">as opposed to one in which the defendant intends to associate with the mark</w:t>
      </w:r>
      <w:r>
        <w:t xml:space="preserve"> </w:t>
      </w:r>
      <w:r>
        <w:t xml:space="preserve">to exploit the mark's popularity and good will. (emphasis added);</w:t>
      </w:r>
      <w:r>
        <w:t xml:space="preserve"> </w:t>
      </w:r>
      <w:r>
        <w:rPr>
          <w:i/>
        </w:rPr>
        <w:t xml:space="preserve">see also</w:t>
      </w:r>
      <w:r>
        <w:t xml:space="preserve"> </w:t>
      </w:r>
      <w:hyperlink r:id="rId98">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"the level of relevance merely must be</w:t>
      </w:r>
      <w:r>
        <w:t xml:space="preserve"> </w:t>
      </w:r>
      <w:r>
        <w:t xml:space="preserve">above zero");</w:t>
      </w:r>
      <w:r>
        <w:t xml:space="preserve"> </w:t>
      </w:r>
      <w:r>
        <w:rPr>
          <w:i/>
        </w:rPr>
        <w:t xml:space="preserve">Dillinger, LLC v. Elec. Arts Inc.</w:t>
      </w:r>
      <w:r>
        <w:t xml:space="preserve"> </w:t>
      </w:r>
      <w:r>
        <w:t xml:space="preserve">(S.D.Ind. June 16, 2011)</w:t>
      </w:r>
      <w:r>
        <w:t xml:space="preserve"> </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12">
        <w:r>
          <w:rPr>
            <w:i/>
            <w:rStyle w:val="Hyperlink"/>
          </w:rPr>
          <w:t xml:space="preserve">Rogers</w:t>
        </w:r>
      </w:hyperlink>
      <w:r>
        <w:t xml:space="preserve"> </w:t>
      </w:r>
      <w:r>
        <w:t xml:space="preserve">(finding that the defendant satisfied the artistic relevance prong where</w:t>
      </w:r>
      <w:r>
        <w:t xml:space="preserve"> </w:t>
      </w:r>
      <w:r>
        <w:t xml:space="preserve">its use of the trademark was "not arbitrarily chosen just to exploit the</w:t>
      </w:r>
      <w:r>
        <w:t xml:space="preserve"> </w:t>
      </w:r>
      <w:r>
        <w:t xml:space="preserve">publicity value of [the plaintiffs' mark] but instead ha[d] genuine</w:t>
      </w:r>
      <w:r>
        <w:t xml:space="preserve"> </w:t>
      </w:r>
      <w:r>
        <w:t xml:space="preserve">relevance to the film's story").</w:t>
      </w:r>
    </w:p>
    <w:p>
      <w:pPr>
        <w:pStyle w:val="BodyText"/>
      </w:pPr>
      <w:r>
        <w:t xml:space="preserve">Warner Bros' use of the Diophy bag meets this low threshold.</w:t>
      </w:r>
      <w:r>
        <w:t xml:space="preserve"> </w:t>
      </w:r>
      <w:r>
        <w:t xml:space="preserve">Alan's terse remark to Teddy to "Be careful!"</w:t>
      </w:r>
      <w:r>
        <w:t xml:space="preserve"> </w:t>
      </w:r>
      <w:r>
        <w:t xml:space="preserve">because his bag "is a Lewis Vuitton"</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 "Louis"</w:t>
      </w:r>
      <w:r>
        <w:t xml:space="preserve"> </w:t>
      </w:r>
      <w:r>
        <w:t xml:space="preserve">like the English "Lewis,"</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w:t>
      </w:r>
      <w:r>
        <w:t xml:space="preserve"> </w:t>
      </w:r>
      <w:r>
        <w:t xml:space="preserve">intended to use an authentic Louis Vuitton bag or Diophy's knock-off bag.&amp;hellip;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12">
        <w:r>
          <w:rPr>
            <w:i/>
            <w:rStyle w:val="Hyperlink"/>
          </w:rPr>
          <w:t xml:space="preserve">Rogers,</w:t>
        </w:r>
        <w:r>
          <w:rPr>
            <w:rStyle w:val="Hyperlink"/>
          </w:rPr>
          <w:t xml:space="preserve"> </w:t>
        </w:r>
        <w:r>
          <w:rPr>
            <w:rStyle w:val="Hyperlink"/>
          </w:rPr>
          <w:t xml:space="preserve">875 F.2d at 1001</w:t>
        </w:r>
      </w:hyperlink>
      <w:r>
        <w:t xml:space="preserve">.</w:t>
      </w:r>
    </w:p>
    <w:p>
      <w:pPr>
        <w:pStyle w:val="BodyText"/>
      </w:pPr>
      <w:r>
        <w:t xml:space="preserve">[In a footnote, the Court distinguished cases cited by Louis Vuitton,</w:t>
      </w:r>
      <w:r>
        <w:t xml:space="preserve"> </w:t>
      </w:r>
      <w:r>
        <w:t xml:space="preserve">including</w:t>
      </w:r>
      <w:r>
        <w:t xml:space="preserve"> </w:t>
      </w:r>
      <w:hyperlink r:id="rId118">
        <w:r>
          <w:rPr>
            <w:i/>
            <w:rStyle w:val="Hyperlink"/>
          </w:rPr>
          <w:t xml:space="preserve">Parks v. LaFace Records</w:t>
        </w:r>
        <w:r>
          <w:rPr>
            <w:rStyle w:val="Hyperlink"/>
          </w:rPr>
          <w:t xml:space="preserve"> </w:t>
        </w:r>
        <w:r>
          <w:rPr>
            <w:rStyle w:val="Hyperlink"/>
          </w:rPr>
          <w:t xml:space="preserve">Cir.2003)</w:t>
        </w:r>
      </w:hyperlink>
      <w:r>
        <w:t xml:space="preserve"> </w:t>
      </w:r>
      <w:r>
        <w:t xml:space="preserve">(finding that "reasonable persons could conclude that there is no</w:t>
      </w:r>
      <w:r>
        <w:t xml:space="preserve"> </w:t>
      </w:r>
      <w:r>
        <w:t xml:space="preserve">relationship of any kind between Rosa Park's name and the content of the</w:t>
      </w:r>
      <w:r>
        <w:t xml:space="preserve"> </w:t>
      </w:r>
      <w:r>
        <w:t xml:space="preserve">song," and noting that the "marketing power" of the song's title</w:t>
      </w:r>
      <w:r>
        <w:t xml:space="preserve"> </w:t>
      </w:r>
      <w:r>
        <w:t xml:space="preserve">"unquestionably enhanced the song's potential sale to the consuming</w:t>
      </w:r>
      <w:r>
        <w:t xml:space="preserve"> </w:t>
      </w:r>
      <w:r>
        <w:t xml:space="preserve">public").]</w:t>
      </w:r>
    </w:p>
    <w:p>
      <w:pPr>
        <w:pStyle w:val="BodyText"/>
      </w:pPr>
      <w:r>
        <w:t xml:space="preserve">Accordingly,</w:t>
      </w:r>
      <w:r>
        <w:t xml:space="preserve"> </w:t>
      </w:r>
      <w:r>
        <w:t xml:space="preserve">the Court concludes that the use of the Diophy bag</w:t>
      </w:r>
      <w:r>
        <w:t xml:space="preserve"> </w:t>
      </w:r>
      <w:r>
        <w:t xml:space="preserve">has some artistic relevance to the plot of the Film.</w:t>
      </w:r>
    </w:p>
    <w:p>
      <w:pPr>
        <w:pStyle w:val="Heading4"/>
      </w:pPr>
      <w:bookmarkStart w:id="119" w:name="b.-explicitly-misleading"/>
      <w:bookmarkEnd w:id="119"/>
      <w:r>
        <w:rPr>
          <w:i/>
        </w:rPr>
        <w:t xml:space="preserve">b. Explicitly Misleading</w:t>
      </w:r>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"explicitly misleads as to the source or the content of the work."</w:t>
      </w:r>
      <w:r>
        <w:t xml:space="preserve"> </w:t>
      </w:r>
      <w:hyperlink r:id="rId112">
        <w:r>
          <w:rPr>
            <w:i/>
            <w:rStyle w:val="Hyperlink"/>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"is misleading in the sense that it</w:t>
      </w:r>
      <w:r>
        <w:t xml:space="preserve"> </w:t>
      </w:r>
      <w:r>
        <w:t xml:space="preserve">induces members of the public to believe</w:t>
      </w:r>
      <w:r>
        <w:t xml:space="preserve"> </w:t>
      </w:r>
      <w:r>
        <w:t xml:space="preserve">[the work] was prepared or otherwise authorized" by the plaintiff.</w:t>
      </w:r>
      <w:r>
        <w:t xml:space="preserve"> </w:t>
      </w:r>
      <w:hyperlink r:id="rId120">
        <w:r>
          <w:rPr>
            <w:i/>
            <w:rStyle w:val="Hyperlink"/>
          </w:rPr>
          <w:t xml:space="preserve">Twin Peaks</w:t>
        </w:r>
      </w:hyperlink>
      <w:r>
        <w:t xml:space="preserve">.</w:t>
      </w:r>
      <w:r>
        <w:t xml:space="preserve"> </w:t>
      </w:r>
      <w:r>
        <w:t xml:space="preserve">The explicitly misleading determination "must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57">
        <w:r>
          <w:rPr>
            <w:i/>
            <w:rStyle w:val="Hyperlink"/>
          </w:rPr>
          <w:t xml:space="preserve">Cliffs Notes</w:t>
        </w:r>
      </w:hyperlink>
      <w:r>
        <w:t xml:space="preserve">).</w:t>
      </w:r>
      <w:r>
        <w:t xml:space="preserve"> </w:t>
      </w:r>
      <w:r>
        <w:t xml:space="preserve">Only a "particularly compelling" 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 "dupe consumers into buying a product they mistakenly</w:t>
      </w:r>
      <w:r>
        <w:t xml:space="preserve"> </w:t>
      </w:r>
      <w:r>
        <w:t xml:space="preserve">believe is sponsored by the trademark owner."</w:t>
      </w:r>
      <w:r>
        <w:t xml:space="preserve"> </w:t>
      </w:r>
      <w:hyperlink r:id="rId98">
        <w:r>
          <w:rPr>
            <w:i/>
            <w:rStyle w:val="Hyperlink"/>
          </w:rPr>
          <w:t xml:space="preserve">Rock Star Videos</w:t>
        </w:r>
      </w:hyperlink>
      <w:r>
        <w:t xml:space="preserve"> </w:t>
      </w:r>
      <w:r>
        <w:t xml:space="preserve">(quoting</w:t>
      </w:r>
      <w:r>
        <w:t xml:space="preserve"> </w:t>
      </w:r>
      <w:hyperlink r:id="rId116">
        <w:r>
          <w:rPr>
            <w:i/>
            <w:rStyle w:val="Hyperlink"/>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t xml:space="preserve">However, if a trademark is not used, "in any direct sense," to designate</w:t>
      </w:r>
      <w:r>
        <w:t xml:space="preserve"> </w:t>
      </w:r>
      <w:r>
        <w:t xml:space="preserve">the source or sponsorship of the defendant's work, then "the consumer</w:t>
      </w:r>
      <w:r>
        <w:t xml:space="preserve"> </w:t>
      </w:r>
      <w:r>
        <w:t xml:space="preserve">interest in avoiding deception is too slight to warrant application of</w:t>
      </w:r>
      <w:r>
        <w:t xml:space="preserve"> </w:t>
      </w:r>
      <w:r>
        <w:t xml:space="preserve">the Lanham Act."</w:t>
      </w:r>
      <w:r>
        <w:t xml:space="preserve"> </w:t>
      </w:r>
      <w:hyperlink r:id="rId121">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12">
        <w:r>
          <w:rPr>
            <w:i/>
            <w:rStyle w:val="Hyperlink"/>
          </w:rPr>
          <w:t xml:space="preserve">Rogers,</w:t>
        </w:r>
        <w:r>
          <w:rPr>
            <w:rStyle w:val="Hyperlink"/>
          </w:rPr>
          <w:t xml:space="preserve"> </w:t>
        </w:r>
        <w:r>
          <w:rPr>
            <w:rStyle w:val="Hyperlink"/>
          </w:rPr>
          <w:t xml:space="preserve">875 F.2d at</w:t>
        </w:r>
        <w:r>
          <w:rPr>
            <w:rStyle w:val="Hyperlink"/>
          </w:rPr>
          <w:t xml:space="preserve"> </w:t>
        </w:r>
        <w:r>
          <w:rPr>
            <w:rStyle w:val="Hyperlink"/>
          </w:rPr>
          <w:t xml:space="preserve">1000</w:t>
        </w:r>
      </w:hyperlink>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54">
        <w:r>
          <w:rPr>
            <w:i/>
            <w:rStyle w:val="Hyperlink"/>
          </w:rPr>
          <w:t xml:space="preserve">Dallas Cowboys Cheerleaders, Inc. v. Pussycat</w:t>
        </w:r>
        <w:r>
          <w:rPr>
            <w:i/>
            <w:rStyle w:val="Hyperlink"/>
          </w:rPr>
          <w:t xml:space="preserve"> </w:t>
        </w:r>
        <w:r>
          <w:rPr>
            <w:i/>
            <w:rStyle w:val="Hyperlink"/>
          </w:rPr>
          <w:t xml:space="preserve">Cinema, Ltd.,</w:t>
        </w:r>
        <w:r>
          <w:rPr>
            <w:rStyle w:val="Hyperlink"/>
          </w:rPr>
          <w:t xml:space="preserve"> </w:t>
        </w:r>
        <w:r>
          <w:rPr>
            <w:rStyle w:val="Hyperlink"/>
          </w:rPr>
          <w:t xml:space="preserve">604 F.2d 200, 205 (2d</w:t>
        </w:r>
        <w:r>
          <w:rPr>
            <w:rStyle w:val="Hyperlink"/>
          </w:rPr>
          <w:t xml:space="preserve"> </w:t>
        </w:r>
        <w:r>
          <w:rPr>
            <w:rStyle w:val="Hyperlink"/>
          </w:rPr>
          <w:t xml:space="preserve">Cir.1979),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12">
        <w:r>
          <w:rPr>
            <w:i/>
            <w:rStyle w:val="Hyperlink"/>
          </w:rPr>
          <w:t xml:space="preserve">Rogers,</w:t>
        </w:r>
        <w:r>
          <w:rPr>
            <w:rStyle w:val="Hyperlink"/>
          </w:rPr>
          <w:t xml:space="preserve"> </w:t>
        </w:r>
        <w:r>
          <w:rPr>
            <w:rStyle w:val="Hyperlink"/>
          </w:rPr>
          <w:t xml:space="preserve">875</w:t>
        </w:r>
        <w:r>
          <w:rPr>
            <w:rStyle w:val="Hyperlink"/>
          </w:rPr>
          <w:t xml:space="preserve"> </w:t>
        </w:r>
        <w:r>
          <w:rPr>
            <w:rStyle w:val="Hyperlink"/>
          </w:rPr>
          <w:t xml:space="preserve">F.2d at 999 n.</w:t>
        </w:r>
        <w:r>
          <w:rPr>
            <w:rStyle w:val="Hyperlink"/>
          </w:rPr>
          <w:t xml:space="preserve"> </w:t>
        </w:r>
        <w:r>
          <w:rPr>
            <w:rStyle w:val="Hyperlink"/>
          </w:rPr>
          <w:t xml:space="preserve">4</w:t>
        </w:r>
      </w:hyperlink>
      <w:r>
        <w:t xml:space="preserve">;</w:t>
      </w:r>
      <w:r>
        <w:t xml:space="preserve"> </w:t>
      </w:r>
      <w:r>
        <w:rPr>
          <w:i/>
        </w:rPr>
        <w:t xml:space="preserve">see</w:t>
      </w:r>
      <w:r>
        <w:t xml:space="preserve"> </w:t>
      </w:r>
      <w:hyperlink r:id="rId118">
        <w:r>
          <w:rPr>
            <w:i/>
            <w:rStyle w:val="Hyperlink"/>
          </w:rPr>
          <w:t xml:space="preserve">Parks,</w:t>
        </w:r>
        <w:r>
          <w:rPr>
            <w:rStyle w:val="Hyperlink"/>
          </w:rPr>
          <w:t xml:space="preserve"> </w:t>
        </w:r>
        <w:r>
          <w:rPr>
            <w:rStyle w:val="Hyperlink"/>
          </w:rPr>
          <w:t xml:space="preserve">329 F.3d at</w:t>
        </w:r>
        <w:r>
          <w:rPr>
            <w:rStyle w:val="Hyperlink"/>
          </w:rPr>
          <w:t xml:space="preserve"> </w:t>
        </w:r>
        <w:r>
          <w:rPr>
            <w:rStyle w:val="Hyperlink"/>
          </w:rPr>
          <w:t xml:space="preserve">449-50</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 from exhibiting or</w:t>
      </w:r>
      <w:r>
        <w:t xml:space="preserve"> </w:t>
      </w:r>
      <w:r>
        <w:t xml:space="preserve">distributing a pornographic film that depicted the plaintiff's</w:t>
      </w:r>
      <w:r>
        <w:t xml:space="preserve"> </w:t>
      </w:r>
      <w:r>
        <w:t xml:space="preserve">trademarked cheerleader uniforms.</w:t>
      </w:r>
      <w:r>
        <w:t xml:space="preserve"> </w:t>
      </w:r>
      <w:hyperlink r:id="rId54">
        <w:r>
          <w:rPr>
            <w:rStyle w:val="Hyperlink"/>
          </w:rPr>
          <w:t xml:space="preserve">604 F.2d</w:t>
        </w:r>
        <w:r>
          <w:rPr>
            <w:rStyle w:val="Hyperlink"/>
          </w:rPr>
          <w:t xml:space="preserve"> </w:t>
        </w:r>
        <w:r>
          <w:rPr>
            <w:rStyle w:val="Hyperlink"/>
          </w:rPr>
          <w:t xml:space="preserve">200</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 "the mark's owner sponsored or</w:t>
      </w:r>
      <w:r>
        <w:t xml:space="preserve"> </w:t>
      </w:r>
      <w:r>
        <w:t xml:space="preserve">otherwise approved the use of the trademark."</w:t>
      </w:r>
      <w:r>
        <w:t xml:space="preserve"> </w:t>
      </w:r>
      <w:r>
        <w:rPr>
          <w:i/>
        </w:rPr>
        <w:t xml:space="preserve">Id.</w:t>
      </w:r>
      <w:r>
        <w:t xml:space="preserve"> </w:t>
      </w:r>
      <w:r>
        <w:t xml:space="preserve">at 205. Although</w:t>
      </w:r>
      <w:r>
        <w:t xml:space="preserve"> </w:t>
      </w:r>
      <w:r>
        <w:t xml:space="preserve">Louis Vuitton latches onto the "approved the use of the trademark"</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 "Plaintiff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 </w:t>
      </w:r>
      <w:r>
        <w:rPr>
          <w:i/>
        </w:rPr>
        <w:t xml:space="preserve">Id.</w:t>
      </w:r>
      <w:r>
        <w:t xml:space="preserve">&amp;hellip;</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work.&amp;hellip;</w:t>
      </w:r>
    </w:p>
    <w:p>
      <w:pPr>
        <w:pStyle w:val="BodyText"/>
      </w:pPr>
      <w:r>
        <w:t xml:space="preserve">The Court concludes that Louis Vuitton's allegations of confusion are</w:t>
      </w:r>
      <w:r>
        <w:t xml:space="preserve"> </w:t>
      </w:r>
      <w:r>
        <w:t xml:space="preserve">not plausible, let alone "particularly compelling." First, it is highly</w:t>
      </w:r>
      <w:r>
        <w:t xml:space="preserve"> </w:t>
      </w:r>
      <w:r>
        <w:t xml:space="preserve">unlikely that an appreciable number of people watching the Film would</w:t>
      </w:r>
      <w:r>
        <w:t xml:space="preserve"> </w:t>
      </w:r>
      <w:r>
        <w:t xml:space="preserve">even notice that Alan's bag is a knock-off.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things.&amp;hellip;</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"particularly compelling."</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 Bros.</w:t>
      </w:r>
      <w:r>
        <w:t xml:space="preserve"> </w:t>
      </w:r>
      <w:r>
        <w:t xml:space="preserve">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 "too slight to warrant</w:t>
      </w:r>
      <w:r>
        <w:t xml:space="preserve"> </w:t>
      </w:r>
      <w:r>
        <w:t xml:space="preserve">application of the Lanham Act."&amp;hellip;</w:t>
      </w:r>
    </w:p>
    <w:p>
      <w:pPr>
        <w:pStyle w:val="BodyText"/>
      </w:pPr>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bag.&amp;hellip;</w:t>
      </w:r>
    </w:p>
    <w:p>
      <w:pPr>
        <w:pStyle w:val="Heading2"/>
      </w:pPr>
      <w:bookmarkStart w:id="122" w:name="c.-state-law-claims"/>
      <w:bookmarkEnd w:id="122"/>
      <w:r>
        <w:t xml:space="preserve">C. State Law Claims</w:t>
      </w:r>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claim.&amp;hellip;</w:t>
      </w:r>
    </w:p>
    <w:p>
      <w:pPr>
        <w:pStyle w:val="Heading2"/>
      </w:pPr>
      <w:bookmarkStart w:id="123" w:name="conclusion-1"/>
      <w:bookmarkEnd w:id="123"/>
      <w:r>
        <w:t xml:space="preserve">CONCLUSION</w:t>
      </w:r>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p>
      <w:pPr>
        <w:pStyle w:val="Heading4"/>
      </w:pPr>
      <w:bookmarkStart w:id="124" w:name="totally-optional-readings-viewings"/>
      <w:bookmarkEnd w:id="124"/>
      <w:r>
        <w:t xml:space="preserve">Totally Optional Readings &amp; Viewings</w:t>
      </w:r>
    </w:p>
    <w:p>
      <w:pPr>
        <w:pStyle w:val="Compact"/>
        <w:numPr>
          <w:numId w:val="1010"/>
          <w:ilvl w:val="0"/>
        </w:numPr>
      </w:pPr>
      <w:hyperlink r:id="rId125">
        <w:r>
          <w:rPr>
            <w:rStyle w:val="Hyperlink"/>
          </w:rPr>
          <w:t xml:space="preserve">Disney Denies Bid To Keep Characters 3 Hallandale Day-care Centers Are Given One Month To Remove Murals</w:t>
        </w:r>
      </w:hyperlink>
    </w:p>
    <w:p>
      <w:pPr>
        <w:pStyle w:val="Compact"/>
        <w:numPr>
          <w:numId w:val="1010"/>
          <w:ilvl w:val="0"/>
        </w:numPr>
      </w:pPr>
      <w:hyperlink r:id="rId126">
        <w:r>
          <w:rPr>
            <w:rStyle w:val="Hyperlink"/>
          </w:rPr>
          <w:t xml:space="preserve">Nastiness Is Not a Fantasy In Movie Theme Park War</w:t>
        </w:r>
      </w:hyperlink>
    </w:p>
    <w:p>
      <w:pPr>
        <w:pStyle w:val="Heading5"/>
      </w:pPr>
      <w:bookmarkStart w:id="127" w:name="entertainment-lawyers-on-fair-use"/>
      <w:bookmarkEnd w:id="127"/>
      <w:r>
        <w:t xml:space="preserve">Entertainment Lawyers On Fair Use</w:t>
      </w:r>
    </w:p>
    <w:p>
      <w:pPr>
        <w:pStyle w:val="FirstParagraph"/>
      </w:pPr>
      <w:r>
        <w:t xml:space="preserve">Watch this 6-minute YouTube clip of two entertainment lawyers discussing trademark and copyright issues.</w:t>
      </w:r>
    </w:p>
    <w:p>
      <w:pPr>
        <w:pStyle w:val="BodyText"/>
      </w:pPr>
      <w:hyperlink r:id="rId128">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"Hey, I thought you said that filmmakers should get logos and copyrighted material out of the shot! These lawyers say logos are no problem?"</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t xml:space="preserve">AFTER 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 NEED 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w:t>
      </w:r>
      <w:r>
        <w:t xml:space="preserve"> </w:t>
      </w:r>
      <w:r>
        <w:t xml:space="preserve">when it is artistically relevant to your work.</w:t>
      </w:r>
      <w:r>
        <w:t xml:space="preserve"> </w:t>
      </w:r>
      <w:r>
        <w:t xml:space="preserve">So that's not news.</w:t>
      </w:r>
      <w:r>
        <w:t xml:space="preserve"> </w:t>
      </w:r>
      <w:r>
        <w:t xml:space="preserve">(Doesn't mean another Ginger Rogers won't sue you anyway and lose.)</w:t>
      </w:r>
      <w:r>
        <w:t xml:space="preserve"> </w:t>
      </w:r>
      <w:r>
        <w:t xml:space="preserve">The Disney example they use here is similar;</w:t>
      </w:r>
      <w:r>
        <w:t xml:space="preserve"> </w:t>
      </w:r>
      <w:r>
        <w:t xml:space="preserve">if the filmmakers are making an undercover movie ABOUT 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9360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720e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0a2d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5" Target="http://articles.sun-sentinel.com/1989-05-18/news/8901250789_1_day-care-centers-day-care-centers-disney-officials" TargetMode="External" /><Relationship Type="http://schemas.openxmlformats.org/officeDocument/2006/relationships/hyperlink" Id="rId84" Target="http://blogs.wsj.com/law/2008/08/15/browne-v-mccain-political-rocker-sues-politico-over-running-on-empty/" TargetMode="External" /><Relationship Type="http://schemas.openxmlformats.org/officeDocument/2006/relationships/hyperlink" Id="rId83" Target="http://lawschool.westlaw.com/shared/westlawRedirect.aspx?task=find&amp;cite=612fsupp2d1125&amp;appflag=67.12" TargetMode="External" /><Relationship Type="http://schemas.openxmlformats.org/officeDocument/2006/relationships/hyperlink" Id="rId48" Target="http://lawschool.westlaw.com/shared/westlawRedirect.aspx?task=find&amp;cite=73f3d497&amp;appflag=67.12" TargetMode="External" /><Relationship Type="http://schemas.openxmlformats.org/officeDocument/2006/relationships/hyperlink" Id="rId29" Target="http://lawschool.westlaw.com/shared/westlawRedirect.aspx?task=find&amp;cite=847+F.2d+1403&amp;appflag=67.12" TargetMode="External" /><Relationship Type="http://schemas.openxmlformats.org/officeDocument/2006/relationships/hyperlink" Id="rId105" Target="http://lawschool.westlaw.com/shared/westlawRedirect.aspx?task=find&amp;cite=868+F.Supp.2d+172&amp;appflag=67.12" TargetMode="External" /><Relationship Type="http://schemas.openxmlformats.org/officeDocument/2006/relationships/hyperlink" Id="rId94" Target="http://scholar.google.com/scholar_case?about=2055558481777012858" TargetMode="External" /><Relationship Type="http://schemas.openxmlformats.org/officeDocument/2006/relationships/hyperlink" Id="rId79" Target="http://scholar.google.com/scholar_case?about=7033763304563322440" TargetMode="External" /><Relationship Type="http://schemas.openxmlformats.org/officeDocument/2006/relationships/hyperlink" Id="rId56" Target="http://scholar.google.com/scholar_case?case=10303687158773885878" TargetMode="External" /><Relationship Type="http://schemas.openxmlformats.org/officeDocument/2006/relationships/hyperlink" Id="rId54" Target="http://scholar.google.com/scholar_case?case=11014508973363071529" TargetMode="External" /><Relationship Type="http://schemas.openxmlformats.org/officeDocument/2006/relationships/hyperlink" Id="rId75" Target="http://scholar.google.com/scholar_case?case=11078526421590500494" TargetMode="External" /><Relationship Type="http://schemas.openxmlformats.org/officeDocument/2006/relationships/hyperlink" Id="rId118" Target="http://scholar.google.com/scholar_case?case=11600086449229682086" TargetMode="External" /><Relationship Type="http://schemas.openxmlformats.org/officeDocument/2006/relationships/hyperlink" Id="rId34" Target="http://scholar.google.com/scholar_case?case=12779534946996407153" TargetMode="External" /><Relationship Type="http://schemas.openxmlformats.org/officeDocument/2006/relationships/hyperlink" Id="rId68" Target="http://scholar.google.com/scholar_case?case=13183511391101539790"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70" Target="http://scholar.google.com/scholar_case?case=14906832319771429677" TargetMode="External" /><Relationship Type="http://schemas.openxmlformats.org/officeDocument/2006/relationships/hyperlink" Id="rId93" Target="http://scholar.google.com/scholar_case?case=15515381657632192294" TargetMode="External" /><Relationship Type="http://schemas.openxmlformats.org/officeDocument/2006/relationships/hyperlink" Id="rId28" Target="http://scholar.google.com/scholar_case?case=15829356411592991559" TargetMode="External" /><Relationship Type="http://schemas.openxmlformats.org/officeDocument/2006/relationships/hyperlink" Id="rId47" Target="http://scholar.google.com/scholar_case?case=16188685672866891690" TargetMode="External" /><Relationship Type="http://schemas.openxmlformats.org/officeDocument/2006/relationships/hyperlink" Id="rId120" Target="http://scholar.google.com/scholar_case?case=1671961186681268324" TargetMode="External" /><Relationship Type="http://schemas.openxmlformats.org/officeDocument/2006/relationships/hyperlink" Id="rId36" Target="http://scholar.google.com/scholar_case?case=16808466954150620657" TargetMode="External" /><Relationship Type="http://schemas.openxmlformats.org/officeDocument/2006/relationships/hyperlink" Id="rId95" Target="http://scholar.google.com/scholar_case?case=17007260925322207512" TargetMode="External" /><Relationship Type="http://schemas.openxmlformats.org/officeDocument/2006/relationships/hyperlink" Id="rId112" Target="http://scholar.google.com/scholar_case?case=1704090655237798849" TargetMode="External" /><Relationship Type="http://schemas.openxmlformats.org/officeDocument/2006/relationships/hyperlink" Id="rId100" Target="http://scholar.google.com/scholar_case?case=1804350555375013920" TargetMode="External" /><Relationship Type="http://schemas.openxmlformats.org/officeDocument/2006/relationships/hyperlink" Id="rId77" Target="http://scholar.google.com/scholar_case?case=18366776276641723279" TargetMode="External" /><Relationship Type="http://schemas.openxmlformats.org/officeDocument/2006/relationships/hyperlink" Id="rId44" Target="http://scholar.google.com/scholar_case?case=2293827617926067028" TargetMode="External" /><Relationship Type="http://schemas.openxmlformats.org/officeDocument/2006/relationships/hyperlink" Id="rId73" Target="http://scholar.google.com/scholar_case?case=247992148676766369" TargetMode="External" /><Relationship Type="http://schemas.openxmlformats.org/officeDocument/2006/relationships/hyperlink" Id="rId121" Target="http://scholar.google.com/scholar_case?case=2693087962354215527" TargetMode="External" /><Relationship Type="http://schemas.openxmlformats.org/officeDocument/2006/relationships/hyperlink" Id="rId110" Target="http://scholar.google.com/scholar_case?case=305622687625915731" TargetMode="External" /><Relationship Type="http://schemas.openxmlformats.org/officeDocument/2006/relationships/hyperlink" Id="rId59" Target="http://scholar.google.com/scholar_case?case=3429743328705863564" TargetMode="External" /><Relationship Type="http://schemas.openxmlformats.org/officeDocument/2006/relationships/hyperlink" Id="rId57" Target="http://scholar.google.com/scholar_case?case=3543157455154245054" TargetMode="External" /><Relationship Type="http://schemas.openxmlformats.org/officeDocument/2006/relationships/hyperlink" Id="rId66" Target="http://scholar.google.com/scholar_case?case=3692925699656865799" TargetMode="External" /><Relationship Type="http://schemas.openxmlformats.org/officeDocument/2006/relationships/hyperlink" Id="rId97" Target="http://scholar.google.com/scholar_case?case=4174039731032587001" TargetMode="External" /><Relationship Type="http://schemas.openxmlformats.org/officeDocument/2006/relationships/hyperlink" Id="rId78" Target="http://scholar.google.com/scholar_case?case=4398729965656614180" TargetMode="External" /><Relationship Type="http://schemas.openxmlformats.org/officeDocument/2006/relationships/hyperlink" Id="rId92" Target="http://scholar.google.com/scholar_case?case=4833614207083058193" TargetMode="External" /><Relationship Type="http://schemas.openxmlformats.org/officeDocument/2006/relationships/hyperlink" Id="rId98" Target="http://scholar.google.com/scholar_case?case=6229102239124683155" TargetMode="External" /><Relationship Type="http://schemas.openxmlformats.org/officeDocument/2006/relationships/hyperlink" Id="rId116" Target="http://scholar.google.com/scholar_case?case=7581792703482092445" TargetMode="External" /><Relationship Type="http://schemas.openxmlformats.org/officeDocument/2006/relationships/hyperlink" Id="rId104" Target="http://scholar.google.com/scholar_case?case=7750062726823071078" TargetMode="External" /><Relationship Type="http://schemas.openxmlformats.org/officeDocument/2006/relationships/hyperlink" Id="rId62" Target="http://scholar.google.com/scholar_case?case=8066359022809548671" TargetMode="External" /><Relationship Type="http://schemas.openxmlformats.org/officeDocument/2006/relationships/hyperlink" Id="rId82" Target="http://scholar.google.com/scholar_case?case=8358901490325237172" TargetMode="External" /><Relationship Type="http://schemas.openxmlformats.org/officeDocument/2006/relationships/hyperlink" Id="rId33" Target="http://scholar.google.com/scholar_case?case=9210493150407072428" TargetMode="External" /><Relationship Type="http://schemas.openxmlformats.org/officeDocument/2006/relationships/hyperlink" Id="rId53" Target="http://scholar.google.com/scholar_case?case=960951309812304151" TargetMode="External" /><Relationship Type="http://schemas.openxmlformats.org/officeDocument/2006/relationships/hyperlink" Id="rId111" Target="http://scholar.google.com/scholar_case?case=9787575094444941549" TargetMode="External" /><Relationship Type="http://schemas.openxmlformats.org/officeDocument/2006/relationships/hyperlink" Id="rId63" Target="http://scholar.google.com/scholar_case?case=989627832648708428" TargetMode="External" /><Relationship Type="http://schemas.openxmlformats.org/officeDocument/2006/relationships/hyperlink" Id="rId106" Target="http://www.hollywoodreporter.com/thr-esq/louis-vuitton-hangover-2-lawsuit-338650" TargetMode="External" /><Relationship Type="http://schemas.openxmlformats.org/officeDocument/2006/relationships/hyperlink" Id="rId126" Target="http://www.nytimes.com/1989/08/13/us/nastiness-is-not-a-fantasy-in-movie-theme-park-war.html" TargetMode="External" /><Relationship Type="http://schemas.openxmlformats.org/officeDocument/2006/relationships/hyperlink" Id="rId49"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128"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25" Target="http://articles.sun-sentinel.com/1989-05-18/news/8901250789_1_day-care-centers-day-care-centers-disney-officials" TargetMode="External" /><Relationship Type="http://schemas.openxmlformats.org/officeDocument/2006/relationships/hyperlink" Id="rId84" Target="http://blogs.wsj.com/law/2008/08/15/browne-v-mccain-political-rocker-sues-politico-over-running-on-empty/" TargetMode="External" /><Relationship Type="http://schemas.openxmlformats.org/officeDocument/2006/relationships/hyperlink" Id="rId83" Target="http://lawschool.westlaw.com/shared/westlawRedirect.aspx?task=find&amp;cite=612fsupp2d1125&amp;appflag=67.12" TargetMode="External" /><Relationship Type="http://schemas.openxmlformats.org/officeDocument/2006/relationships/hyperlink" Id="rId48" Target="http://lawschool.westlaw.com/shared/westlawRedirect.aspx?task=find&amp;cite=73f3d497&amp;appflag=67.12" TargetMode="External" /><Relationship Type="http://schemas.openxmlformats.org/officeDocument/2006/relationships/hyperlink" Id="rId29" Target="http://lawschool.westlaw.com/shared/westlawRedirect.aspx?task=find&amp;cite=847+F.2d+1403&amp;appflag=67.12" TargetMode="External" /><Relationship Type="http://schemas.openxmlformats.org/officeDocument/2006/relationships/hyperlink" Id="rId105" Target="http://lawschool.westlaw.com/shared/westlawRedirect.aspx?task=find&amp;cite=868+F.Supp.2d+172&amp;appflag=67.12" TargetMode="External" /><Relationship Type="http://schemas.openxmlformats.org/officeDocument/2006/relationships/hyperlink" Id="rId94" Target="http://scholar.google.com/scholar_case?about=2055558481777012858" TargetMode="External" /><Relationship Type="http://schemas.openxmlformats.org/officeDocument/2006/relationships/hyperlink" Id="rId79" Target="http://scholar.google.com/scholar_case?about=7033763304563322440" TargetMode="External" /><Relationship Type="http://schemas.openxmlformats.org/officeDocument/2006/relationships/hyperlink" Id="rId56" Target="http://scholar.google.com/scholar_case?case=10303687158773885878" TargetMode="External" /><Relationship Type="http://schemas.openxmlformats.org/officeDocument/2006/relationships/hyperlink" Id="rId54" Target="http://scholar.google.com/scholar_case?case=11014508973363071529" TargetMode="External" /><Relationship Type="http://schemas.openxmlformats.org/officeDocument/2006/relationships/hyperlink" Id="rId75" Target="http://scholar.google.com/scholar_case?case=11078526421590500494" TargetMode="External" /><Relationship Type="http://schemas.openxmlformats.org/officeDocument/2006/relationships/hyperlink" Id="rId118" Target="http://scholar.google.com/scholar_case?case=11600086449229682086" TargetMode="External" /><Relationship Type="http://schemas.openxmlformats.org/officeDocument/2006/relationships/hyperlink" Id="rId34" Target="http://scholar.google.com/scholar_case?case=12779534946996407153" TargetMode="External" /><Relationship Type="http://schemas.openxmlformats.org/officeDocument/2006/relationships/hyperlink" Id="rId68" Target="http://scholar.google.com/scholar_case?case=13183511391101539790"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70" Target="http://scholar.google.com/scholar_case?case=14906832319771429677" TargetMode="External" /><Relationship Type="http://schemas.openxmlformats.org/officeDocument/2006/relationships/hyperlink" Id="rId93" Target="http://scholar.google.com/scholar_case?case=15515381657632192294" TargetMode="External" /><Relationship Type="http://schemas.openxmlformats.org/officeDocument/2006/relationships/hyperlink" Id="rId28" Target="http://scholar.google.com/scholar_case?case=15829356411592991559" TargetMode="External" /><Relationship Type="http://schemas.openxmlformats.org/officeDocument/2006/relationships/hyperlink" Id="rId47" Target="http://scholar.google.com/scholar_case?case=16188685672866891690" TargetMode="External" /><Relationship Type="http://schemas.openxmlformats.org/officeDocument/2006/relationships/hyperlink" Id="rId120" Target="http://scholar.google.com/scholar_case?case=1671961186681268324" TargetMode="External" /><Relationship Type="http://schemas.openxmlformats.org/officeDocument/2006/relationships/hyperlink" Id="rId36" Target="http://scholar.google.com/scholar_case?case=16808466954150620657" TargetMode="External" /><Relationship Type="http://schemas.openxmlformats.org/officeDocument/2006/relationships/hyperlink" Id="rId95" Target="http://scholar.google.com/scholar_case?case=17007260925322207512" TargetMode="External" /><Relationship Type="http://schemas.openxmlformats.org/officeDocument/2006/relationships/hyperlink" Id="rId112" Target="http://scholar.google.com/scholar_case?case=1704090655237798849" TargetMode="External" /><Relationship Type="http://schemas.openxmlformats.org/officeDocument/2006/relationships/hyperlink" Id="rId100" Target="http://scholar.google.com/scholar_case?case=1804350555375013920" TargetMode="External" /><Relationship Type="http://schemas.openxmlformats.org/officeDocument/2006/relationships/hyperlink" Id="rId77" Target="http://scholar.google.com/scholar_case?case=18366776276641723279" TargetMode="External" /><Relationship Type="http://schemas.openxmlformats.org/officeDocument/2006/relationships/hyperlink" Id="rId44" Target="http://scholar.google.com/scholar_case?case=2293827617926067028" TargetMode="External" /><Relationship Type="http://schemas.openxmlformats.org/officeDocument/2006/relationships/hyperlink" Id="rId73" Target="http://scholar.google.com/scholar_case?case=247992148676766369" TargetMode="External" /><Relationship Type="http://schemas.openxmlformats.org/officeDocument/2006/relationships/hyperlink" Id="rId121" Target="http://scholar.google.com/scholar_case?case=2693087962354215527" TargetMode="External" /><Relationship Type="http://schemas.openxmlformats.org/officeDocument/2006/relationships/hyperlink" Id="rId110" Target="http://scholar.google.com/scholar_case?case=305622687625915731" TargetMode="External" /><Relationship Type="http://schemas.openxmlformats.org/officeDocument/2006/relationships/hyperlink" Id="rId59" Target="http://scholar.google.com/scholar_case?case=3429743328705863564" TargetMode="External" /><Relationship Type="http://schemas.openxmlformats.org/officeDocument/2006/relationships/hyperlink" Id="rId57" Target="http://scholar.google.com/scholar_case?case=3543157455154245054" TargetMode="External" /><Relationship Type="http://schemas.openxmlformats.org/officeDocument/2006/relationships/hyperlink" Id="rId66" Target="http://scholar.google.com/scholar_case?case=3692925699656865799" TargetMode="External" /><Relationship Type="http://schemas.openxmlformats.org/officeDocument/2006/relationships/hyperlink" Id="rId97" Target="http://scholar.google.com/scholar_case?case=4174039731032587001" TargetMode="External" /><Relationship Type="http://schemas.openxmlformats.org/officeDocument/2006/relationships/hyperlink" Id="rId78" Target="http://scholar.google.com/scholar_case?case=4398729965656614180" TargetMode="External" /><Relationship Type="http://schemas.openxmlformats.org/officeDocument/2006/relationships/hyperlink" Id="rId92" Target="http://scholar.google.com/scholar_case?case=4833614207083058193" TargetMode="External" /><Relationship Type="http://schemas.openxmlformats.org/officeDocument/2006/relationships/hyperlink" Id="rId98" Target="http://scholar.google.com/scholar_case?case=6229102239124683155" TargetMode="External" /><Relationship Type="http://schemas.openxmlformats.org/officeDocument/2006/relationships/hyperlink" Id="rId116" Target="http://scholar.google.com/scholar_case?case=7581792703482092445" TargetMode="External" /><Relationship Type="http://schemas.openxmlformats.org/officeDocument/2006/relationships/hyperlink" Id="rId104" Target="http://scholar.google.com/scholar_case?case=7750062726823071078" TargetMode="External" /><Relationship Type="http://schemas.openxmlformats.org/officeDocument/2006/relationships/hyperlink" Id="rId62" Target="http://scholar.google.com/scholar_case?case=8066359022809548671" TargetMode="External" /><Relationship Type="http://schemas.openxmlformats.org/officeDocument/2006/relationships/hyperlink" Id="rId82" Target="http://scholar.google.com/scholar_case?case=8358901490325237172" TargetMode="External" /><Relationship Type="http://schemas.openxmlformats.org/officeDocument/2006/relationships/hyperlink" Id="rId33" Target="http://scholar.google.com/scholar_case?case=9210493150407072428" TargetMode="External" /><Relationship Type="http://schemas.openxmlformats.org/officeDocument/2006/relationships/hyperlink" Id="rId53" Target="http://scholar.google.com/scholar_case?case=960951309812304151" TargetMode="External" /><Relationship Type="http://schemas.openxmlformats.org/officeDocument/2006/relationships/hyperlink" Id="rId111" Target="http://scholar.google.com/scholar_case?case=9787575094444941549" TargetMode="External" /><Relationship Type="http://schemas.openxmlformats.org/officeDocument/2006/relationships/hyperlink" Id="rId63" Target="http://scholar.google.com/scholar_case?case=989627832648708428" TargetMode="External" /><Relationship Type="http://schemas.openxmlformats.org/officeDocument/2006/relationships/hyperlink" Id="rId106" Target="http://www.hollywoodreporter.com/thr-esq/louis-vuitton-hangover-2-lawsuit-338650" TargetMode="External" /><Relationship Type="http://schemas.openxmlformats.org/officeDocument/2006/relationships/hyperlink" Id="rId126" Target="http://www.nytimes.com/1989/08/13/us/nastiness-is-not-a-fantasy-in-movie-theme-park-war.html" TargetMode="External" /><Relationship Type="http://schemas.openxmlformats.org/officeDocument/2006/relationships/hyperlink" Id="rId49"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128"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