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deceased’s name, image, and likeness.</w:t>
      </w:r>
    </w:p>
    <w:p>
      <w:pPr>
        <w:pStyle w:val="BodyText"/>
      </w:pPr>
      <w:r>
        <w:t xml:space="preserve">Lawyers in the entertainment industry often refer to</w:t>
      </w:r>
      <w:r>
        <w:t xml:space="preserve"> </w:t>
      </w:r>
      <w:r>
        <w:t xml:space="preserve">“</w:t>
      </w:r>
      <w:r>
        <w:t xml:space="preserve">personality rights,</w:t>
      </w:r>
      <w:r>
        <w:t xml:space="preserve">”</w:t>
      </w:r>
      <w:r>
        <w:t xml:space="preserve"> </w:t>
      </w:r>
      <w:r>
        <w:t xml:space="preserve">which usually means one or both of the following:</w:t>
      </w:r>
    </w:p>
    <w:p>
      <w:pPr>
        <w:pStyle w:val="Compact"/>
        <w:numPr>
          <w:numId w:val="1001"/>
          <w:ilvl w:val="0"/>
        </w:numPr>
      </w:pPr>
      <w:r>
        <w:t xml:space="preserve">The right of publicity, or the right to keep one’s image and likeness from being commercially exploited without permission or contractual compensation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BodyText"/>
      </w:pPr>
      <w:r>
        <w:t xml:space="preserve">Poke around Professor Jennifer Rothman’s excellent site for quick reference to celebrity publicity rights in all 50 states:</w:t>
      </w:r>
      <w:r>
        <w:t xml:space="preserve"> </w:t>
      </w:r>
      <w:hyperlink r:id="rId27">
        <w:r>
          <w:rPr>
            <w:rStyle w:val="Hyperlink"/>
          </w:rPr>
          <w:t xml:space="preserve">Rothman’s Roadmap To The Right of Publicity</w:t>
        </w:r>
      </w:hyperlink>
    </w:p>
    <w:p>
      <w:pPr>
        <w:pStyle w:val="Heading3"/>
      </w:pPr>
      <w:bookmarkStart w:id="28" w:name="early-right-of-publicity-cases"/>
      <w:r>
        <w:t xml:space="preserve">Early</w:t>
      </w:r>
      <w:r>
        <w:t xml:space="preserve"> </w:t>
      </w:r>
      <w:r>
        <w:t xml:space="preserve">“</w:t>
      </w:r>
      <w:r>
        <w:t xml:space="preserve">right of publicity</w:t>
      </w:r>
      <w:r>
        <w:t xml:space="preserve">”</w:t>
      </w:r>
      <w:r>
        <w:t xml:space="preserve"> </w:t>
      </w:r>
      <w:r>
        <w:t xml:space="preserve">cases</w:t>
      </w:r>
      <w:bookmarkEnd w:id="28"/>
    </w:p>
    <w:p>
      <w:pPr>
        <w:pStyle w:val="FirstParagraph"/>
      </w:pPr>
      <w:r>
        <w:t xml:space="preserve">Early right of publicity cases</w:t>
      </w:r>
      <w:r>
        <w:t xml:space="preserve"> </w:t>
      </w:r>
      <w:r>
        <w:t xml:space="preserve">followed the lead of the</w:t>
      </w:r>
      <w:r>
        <w:t xml:space="preserve"> </w:t>
      </w:r>
      <w:hyperlink r:id="rId29">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30">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1"/>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2">
        <w:r>
          <w:rPr>
            <w:rStyle w:val="Hyperlink"/>
          </w:rPr>
          <w:t xml:space="preserve">Rothman’s Roadmap to the Right of Publicity: New York</w:t>
        </w:r>
      </w:hyperlink>
    </w:p>
    <w:p>
      <w:pPr>
        <w:pStyle w:val="BodyText"/>
      </w:pPr>
      <w:r>
        <w:t xml:space="preserve">Likewise, three years later,</w:t>
      </w:r>
      <w:r>
        <w:t xml:space="preserve"> </w:t>
      </w:r>
      <w:r>
        <w:t xml:space="preserve">in</w:t>
      </w:r>
      <w:r>
        <w:t xml:space="preserve"> </w:t>
      </w:r>
      <w:hyperlink r:id="rId33">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4"/>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5">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6">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7" w:name="resources"/>
      <w:r>
        <w:t xml:space="preserve">Resources</w:t>
      </w:r>
      <w:bookmarkEnd w:id="37"/>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27">
        <w:r>
          <w:rPr>
            <w:rStyle w:val="Hyperlink"/>
          </w:rPr>
          <w:t xml:space="preserve">Road Map to the Right of Publicity</w:t>
        </w:r>
      </w:hyperlink>
      <w:r>
        <w:t xml:space="preserve">, free and easy to navigate.</w:t>
      </w:r>
    </w:p>
    <w:p>
      <w:pPr>
        <w:pStyle w:val="Heading3"/>
      </w:pPr>
      <w:bookmarkStart w:id="38" w:name="eugene-volokh"/>
      <w:r>
        <w:t xml:space="preserve">Eugene Volokh</w:t>
      </w:r>
      <w:bookmarkEnd w:id="38"/>
    </w:p>
    <w:p>
      <w:pPr>
        <w:pStyle w:val="FirstParagraph"/>
      </w:pPr>
      <w:r>
        <w:t xml:space="preserve">In 2003, Volokh stated the tension between the right of publicity and the First Amendment:</w:t>
      </w:r>
    </w:p>
    <w:p>
      <w:pPr>
        <w:pStyle w:val="Heading6"/>
      </w:pPr>
      <w:bookmarkStart w:id="39" w:name="X9a134b71b515e620a6803f458fd37d708f8dc63"/>
      <w:r>
        <w:t xml:space="preserve">Freedom of Speech and the Right of Publicity</w:t>
      </w:r>
      <w:bookmarkEnd w:id="39"/>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40" w:name="major-right-of-publicity-cases"/>
      <w:r>
        <w:t xml:space="preserve">Major Right Of Publicity Cases</w:t>
      </w:r>
      <w:bookmarkEnd w:id="40"/>
    </w:p>
    <w:p>
      <w:pPr>
        <w:pStyle w:val="Heading3"/>
      </w:pPr>
      <w:bookmarkStart w:id="41" w:name="Xa4630cbf1c6de1e9f75f52fbc68b722b8be3de7"/>
      <w:r>
        <w:t xml:space="preserve">ML King Jr. Center v. American Heritage Products</w:t>
      </w:r>
      <w:bookmarkEnd w:id="41"/>
    </w:p>
    <w:p>
      <w:pPr>
        <w:pStyle w:val="Heading6"/>
      </w:pPr>
      <w:bookmarkStart w:id="42" w:name="georgia-supreme-court-1982"/>
      <w:r>
        <w:t xml:space="preserve">Georgia Supreme Court (1982)</w:t>
      </w:r>
      <w:bookmarkEnd w:id="42"/>
    </w:p>
    <w:p>
      <w:pPr>
        <w:pStyle w:val="Compact"/>
        <w:numPr>
          <w:numId w:val="1002"/>
          <w:ilvl w:val="0"/>
        </w:numPr>
      </w:pPr>
      <w:hyperlink r:id="rId43">
        <w:r>
          <w:rPr>
            <w:rStyle w:val="Hyperlink"/>
          </w:rPr>
          <w:t xml:space="preserve">case on Google Scholar</w:t>
        </w:r>
      </w:hyperlink>
    </w:p>
    <w:p>
      <w:pPr>
        <w:pStyle w:val="Compact"/>
        <w:numPr>
          <w:numId w:val="1002"/>
          <w:ilvl w:val="0"/>
        </w:numPr>
      </w:pPr>
      <w:hyperlink r:id="rId44">
        <w:r>
          <w:rPr>
            <w:rStyle w:val="Hyperlink"/>
          </w:rPr>
          <w:t xml:space="preserve">Casebrief</w:t>
        </w:r>
      </w:hyperlink>
      <w:r>
        <w:t xml:space="preserve">.</w:t>
      </w:r>
    </w:p>
    <w:p>
      <w:pPr>
        <w:pStyle w:val="Compact"/>
        <w:numPr>
          <w:numId w:val="1002"/>
          <w:ilvl w:val="0"/>
        </w:numPr>
      </w:pPr>
      <w:hyperlink r:id="rId45">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 </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6" w:name="excerpts-from-the-case"/>
      <w:r>
        <w:t xml:space="preserve">Excerpts From The Case</w:t>
      </w:r>
      <w:bookmarkEnd w:id="46"/>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7" w:name="X498d2c09478517bcc238f190102ada855759c74"/>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7"/>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30">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3">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3">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3">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3">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3">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8">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8">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5">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8">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9">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9">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3">
        <w:r>
          <w:rPr>
            <w:i/>
            <w:rStyle w:val="Hyperlink"/>
          </w:rPr>
          <w:t xml:space="preserve">Pavesich</w:t>
        </w:r>
      </w:hyperlink>
      <w:r>
        <w:t xml:space="preserve">. In the latter class, the measure of damages is the value of the use of the appropriated publicity.</w:t>
      </w:r>
      <w:r>
        <w:t xml:space="preserve"> </w:t>
      </w:r>
      <w:hyperlink r:id="rId49">
        <w:r>
          <w:rPr>
            <w:i/>
            <w:rStyle w:val="Hyperlink"/>
          </w:rPr>
          <w:t xml:space="preserve">Hipsley</w:t>
        </w:r>
      </w:hyperlink>
      <w:r>
        <w:t xml:space="preserve">.</w:t>
      </w:r>
    </w:p>
    <w:p>
      <w:pPr>
        <w:pStyle w:val="FirstParagraph"/>
      </w:pPr>
      <w:r>
        <w:t xml:space="preserve">In</w:t>
      </w:r>
      <w:r>
        <w:t xml:space="preserve"> </w:t>
      </w:r>
      <w:hyperlink r:id="rId50">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3">
        <w:r>
          <w:rPr>
            <w:i/>
            <w:rStyle w:val="Hyperlink"/>
          </w:rPr>
          <w:t xml:space="preserve">Pavesich</w:t>
        </w:r>
      </w:hyperlink>
      <w:r>
        <w:t xml:space="preserve">, as well as entertainers,</w:t>
      </w:r>
      <w:r>
        <w:t xml:space="preserve"> </w:t>
      </w:r>
      <w:hyperlink r:id="rId49">
        <w:r>
          <w:rPr>
            <w:i/>
            <w:rStyle w:val="Hyperlink"/>
          </w:rPr>
          <w:t xml:space="preserve">Hipsley</w:t>
        </w:r>
      </w:hyperlink>
      <w:r>
        <w:t xml:space="preserve"> </w:t>
      </w:r>
      <w:r>
        <w:t xml:space="preserve">and</w:t>
      </w:r>
      <w:r>
        <w:t xml:space="preserve"> </w:t>
      </w:r>
      <w:hyperlink r:id="rId50">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3">
        <w:r>
          <w:rPr>
            <w:i/>
            <w:rStyle w:val="Hyperlink"/>
          </w:rPr>
          <w:t xml:space="preserve">Pavesich,</w:t>
        </w:r>
      </w:hyperlink>
      <w:r>
        <w:t xml:space="preserve">, this right not to have another appropriate one’s photograph was denominated the right of privacy; in</w:t>
      </w:r>
      <w:r>
        <w:t xml:space="preserve"> </w:t>
      </w:r>
      <w:hyperlink r:id="rId49">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1" w:name="X75a795514dcf42ee09ba120ec393e5d7afacba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1"/>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3">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5">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2">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3">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4">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5" w:name="weltner-justice-concurring-specially."/>
      <w:r>
        <w:t xml:space="preserve">WELTNER, Justice, concurring specially.</w:t>
      </w:r>
      <w:bookmarkEnd w:id="55"/>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3">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6" w:name="Xffb25ba8a898378f287b13842f141bf6e49f538"/>
      <w:r>
        <w:t xml:space="preserve">Zacchini v. Scripps-Howard Broadcasting Co.</w:t>
      </w:r>
      <w:bookmarkEnd w:id="56"/>
    </w:p>
    <w:p>
      <w:pPr>
        <w:pStyle w:val="Heading6"/>
      </w:pPr>
      <w:bookmarkStart w:id="57" w:name="united-states-supreme-court-1977"/>
      <w:r>
        <w:t xml:space="preserve">United States Supreme Court (1977)</w:t>
      </w:r>
      <w:bookmarkEnd w:id="57"/>
    </w:p>
    <w:p>
      <w:pPr>
        <w:pStyle w:val="Compact"/>
        <w:numPr>
          <w:numId w:val="1004"/>
          <w:ilvl w:val="0"/>
        </w:numPr>
      </w:pPr>
      <w:hyperlink r:id="rId58">
        <w:r>
          <w:rPr>
            <w:rStyle w:val="Hyperlink"/>
          </w:rPr>
          <w:t xml:space="preserve">Zacchini on Google Scholar</w:t>
        </w:r>
      </w:hyperlink>
    </w:p>
    <w:p>
      <w:pPr>
        <w:pStyle w:val="Compact"/>
        <w:numPr>
          <w:numId w:val="1004"/>
          <w:ilvl w:val="0"/>
        </w:numPr>
      </w:pPr>
      <w:hyperlink r:id="rId59">
        <w:r>
          <w:rPr>
            <w:rStyle w:val="Hyperlink"/>
          </w:rPr>
          <w:t xml:space="preserve">Zacchini on Wikipedia</w:t>
        </w:r>
      </w:hyperlink>
    </w:p>
    <w:p>
      <w:pPr>
        <w:pStyle w:val="Compact"/>
        <w:numPr>
          <w:numId w:val="1004"/>
          <w:ilvl w:val="0"/>
        </w:numPr>
      </w:pPr>
      <w:hyperlink r:id="rId60">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hyperlink r:id="rId62">
        <w:r>
          <w:rPr>
            <w:i/>
            <w:rStyle w:val="Hyperlink"/>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3">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4" w:name="ii"/>
      <w:r>
        <w:t xml:space="preserve">II</w:t>
      </w:r>
      <w:bookmarkEnd w:id="64"/>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2">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2">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2">
        <w:r>
          <w:rPr>
            <w:i/>
            <w:rStyle w:val="Hyperlink"/>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2">
        <w:r>
          <w:rPr>
            <w:i/>
            <w:rStyle w:val="Hyperlink"/>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2">
        <w:r>
          <w:rPr>
            <w:i/>
            <w:rStyle w:val="Hyperlink"/>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2">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2">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2">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X689b175be510ccbc4fb16de8338f1c555f50eef"/>
      <w: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Compact"/>
        <w:numPr>
          <w:numId w:val="1005"/>
          <w:ilvl w:val="0"/>
        </w:numPr>
      </w:pPr>
      <w:hyperlink r:id="rId75">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6" w:name="right-of-publicity-1"/>
      <w:r>
        <w:t xml:space="preserve">Right of Publicity</w:t>
      </w:r>
      <w:bookmarkEnd w:id="76"/>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7">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8">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8">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8">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9">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9">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80">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1">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2">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3" w:name="policies-behind-right-of-publicity"/>
      <w:r>
        <w:t xml:space="preserve">Policies Behind Right of Publicity</w:t>
      </w:r>
      <w:bookmarkEnd w:id="83"/>
    </w:p>
    <w:p>
      <w:pPr>
        <w:pStyle w:val="FirstParagraph"/>
      </w:pPr>
      <w:r>
        <w:t xml:space="preserve">The three primary policy considerations behind the right of publicity are succinctly stated in</w:t>
      </w:r>
      <w:r>
        <w:t xml:space="preserve"> </w:t>
      </w:r>
      <w:hyperlink r:id="rId84">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8">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8">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5" w:name="Xdc5f16e43b3090420d60e62bae4c49c9a02a9c8"/>
      <w:r>
        <w:t xml:space="preserve">Countervailing Interests and Considerations</w:t>
      </w:r>
      <w:bookmarkEnd w:id="85"/>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6" w:name="federal-policy-monopolies"/>
      <w:r>
        <w:t xml:space="preserve">Federal Policy: Monopolies</w:t>
      </w:r>
      <w:bookmarkEnd w:id="86"/>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8">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7" w:name="X34adf0e6776ea53284ec8d86d228b2dea12a659"/>
      <w:r>
        <w:t xml:space="preserve">Free Expression and Use of Intellectual Property</w:t>
      </w:r>
      <w:bookmarkEnd w:id="87"/>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8">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8" w:name="X2baf4eea692a5d1d5c23cce20d38dcfb3c80c14"/>
      <w:r>
        <w:t xml:space="preserve">White v. Samsung Electronics America, Inc.</w:t>
      </w:r>
      <w:bookmarkEnd w:id="88"/>
    </w:p>
    <w:p>
      <w:pPr>
        <w:pStyle w:val="Heading6"/>
      </w:pPr>
      <w:bookmarkStart w:id="89" w:name="us-court-of-appeals-9th-circuit-1992"/>
      <w:r>
        <w:t xml:space="preserve">US Court of Appeals, 9th Circuit (1992)</w:t>
      </w:r>
      <w:bookmarkEnd w:id="89"/>
    </w:p>
    <w:p>
      <w:pPr>
        <w:pStyle w:val="Compact"/>
        <w:numPr>
          <w:numId w:val="1007"/>
          <w:ilvl w:val="0"/>
        </w:numPr>
      </w:pPr>
      <w:hyperlink r:id="rId90">
        <w:r>
          <w:rPr>
            <w:rStyle w:val="Hyperlink"/>
          </w:rPr>
          <w:t xml:space="preserve">case on Google Scholar</w:t>
        </w:r>
      </w:hyperlink>
    </w:p>
    <w:p>
      <w:pPr>
        <w:pStyle w:val="Compact"/>
        <w:numPr>
          <w:numId w:val="1007"/>
          <w:ilvl w:val="0"/>
        </w:numPr>
      </w:pPr>
      <w:hyperlink r:id="rId91">
        <w:r>
          <w:rPr>
            <w:rStyle w:val="Hyperlink"/>
          </w:rPr>
          <w:t xml:space="preserve">case on Westlaw</w:t>
        </w:r>
      </w:hyperlink>
    </w:p>
    <w:p>
      <w:pPr>
        <w:pStyle w:val="Compact"/>
        <w:numPr>
          <w:numId w:val="1007"/>
          <w:ilvl w:val="0"/>
        </w:numPr>
      </w:pPr>
      <w:hyperlink r:id="rId92">
        <w:r>
          <w:rPr>
            <w:rStyle w:val="Hyperlink"/>
          </w:rPr>
          <w:t xml:space="preserve">Pace Law Review Casenote</w:t>
        </w:r>
      </w:hyperlink>
      <w:r>
        <w:t xml:space="preserve">.</w:t>
      </w:r>
    </w:p>
    <w:p>
      <w:pPr>
        <w:pStyle w:val="Compact"/>
        <w:numPr>
          <w:numId w:val="1007"/>
          <w:ilvl w:val="0"/>
        </w:numPr>
      </w:pPr>
      <w:hyperlink r:id="rId93">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 </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4" w:name="i.-section-3344"/>
      <w:r>
        <w:t xml:space="preserve">I.</w:t>
      </w:r>
      <w:r>
        <w:t xml:space="preserve"> </w:t>
      </w:r>
      <w:r>
        <w:rPr>
          <w:i/>
        </w:rPr>
        <w:t xml:space="preserve">Section 3344</w:t>
      </w:r>
      <w:bookmarkEnd w:id="94"/>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5">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6" w:name="ii.-right-of-publicity"/>
      <w:r>
        <w:t xml:space="preserve">II.</w:t>
      </w:r>
      <w:r>
        <w:t xml:space="preserve"> </w:t>
      </w:r>
      <w:r>
        <w:rPr>
          <w:i/>
        </w:rPr>
        <w:t xml:space="preserve">Right of Publicity</w:t>
      </w:r>
      <w:bookmarkEnd w:id="96"/>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7">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80">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8" w:name="iv.-the-parody-defense"/>
      <w:r>
        <w:t xml:space="preserve">IV.</w:t>
      </w:r>
      <w:r>
        <w:t xml:space="preserve"> </w:t>
      </w:r>
      <w:r>
        <w:rPr>
          <w:i/>
        </w:rPr>
        <w:t xml:space="preserve">The Parody Defense</w:t>
      </w:r>
      <w:bookmarkEnd w:id="98"/>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9">
        <w:r>
          <w:rPr>
            <w:i/>
            <w:rStyle w:val="Hyperlink"/>
          </w:rPr>
          <w:t xml:space="preserve">Hustler Magazine v. Falwell</w:t>
        </w:r>
      </w:hyperlink>
      <w:r>
        <w:t xml:space="preserve"> </w:t>
      </w:r>
      <w:r>
        <w:t xml:space="preserve">(US 1988)</w:t>
      </w:r>
      <w:r>
        <w:t xml:space="preserve"> </w:t>
      </w:r>
      <w:r>
        <w:t xml:space="preserve">and</w:t>
      </w:r>
      <w:r>
        <w:t xml:space="preserve"> </w:t>
      </w:r>
      <w:hyperlink r:id="rId100">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101" w:name="v.-conclusion"/>
      <w:r>
        <w:t xml:space="preserve">V.</w:t>
      </w:r>
      <w:r>
        <w:t xml:space="preserve"> </w:t>
      </w:r>
      <w:r>
        <w:rPr>
          <w:i/>
        </w:rPr>
        <w:t xml:space="preserve">Conclusion</w:t>
      </w:r>
      <w:bookmarkEnd w:id="101"/>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2" w:name="dissent"/>
      <w:r>
        <w:t xml:space="preserve">Dissent</w:t>
      </w:r>
      <w:bookmarkEnd w:id="102"/>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3" w:name="white-v.-samsung-electronics-inc."/>
      <w:r>
        <w:t xml:space="preserve">White v. Samsung Electronics, Inc.</w:t>
      </w:r>
      <w:bookmarkEnd w:id="103"/>
    </w:p>
    <w:p>
      <w:pPr>
        <w:pStyle w:val="Heading6"/>
      </w:pPr>
      <w:bookmarkStart w:id="104" w:name="us-court-of-appeals-9th-circuit-1993"/>
      <w:r>
        <w:t xml:space="preserve">US Court of Appeals, 9th Circuit (1993)</w:t>
      </w:r>
      <w:bookmarkEnd w:id="104"/>
    </w:p>
    <w:p>
      <w:pPr>
        <w:pStyle w:val="Compact"/>
        <w:numPr>
          <w:numId w:val="1009"/>
          <w:ilvl w:val="0"/>
        </w:numPr>
      </w:pPr>
      <w:hyperlink r:id="rId90">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5">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6">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7" w:name="criminal-celebrities"/>
      <w:r>
        <w:t xml:space="preserve">Criminal Celebrities</w:t>
      </w:r>
      <w:bookmarkEnd w:id="107"/>
    </w:p>
    <w:p>
      <w:pPr>
        <w:pStyle w:val="Heading3"/>
      </w:pPr>
      <w:bookmarkStart w:id="108" w:name="X0145a9eb00da7f7af06a92f8beb057fadc465e3"/>
      <w:r>
        <w:rPr>
          <w:i/>
        </w:rPr>
        <w:t xml:space="preserve">Simon &amp; Schuster, Inc. v. Members of NY State Crime Victims Bd.</w:t>
      </w:r>
      <w:bookmarkEnd w:id="108"/>
    </w:p>
    <w:p>
      <w:pPr>
        <w:pStyle w:val="Heading5"/>
      </w:pPr>
      <w:bookmarkStart w:id="109" w:name="united-states-supreme-court-1991"/>
      <w:r>
        <w:t xml:space="preserve">United States Supreme Court (1991)</w:t>
      </w:r>
      <w:bookmarkEnd w:id="109"/>
    </w:p>
    <w:p>
      <w:pPr>
        <w:pStyle w:val="Compact"/>
        <w:numPr>
          <w:numId w:val="1010"/>
          <w:ilvl w:val="0"/>
        </w:numPr>
      </w:pPr>
      <w:hyperlink r:id="rId110">
        <w:r>
          <w:rPr>
            <w:rStyle w:val="Hyperlink"/>
          </w:rPr>
          <w:t xml:space="preserve">Case on Google Scholar</w:t>
        </w:r>
      </w:hyperlink>
    </w:p>
    <w:p>
      <w:pPr>
        <w:pStyle w:val="Compact"/>
        <w:numPr>
          <w:numId w:val="1010"/>
          <w:ilvl w:val="0"/>
        </w:numPr>
      </w:pPr>
      <w:hyperlink r:id="rId111">
        <w:r>
          <w:rPr>
            <w:rStyle w:val="Hyperlink"/>
          </w:rPr>
          <w:t xml:space="preserve">Case on Westlaw</w:t>
        </w:r>
      </w:hyperlink>
    </w:p>
    <w:p>
      <w:pPr>
        <w:pStyle w:val="Compact"/>
        <w:numPr>
          <w:numId w:val="1010"/>
          <w:ilvl w:val="0"/>
        </w:numPr>
      </w:pPr>
      <w:hyperlink r:id="rId112">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3" w:name="i.a."/>
      <w:r>
        <w:t xml:space="preserve">I.A.</w:t>
      </w:r>
      <w:bookmarkEnd w:id="113"/>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4" w:name="i.b."/>
      <w:r>
        <w:t xml:space="preserve">I.B.</w:t>
      </w:r>
      <w:bookmarkEnd w:id="114"/>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5" w:name="i.c."/>
      <w:r>
        <w:t xml:space="preserve">I.C.</w:t>
      </w:r>
      <w:bookmarkEnd w:id="115"/>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6" w:name="ii.a."/>
      <w:r>
        <w:t xml:space="preserve">II.A.</w:t>
      </w:r>
      <w:bookmarkEnd w:id="116"/>
    </w:p>
    <w:p>
      <w:pPr>
        <w:pStyle w:val="FirstParagraph"/>
      </w:pPr>
      <w:r>
        <w:t xml:space="preserve">A statute is presumptively inconsistent with the First Amendment if it imposes a financial burden on speakers because of the content of their speech.</w:t>
      </w:r>
      <w:r>
        <w:t xml:space="preserve"> </w:t>
      </w:r>
      <w:hyperlink r:id="rId117">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8">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7">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7">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9">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8">
        <w:r>
          <w:rPr>
            <w:i/>
            <w:rStyle w:val="Hyperlink"/>
          </w:rPr>
          <w:t xml:space="preserve">Arkansas Writers’ Project,</w:t>
        </w:r>
      </w:hyperlink>
      <w:r>
        <w:t xml:space="preserve">.</w:t>
      </w:r>
    </w:p>
    <w:p>
      <w:pPr>
        <w:pStyle w:val="Heading3"/>
      </w:pPr>
      <w:bookmarkStart w:id="120" w:name="ii.b."/>
      <w:r>
        <w:t xml:space="preserve">II.B.</w:t>
      </w:r>
      <w:bookmarkEnd w:id="120"/>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9">
        <w:r>
          <w:rPr>
            <w:i/>
            <w:rStyle w:val="Hyperlink"/>
          </w:rPr>
          <w:t xml:space="preserve">Hustler</w:t>
        </w:r>
      </w:hyperlink>
      <w:r>
        <w:t xml:space="preserve"> </w:t>
      </w:r>
      <w:r>
        <w:t xml:space="preserve">quoting</w:t>
      </w:r>
      <w:r>
        <w:t xml:space="preserve"> </w:t>
      </w:r>
      <w:hyperlink r:id="rId121">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2" w:name="ii.c."/>
      <w:r>
        <w:t xml:space="preserve">II.C.</w:t>
      </w:r>
      <w:bookmarkEnd w:id="122"/>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3" w:name="iii"/>
      <w:r>
        <w:t xml:space="preserve">III</w:t>
      </w:r>
      <w:bookmarkEnd w:id="123"/>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4" w:name="son-of-sam-laws"/>
      <w:r>
        <w:t xml:space="preserve">Son of Sam Laws</w:t>
      </w:r>
      <w:bookmarkEnd w:id="124"/>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5">
        <w:r>
          <w:rPr>
            <w:rStyle w:val="Hyperlink"/>
          </w:rPr>
          <w:t xml:space="preserve">Wikipedia: Son of Sam Law</w:t>
        </w:r>
      </w:hyperlink>
      <w:r>
        <w:t xml:space="preserve">.</w:t>
      </w:r>
    </w:p>
    <w:p>
      <w:pPr>
        <w:pStyle w:val="Heading2"/>
      </w:pPr>
      <w:bookmarkStart w:id="126" w:name="transformation"/>
      <w:r>
        <w:t xml:space="preserve">Transformation</w:t>
      </w:r>
      <w:bookmarkEnd w:id="126"/>
    </w:p>
    <w:p>
      <w:pPr>
        <w:pStyle w:val="Heading3"/>
      </w:pPr>
      <w:bookmarkStart w:id="127" w:name="X23ee939bdc1cbe1c9f9e5c7dbf9e11edd4ec294"/>
      <w:r>
        <w:rPr>
          <w:i/>
        </w:rPr>
        <w:t xml:space="preserve">Comedy III Productions v. Gary Saderup, Inc.</w:t>
      </w:r>
      <w:bookmarkEnd w:id="127"/>
    </w:p>
    <w:p>
      <w:pPr>
        <w:pStyle w:val="Heading6"/>
      </w:pPr>
      <w:bookmarkStart w:id="128" w:name="california-supreme-court-2001"/>
      <w:r>
        <w:t xml:space="preserve">California Supreme Court (2001)</w:t>
      </w:r>
      <w:bookmarkEnd w:id="128"/>
    </w:p>
    <w:p>
      <w:pPr>
        <w:pStyle w:val="Compact"/>
        <w:numPr>
          <w:numId w:val="1011"/>
          <w:ilvl w:val="0"/>
        </w:numPr>
      </w:pPr>
      <w:hyperlink r:id="rId129">
        <w:r>
          <w:rPr>
            <w:rStyle w:val="Hyperlink"/>
          </w:rPr>
          <w:t xml:space="preserve">case at Google Scholar</w:t>
        </w:r>
      </w:hyperlink>
    </w:p>
    <w:p>
      <w:pPr>
        <w:pStyle w:val="Compact"/>
        <w:numPr>
          <w:numId w:val="1011"/>
          <w:ilvl w:val="0"/>
        </w:numPr>
      </w:pPr>
      <w:hyperlink r:id="rId93">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30" w:name="i.-the-statute"/>
      <w:r>
        <w:t xml:space="preserve">I. The Statute</w:t>
      </w:r>
      <w:bookmarkEnd w:id="130"/>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4">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31" w:name="ii.-facts"/>
      <w:r>
        <w:t xml:space="preserve">II. Facts</w:t>
      </w:r>
      <w:bookmarkEnd w:id="131"/>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2" w:name="iii.-discussion"/>
      <w:r>
        <w:t xml:space="preserve">III. Discussion</w:t>
      </w:r>
      <w:bookmarkEnd w:id="132"/>
    </w:p>
    <w:p>
      <w:pPr>
        <w:pStyle w:val="Heading4"/>
      </w:pPr>
      <w:bookmarkStart w:id="133" w:name="a.-the-statutory-issue"/>
      <w:r>
        <w:rPr>
          <w:i/>
        </w:rPr>
        <w:t xml:space="preserve">A. The Statutory Issue</w:t>
      </w:r>
      <w:bookmarkEnd w:id="133"/>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4" w:name="b.-the-constitutional-issue"/>
      <w:r>
        <w:rPr>
          <w:i/>
        </w:rPr>
        <w:t xml:space="preserve">B. The Constitutional Issue</w:t>
      </w:r>
      <w:bookmarkEnd w:id="134"/>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5">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5">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4">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8">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4">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5">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6">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8">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7">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7">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9">
        <w:r>
          <w:rPr>
            <w:i/>
            <w:rStyle w:val="Hyperlink"/>
          </w:rPr>
          <w:t xml:space="preserve">Hustler Magazine v. Falwell</w:t>
        </w:r>
      </w:hyperlink>
      <w:r>
        <w:t xml:space="preserve">; see also</w:t>
      </w:r>
      <w:r>
        <w:t xml:space="preserve"> </w:t>
      </w:r>
      <w:hyperlink r:id="rId136">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8">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9">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40" w:name="iv.-disposition"/>
      <w:r>
        <w:t xml:space="preserve">IV. Disposition</w:t>
      </w:r>
      <w:bookmarkEnd w:id="140"/>
    </w:p>
    <w:p>
      <w:pPr>
        <w:pStyle w:val="FirstParagraph"/>
      </w:pPr>
      <w:r>
        <w:t xml:space="preserve">The judgment of the Court of Appeal is affirmed.</w:t>
      </w:r>
    </w:p>
    <w:p>
      <w:pPr>
        <w:pStyle w:val="Heading2"/>
      </w:pPr>
      <w:bookmarkStart w:id="141" w:name="recent-cases"/>
      <w:r>
        <w:t xml:space="preserve">Recent Cases</w:t>
      </w:r>
      <w:bookmarkEnd w:id="141"/>
    </w:p>
    <w:p>
      <w:pPr>
        <w:pStyle w:val="Heading3"/>
      </w:pPr>
      <w:bookmarkStart w:id="142" w:name="de-havilland-v.-fx"/>
      <w:r>
        <w:t xml:space="preserve">De Havilland v. FX</w:t>
      </w:r>
      <w:bookmarkEnd w:id="142"/>
    </w:p>
    <w:p>
      <w:pPr>
        <w:pStyle w:val="Heading6"/>
      </w:pPr>
      <w:bookmarkStart w:id="143" w:name="california-court-of-appeal-2018"/>
      <w:r>
        <w:t xml:space="preserve">California Court of Appeal (2018)</w:t>
      </w:r>
      <w:bookmarkEnd w:id="143"/>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pStyle w:val="Compact"/>
        <w:numPr>
          <w:numId w:val="1013"/>
          <w:ilvl w:val="0"/>
        </w:numPr>
      </w:pPr>
      <w:r>
        <w:t xml:space="preserve">violations of her statutory right of publicity;</w:t>
      </w:r>
    </w:p>
    <w:p>
      <w:pPr>
        <w:pStyle w:val="Compact"/>
        <w:numPr>
          <w:numId w:val="1013"/>
          <w:ilvl w:val="0"/>
        </w:numPr>
      </w:pPr>
      <w:r>
        <w:t xml:space="preserve">misappropriation;</w:t>
      </w:r>
    </w:p>
    <w:p>
      <w:pPr>
        <w:pStyle w:val="Compact"/>
        <w:numPr>
          <w:numId w:val="1013"/>
          <w:ilvl w:val="0"/>
        </w:numPr>
      </w:pPr>
      <w:r>
        <w:t xml:space="preserve">false light invasion of privacy</w:t>
      </w:r>
    </w:p>
    <w:p>
      <w:pPr>
        <w:pStyle w:val="Compact"/>
        <w:numPr>
          <w:numId w:val="1013"/>
          <w:ilvl w:val="0"/>
        </w:numPr>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pStyle w:val="Compact"/>
        <w:numPr>
          <w:numId w:val="1014"/>
          <w:ilvl w:val="0"/>
        </w:numPr>
      </w:pPr>
      <w:r>
        <w:t xml:space="preserve">the miniseries was speech that was fully protected by First Amendment;</w:t>
      </w:r>
    </w:p>
    <w:p>
      <w:pPr>
        <w:pStyle w:val="Compact"/>
        <w:numPr>
          <w:numId w:val="1014"/>
          <w:ilvl w:val="0"/>
        </w:numPr>
      </w:pPr>
      <w:r>
        <w:t xml:space="preserve">the portrayal of De Havilland was sufficiently transformative, and thus was entitled to First Amendment protection;</w:t>
      </w:r>
    </w:p>
    <w:p>
      <w:pPr>
        <w:pStyle w:val="Compact"/>
        <w:numPr>
          <w:numId w:val="1014"/>
          <w:ilvl w:val="0"/>
        </w:numPr>
      </w:pPr>
      <w:r>
        <w:t xml:space="preserve">the portrayal of De Havilland engaging in fictitious interview and making comment was not defamatory and would not highly offend reasonable person, as required for false light claim;</w:t>
      </w:r>
    </w:p>
    <w:p>
      <w:pPr>
        <w:pStyle w:val="Compact"/>
        <w:numPr>
          <w:numId w:val="1014"/>
          <w:ilvl w:val="0"/>
        </w:numPr>
      </w:pPr>
      <w:r>
        <w:t xml:space="preserve">the portrayal of De Havilland as twice using obscenity to refer to sister was not highly offensive and were substantially truthful, given her actual words, as required for false light claim; and</w:t>
      </w:r>
    </w:p>
    <w:p>
      <w:pPr>
        <w:pStyle w:val="Compact"/>
        <w:numPr>
          <w:numId w:val="1014"/>
          <w:ilvl w:val="0"/>
        </w:numPr>
      </w:pPr>
      <w:r>
        <w:t xml:space="preserve">De Havilland failed to show probability of proving malice, as required to preclude dismissal of false light claim under anti-SLAPP statute.</w:t>
      </w:r>
    </w:p>
    <w:p>
      <w:pPr>
        <w:pStyle w:val="Heading3"/>
      </w:pPr>
      <w:bookmarkStart w:id="144" w:name="sarver-v.-chartier-entertainment"/>
      <w:r>
        <w:t xml:space="preserve">Sarver v. Chartier Entertainment</w:t>
      </w:r>
      <w:bookmarkEnd w:id="144"/>
    </w:p>
    <w:p>
      <w:pPr>
        <w:pStyle w:val="Heading6"/>
      </w:pPr>
      <w:bookmarkStart w:id="145" w:name="us-court-of-appeals-9th-circuit-2016"/>
      <w:r>
        <w:t xml:space="preserve">US Court of Appeals, 9th Circuit (2016)</w:t>
      </w:r>
      <w:bookmarkEnd w:id="145"/>
    </w:p>
    <w:p>
      <w:pPr>
        <w:pStyle w:val="Compact"/>
        <w:numPr>
          <w:numId w:val="1015"/>
          <w:ilvl w:val="0"/>
        </w:numPr>
      </w:pPr>
      <w:hyperlink r:id="rId146">
        <w:r>
          <w:rPr>
            <w:rStyle w:val="Hyperlink"/>
          </w:rPr>
          <w:t xml:space="preserve">Case at Google Scholar</w:t>
        </w:r>
      </w:hyperlink>
    </w:p>
    <w:p>
      <w:pPr>
        <w:pStyle w:val="Heading4"/>
      </w:pPr>
      <w:bookmarkStart w:id="147" w:name="case-excerpts"/>
      <w:r>
        <w:t xml:space="preserve">Case Excerpts</w:t>
      </w:r>
      <w:bookmarkEnd w:id="147"/>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 The Hurt Locker,</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p>
      <w:pPr>
        <w:pStyle w:val="Heading4"/>
      </w:pPr>
      <w:bookmarkStart w:id="148" w:name="california-right-of-publicity"/>
      <w:r>
        <w:t xml:space="preserve">California Right of Publicity</w:t>
      </w:r>
      <w:bookmarkEnd w:id="148"/>
    </w:p>
    <w:p>
      <w:pPr>
        <w:pStyle w:val="FirstParagraph"/>
      </w:pPr>
      <w:r>
        <w:t xml:space="preserve">We have interpreted Zacchini 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9">
        <w:r>
          <w:rPr>
            <w:rStyle w:val="Hyperlink"/>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50">
        <w:r>
          <w:rPr>
            <w:rStyle w:val="Hyperlink"/>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50">
        <w:r>
          <w:rPr>
            <w:rStyle w:val="Hyperlink"/>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 The Hurt Locker 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 Zacchini, Hilton, and Keller,</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r>
        <w:t xml:space="preserve">[Zacchini][zachini],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 The Hurt Locker 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p>
      <w:pPr>
        <w:pStyle w:val="Heading4"/>
      </w:pPr>
      <w:bookmarkStart w:id="151" w:name="sarver-holdings"/>
      <w:r>
        <w:t xml:space="preserve">Sarver Holdings</w:t>
      </w:r>
      <w:bookmarkEnd w:id="151"/>
    </w:p>
    <w:p>
      <w:pPr>
        <w:pStyle w:val="FirstParagraph"/>
      </w:pPr>
      <w:r>
        <w:t xml:space="preserve">The Court of Appeals, O’Scannlain, Circuit Judge, held that:</w:t>
      </w:r>
    </w:p>
    <w:p>
      <w:pPr>
        <w:pStyle w:val="Compact"/>
        <w:numPr>
          <w:numId w:val="1016"/>
          <w:ilvl w:val="0"/>
        </w:numPr>
      </w:pPr>
      <w:r>
        <w:t xml:space="preserve">California law applied;</w:t>
      </w:r>
    </w:p>
    <w:p>
      <w:pPr>
        <w:pStyle w:val="Compact"/>
        <w:numPr>
          <w:numId w:val="1016"/>
          <w:ilvl w:val="0"/>
        </w:numPr>
      </w:pPr>
      <w:r>
        <w:t xml:space="preserve">anti-SLAPP statute’s 60-day time limit for motion to strike complaint did not apply;</w:t>
      </w:r>
    </w:p>
    <w:p>
      <w:pPr>
        <w:pStyle w:val="Compact"/>
        <w:numPr>
          <w:numId w:val="1016"/>
          <w:ilvl w:val="0"/>
        </w:numPr>
      </w:pPr>
      <w:r>
        <w:t xml:space="preserve">motion picture portrayed issues of public concern, as required for dismissal pursuant to anti-SLAPP statute;</w:t>
      </w:r>
    </w:p>
    <w:p>
      <w:pPr>
        <w:pStyle w:val="Compact"/>
        <w:numPr>
          <w:numId w:val="1016"/>
          <w:ilvl w:val="0"/>
        </w:numPr>
      </w:pPr>
      <w:r>
        <w:t xml:space="preserve">sergeant failed to state and substantiate legally sufficient right of publicity claim, and thus claim was subject to dismissal pursuant to anti-SLAPP statute;</w:t>
      </w:r>
    </w:p>
    <w:p>
      <w:pPr>
        <w:pStyle w:val="Compact"/>
        <w:numPr>
          <w:numId w:val="1016"/>
          <w:ilvl w:val="0"/>
        </w:numPr>
      </w:pPr>
      <w:r>
        <w:t xml:space="preserve">motion picture’s depiction of sergeant was not defamatory; and</w:t>
      </w:r>
    </w:p>
    <w:p>
      <w:pPr>
        <w:pStyle w:val="Compact"/>
        <w:numPr>
          <w:numId w:val="1016"/>
          <w:ilvl w:val="0"/>
        </w:numPr>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p>
      <w:pPr>
        <w:pStyle w:val="Heading3"/>
      </w:pPr>
      <w:bookmarkStart w:id="152" w:name="other-cases-mentioned-in-class"/>
      <w:r>
        <w:t xml:space="preserve">Other Cases Mentioned In Class</w:t>
      </w:r>
      <w:bookmarkEnd w:id="152"/>
    </w:p>
    <w:p>
      <w:pPr>
        <w:pStyle w:val="Heading4"/>
      </w:pPr>
      <w:bookmarkStart w:id="153" w:name="parks-v.-laface-records"/>
      <w:r>
        <w:rPr>
          <w:i/>
        </w:rPr>
        <w:t xml:space="preserve">Parks v. LaFace Records</w:t>
      </w:r>
      <w:bookmarkEnd w:id="153"/>
    </w:p>
    <w:p>
      <w:pPr>
        <w:pStyle w:val="Heading6"/>
      </w:pPr>
      <w:bookmarkStart w:id="154" w:name="th-cir.-2001"/>
      <w:r>
        <w:t xml:space="preserve">(6th Cir. 2001)</w:t>
      </w:r>
      <w:bookmarkEnd w:id="154"/>
    </w:p>
    <w:p>
      <w:pPr>
        <w:pStyle w:val="Compact"/>
        <w:numPr>
          <w:numId w:val="1017"/>
          <w:ilvl w:val="0"/>
        </w:numPr>
      </w:pPr>
      <w:hyperlink r:id="rId155">
        <w:r>
          <w:rPr>
            <w:rStyle w:val="Hyperlink"/>
          </w:rPr>
          <w:t xml:space="preserve">case on Westlaw</w:t>
        </w:r>
      </w:hyperlink>
    </w:p>
    <w:p>
      <w:pPr>
        <w:pStyle w:val="Compact"/>
        <w:numPr>
          <w:numId w:val="1017"/>
          <w:ilvl w:val="0"/>
        </w:numPr>
      </w:pPr>
      <w:hyperlink r:id="rId156">
        <w:r>
          <w:rPr>
            <w:rStyle w:val="Hyperlink"/>
          </w:rPr>
          <w:t xml:space="preserve">case on Wikipedia</w:t>
        </w:r>
      </w:hyperlink>
    </w:p>
    <w:p>
      <w:pPr>
        <w:pStyle w:val="Heading4"/>
      </w:pPr>
      <w:bookmarkStart w:id="157" w:name="etw-corp.-v.-jireh-publishing"/>
      <w:r>
        <w:rPr>
          <w:i/>
        </w:rPr>
        <w:t xml:space="preserve">ETW Corp. v. Jireh Publishing</w:t>
      </w:r>
      <w:bookmarkEnd w:id="157"/>
    </w:p>
    <w:p>
      <w:pPr>
        <w:pStyle w:val="Heading6"/>
      </w:pPr>
      <w:bookmarkStart w:id="158" w:name="th-cir.-2003"/>
      <w:r>
        <w:t xml:space="preserve">(6th Cir. 2003)</w:t>
      </w:r>
      <w:bookmarkEnd w:id="158"/>
    </w:p>
    <w:p>
      <w:pPr>
        <w:pStyle w:val="Compact"/>
        <w:numPr>
          <w:numId w:val="1018"/>
          <w:ilvl w:val="0"/>
        </w:numPr>
      </w:pPr>
      <w:hyperlink r:id="rId159">
        <w:r>
          <w:rPr>
            <w:rStyle w:val="Hyperlink"/>
          </w:rPr>
          <w:t xml:space="preserve">case on Westlaw</w:t>
        </w:r>
      </w:hyperlink>
    </w:p>
    <w:p>
      <w:pPr>
        <w:pStyle w:val="Compact"/>
        <w:numPr>
          <w:numId w:val="1018"/>
          <w:ilvl w:val="0"/>
        </w:numPr>
      </w:pPr>
      <w:hyperlink r:id="rId160">
        <w:r>
          <w:rPr>
            <w:rStyle w:val="Hyperlink"/>
          </w:rPr>
          <w:t xml:space="preserve">Art on Trial</w:t>
        </w:r>
      </w:hyperlink>
      <w:r>
        <w:t xml:space="preserve">.</w:t>
      </w:r>
    </w:p>
    <w:p>
      <w:pPr>
        <w:pStyle w:val="Heading4"/>
      </w:pPr>
      <w:bookmarkStart w:id="161" w:name="trademark-lanham-act-language"/>
      <w:r>
        <w:t xml:space="preserve">Trademark (Lanham Act) Language</w:t>
      </w:r>
      <w:bookmarkEnd w:id="161"/>
    </w:p>
    <w:p>
      <w:pPr>
        <w:pStyle w:val="FirstParagraph"/>
      </w:pPr>
      <w:r>
        <w:t xml:space="preserve">Lanham Act § 43(a)</w:t>
      </w:r>
    </w:p>
    <w:p>
      <w:pPr>
        <w:pStyle w:val="Compact"/>
        <w:numPr>
          <w:numId w:val="1019"/>
          <w:ilvl w:val="0"/>
        </w:numPr>
      </w:pPr>
      <w:r>
        <w:t xml:space="preserve">Any person who . . . uses in commerce any word, term, name, symbol, or device . . . or any false designation of origin, false or misleading description of fact . . . which—</w:t>
      </w:r>
    </w:p>
    <w:p>
      <w:pPr>
        <w:pStyle w:val="Compact"/>
        <w:numPr>
          <w:numId w:val="1020"/>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20"/>
          <w:ilvl w:val="1"/>
        </w:numPr>
      </w:pPr>
      <w:r>
        <w:t xml:space="preserve">… shall be liable in a civil action by any person who believes that he or she is or is likely to be damaged by such act.</w:t>
      </w:r>
    </w:p>
    <w:p>
      <w:pPr>
        <w:pStyle w:val="Heading4"/>
      </w:pPr>
      <w:bookmarkStart w:id="162" w:name="X7d0be5529e6cf01c6ecbd016257cd9f8c0f5c95"/>
      <w:r>
        <w:t xml:space="preserve">Volokh Right-Of-Publicity Speech Categories</w:t>
      </w:r>
      <w:bookmarkEnd w:id="162"/>
    </w:p>
    <w:p>
      <w:pPr>
        <w:pStyle w:val="Compact"/>
        <w:numPr>
          <w:numId w:val="1021"/>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22"/>
          <w:ilvl w:val="1"/>
        </w:numPr>
      </w:pPr>
      <w:r>
        <w:t xml:space="preserve">Commercial speech? No.</w:t>
      </w:r>
    </w:p>
    <w:p>
      <w:pPr>
        <w:pStyle w:val="Compact"/>
        <w:numPr>
          <w:numId w:val="1022"/>
          <w:ilvl w:val="1"/>
        </w:numPr>
      </w:pPr>
      <w:r>
        <w:t xml:space="preserve">Infringement? No.</w:t>
      </w:r>
    </w:p>
    <w:p>
      <w:pPr>
        <w:pStyle w:val="Compact"/>
        <w:numPr>
          <w:numId w:val="1021"/>
          <w:ilvl w:val="0"/>
        </w:numPr>
      </w:pPr>
      <w:r>
        <w:t xml:space="preserve">Advertisements for category 1 speech.</w:t>
      </w:r>
    </w:p>
    <w:p>
      <w:pPr>
        <w:pStyle w:val="Compact"/>
        <w:numPr>
          <w:numId w:val="1023"/>
          <w:ilvl w:val="1"/>
        </w:numPr>
      </w:pPr>
      <w:r>
        <w:t xml:space="preserve">Commercial speech? Yes.</w:t>
      </w:r>
    </w:p>
    <w:p>
      <w:pPr>
        <w:pStyle w:val="Compact"/>
        <w:numPr>
          <w:numId w:val="1023"/>
          <w:ilvl w:val="1"/>
        </w:numPr>
      </w:pPr>
      <w:r>
        <w:t xml:space="preserve">Infringement? No.</w:t>
      </w:r>
    </w:p>
    <w:p>
      <w:pPr>
        <w:pStyle w:val="Compact"/>
        <w:numPr>
          <w:numId w:val="1021"/>
          <w:ilvl w:val="0"/>
        </w:numPr>
      </w:pPr>
      <w:r>
        <w:t xml:space="preserve">Advertisements for other products (VCRs, cars, snacks, and whatever else) that refer to a person.</w:t>
      </w:r>
    </w:p>
    <w:p>
      <w:pPr>
        <w:pStyle w:val="Compact"/>
        <w:numPr>
          <w:numId w:val="1024"/>
          <w:ilvl w:val="1"/>
        </w:numPr>
      </w:pPr>
      <w:r>
        <w:t xml:space="preserve">Commercial speech? Yes.</w:t>
      </w:r>
    </w:p>
    <w:p>
      <w:pPr>
        <w:pStyle w:val="Compact"/>
        <w:numPr>
          <w:numId w:val="1024"/>
          <w:ilvl w:val="1"/>
        </w:numPr>
      </w:pPr>
      <w:r>
        <w:t xml:space="preserve">Infringement? Yes.</w:t>
      </w:r>
    </w:p>
    <w:p>
      <w:pPr>
        <w:pStyle w:val="Compact"/>
        <w:numPr>
          <w:numId w:val="1021"/>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5"/>
          <w:ilvl w:val="1"/>
        </w:numPr>
      </w:pPr>
      <w:r>
        <w:t xml:space="preserve">Commercial speech? No.</w:t>
      </w:r>
    </w:p>
    <w:p>
      <w:pPr>
        <w:pStyle w:val="Compact"/>
        <w:numPr>
          <w:numId w:val="1025"/>
          <w:ilvl w:val="1"/>
        </w:numPr>
      </w:pPr>
      <w:r>
        <w:t xml:space="preserve">Infringement? Yes.</w:t>
      </w:r>
    </w:p>
    <w:p>
      <w:pPr>
        <w:pStyle w:val="Heading4"/>
      </w:pPr>
      <w:bookmarkStart w:id="163" w:name="referencefootnote-cases"/>
      <w:r>
        <w:t xml:space="preserve">Reference/Footnote Cases</w:t>
      </w:r>
      <w:bookmarkEnd w:id="163"/>
    </w:p>
    <w:p>
      <w:pPr>
        <w:pStyle w:val="Compact"/>
        <w:numPr>
          <w:numId w:val="1026"/>
          <w:ilvl w:val="0"/>
        </w:numPr>
      </w:pPr>
      <w:hyperlink r:id="rId164">
        <w:r>
          <w:rPr>
            <w:i/>
            <w:rStyle w:val="Hyperlink"/>
          </w:rPr>
          <w:t xml:space="preserve">Matthews v. Wozencraft,</w:t>
        </w:r>
      </w:hyperlink>
      <w:r>
        <w:t xml:space="preserve"> </w:t>
      </w:r>
      <w:r>
        <w:t xml:space="preserve">(5th Cir. 1994).</w:t>
      </w:r>
    </w:p>
    <w:p>
      <w:pPr>
        <w:pStyle w:val="Compact"/>
        <w:numPr>
          <w:numId w:val="1026"/>
          <w:ilvl w:val="0"/>
        </w:numPr>
      </w:pPr>
      <w:hyperlink r:id="rId16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6"/>
          <w:ilvl w:val="0"/>
        </w:numPr>
      </w:pPr>
      <w:hyperlink r:id="rId166">
        <w:r>
          <w:rPr>
            <w:i/>
            <w:rStyle w:val="Hyperlink"/>
          </w:rPr>
          <w:t xml:space="preserve">Comedy III Productions v. Gary Saderup, Inc.,</w:t>
        </w:r>
      </w:hyperlink>
      <w:r>
        <w:t xml:space="preserve"> </w:t>
      </w:r>
      <w:r>
        <w:t xml:space="preserve">(CA 2001).</w:t>
      </w:r>
    </w:p>
    <w:p>
      <w:pPr>
        <w:pStyle w:val="Compact"/>
        <w:numPr>
          <w:numId w:val="1026"/>
          <w:ilvl w:val="0"/>
        </w:numPr>
      </w:pPr>
      <w:hyperlink r:id="rId167">
        <w:r>
          <w:rPr>
            <w:rStyle w:val="Hyperlink"/>
          </w:rPr>
          <w:t xml:space="preserve">Juris Notes</w:t>
        </w:r>
      </w:hyperlink>
      <w:r>
        <w:t xml:space="preserve">.</w:t>
      </w:r>
    </w:p>
    <w:p>
      <w:pPr>
        <w:pStyle w:val="Compact"/>
        <w:numPr>
          <w:numId w:val="1026"/>
          <w:ilvl w:val="0"/>
        </w:numPr>
      </w:pPr>
      <w:hyperlink r:id="rId168">
        <w:r>
          <w:rPr>
            <w:i/>
            <w:rStyle w:val="Hyperlink"/>
          </w:rPr>
          <w:t xml:space="preserve">Zacchini v. Scripps-Howard Broadcasting</w:t>
        </w:r>
      </w:hyperlink>
      <w:r>
        <w:t xml:space="preserve">, 433 US 562 (1977).</w:t>
      </w:r>
      <w:r>
        <w:t xml:space="preserve"> </w:t>
      </w:r>
      <w:hyperlink r:id="rId59">
        <w:r>
          <w:rPr>
            <w:rStyle w:val="Hyperlink"/>
          </w:rPr>
          <w:t xml:space="preserve">Wikipedia</w:t>
        </w:r>
      </w:hyperlink>
      <w:r>
        <w:t xml:space="preserve">.</w:t>
      </w:r>
    </w:p>
    <w:p>
      <w:pPr>
        <w:pStyle w:val="Compact"/>
        <w:numPr>
          <w:numId w:val="1026"/>
          <w:ilvl w:val="0"/>
        </w:numPr>
      </w:pPr>
      <w:hyperlink r:id="rId169">
        <w:r>
          <w:rPr>
            <w:i/>
            <w:rStyle w:val="Hyperlink"/>
          </w:rPr>
          <w:t xml:space="preserve">Hicks v. Casablanca Records,</w:t>
        </w:r>
      </w:hyperlink>
      <w:r>
        <w:t xml:space="preserve"> </w:t>
      </w:r>
      <w:r>
        <w:t xml:space="preserve">(SDNY 1978).</w:t>
      </w:r>
    </w:p>
    <w:p>
      <w:pPr>
        <w:pStyle w:val="Compact"/>
        <w:numPr>
          <w:numId w:val="1026"/>
          <w:ilvl w:val="0"/>
        </w:numPr>
      </w:pPr>
      <w:hyperlink r:id="rId170">
        <w:r>
          <w:rPr>
            <w:i/>
            <w:rStyle w:val="Hyperlink"/>
          </w:rPr>
          <w:t xml:space="preserve">Keenan v. Superior Court Los Angeles County,</w:t>
        </w:r>
      </w:hyperlink>
      <w:r>
        <w:t xml:space="preserve"> </w:t>
      </w:r>
      <w:r>
        <w:t xml:space="preserve">(Cal. 4th 2002).</w:t>
      </w:r>
      <w:r>
        <w:t xml:space="preserve"> </w:t>
      </w:r>
      <w:hyperlink r:id="rId171">
        <w:r>
          <w:rPr>
            <w:rStyle w:val="Hyperlink"/>
          </w:rPr>
          <w:t xml:space="preserve">Reporters Committee For Freedom of the Press</w:t>
        </w:r>
      </w:hyperlink>
      <w:r>
        <w:t xml:space="preserve">.</w:t>
      </w:r>
    </w:p>
    <w:p>
      <w:pPr>
        <w:pStyle w:val="Heading4"/>
      </w:pPr>
      <w:bookmarkStart w:id="172" w:name="totally-optional-readings-viewings"/>
      <w:r>
        <w:t xml:space="preserve">Totally Optional Readings &amp; Viewings</w:t>
      </w:r>
      <w:bookmarkEnd w:id="172"/>
    </w:p>
    <w:p>
      <w:pPr>
        <w:pStyle w:val="Compact"/>
        <w:numPr>
          <w:numId w:val="1027"/>
          <w:ilvl w:val="0"/>
        </w:numPr>
      </w:pPr>
      <w:hyperlink r:id="rId173">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7"/>
          <w:ilvl w:val="0"/>
        </w:numPr>
      </w:pPr>
      <w:hyperlink r:id="rId174">
        <w:r>
          <w:rPr>
            <w:rStyle w:val="Hyperlink"/>
          </w:rPr>
          <w:t xml:space="preserve">Katherine Heigl Sues Duane Reed Drug Stores Over Photo</w:t>
        </w:r>
      </w:hyperlink>
    </w:p>
    <w:p>
      <w:pPr>
        <w:pStyle w:val="Compact"/>
        <w:numPr>
          <w:numId w:val="1027"/>
          <w:ilvl w:val="0"/>
        </w:numPr>
      </w:pPr>
      <w:hyperlink r:id="rId175">
        <w:r>
          <w:rPr>
            <w:rStyle w:val="Hyperlink"/>
          </w:rPr>
          <w:t xml:space="preserve">Katherine Heigl Ends Lawsuit Over Duane Reade Tweet (Exclusive)</w:t>
        </w:r>
      </w:hyperlink>
    </w:p>
    <w:p>
      <w:pPr>
        <w:pStyle w:val="Compact"/>
        <w:numPr>
          <w:numId w:val="1027"/>
          <w:ilvl w:val="0"/>
        </w:numPr>
      </w:pPr>
      <w:hyperlink r:id="rId176">
        <w:r>
          <w:rPr>
            <w:rStyle w:val="Hyperlink"/>
          </w:rPr>
          <w:t xml:space="preserve">Lindsay Lohan is suing the makers of Grand Theft Auto V</w:t>
        </w:r>
      </w:hyperlink>
    </w:p>
    <w:p>
      <w:pPr>
        <w:pStyle w:val="Compact"/>
        <w:numPr>
          <w:numId w:val="1027"/>
          <w:ilvl w:val="0"/>
        </w:numPr>
      </w:pPr>
      <w:hyperlink r:id="rId177">
        <w:r>
          <w:rPr>
            <w:rStyle w:val="Hyperlink"/>
          </w:rPr>
          <w:t xml:space="preserve">James Franco Sued for Violating Film Rights to Charles Bukowski Novel</w:t>
        </w:r>
      </w:hyperlink>
    </w:p>
    <w:p>
      <w:pPr>
        <w:pStyle w:val="Compact"/>
        <w:numPr>
          <w:numId w:val="1027"/>
          <w:ilvl w:val="0"/>
        </w:numPr>
      </w:pPr>
      <w:r>
        <w:t xml:space="preserve">Bing Crosby’s First Wife Denied Value of His</w:t>
      </w:r>
      <w:r>
        <w:t xml:space="preserve"> </w:t>
      </w:r>
      <w:hyperlink r:id="rId178">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3"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5"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6"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2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2" Target="https://www.rightofpublicityroadmap.com/law/new-york" TargetMode="External" /><Relationship Type="http://schemas.openxmlformats.org/officeDocument/2006/relationships/hyperlink" Id="rId60"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92"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56" Target="http://en.wikipedia.org/wiki/Rosa_Parks_v._LaFace_Records" TargetMode="External" /><Relationship Type="http://schemas.openxmlformats.org/officeDocument/2006/relationships/hyperlink" Id="rId59" Target="http://en.wikipedia.org/wiki/Zacchini_v._Scripps-Howard_Broadcasting_Co." TargetMode="External" /><Relationship Type="http://schemas.openxmlformats.org/officeDocument/2006/relationships/hyperlink" Id="rId84" Target="http://heinonline.org/HOL/LandingPage?handle=hein.journals/jocoso28&amp;div=12&amp;id=&amp;page=" TargetMode="External" /><Relationship Type="http://schemas.openxmlformats.org/officeDocument/2006/relationships/hyperlink" Id="rId164" Target="http://lawschool.westlaw.com/shared/westlawRedirect.aspx?task=find&amp;cite=15f3d432&amp;appflag=67.12" TargetMode="External" /><Relationship Type="http://schemas.openxmlformats.org/officeDocument/2006/relationships/hyperlink" Id="rId166" Target="http://lawschool.westlaw.com/shared/westlawRedirect.aspx?task=find&amp;cite=21+p3d+797&amp;appflag=67.12" TargetMode="External" /><Relationship Type="http://schemas.openxmlformats.org/officeDocument/2006/relationships/hyperlink" Id="rId170" Target="http://lawschool.westlaw.com/shared/westlawRedirect.aspx?task=find&amp;cite=27+Cal.4th+413&amp;appflag=67.12" TargetMode="External" /><Relationship Type="http://schemas.openxmlformats.org/officeDocument/2006/relationships/hyperlink" Id="rId155" Target="http://lawschool.westlaw.com/shared/westlawRedirect.aspx?task=find&amp;cite=329+F.3d+437&amp;appflag=67.12" TargetMode="External" /><Relationship Type="http://schemas.openxmlformats.org/officeDocument/2006/relationships/hyperlink" Id="rId159" Target="http://lawschool.westlaw.com/shared/westlawRedirect.aspx?task=find&amp;cite=332f3d915&amp;appflag=67.12" TargetMode="External" /><Relationship Type="http://schemas.openxmlformats.org/officeDocument/2006/relationships/hyperlink" Id="rId168" Target="http://lawschool.westlaw.com/shared/westlawRedirect.aspx?task=find&amp;cite=433us562&amp;appflag=67.12" TargetMode="External" /><Relationship Type="http://schemas.openxmlformats.org/officeDocument/2006/relationships/hyperlink" Id="rId169" Target="http://lawschool.westlaw.com/shared/westlawRedirect.aspx?task=find&amp;cite=464fsupp426&amp;appflag=67.12" TargetMode="External" /><Relationship Type="http://schemas.openxmlformats.org/officeDocument/2006/relationships/hyperlink" Id="rId111"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1" Target="http://lawschool.westlaw.com/shared/westlawRedirect.aspx?task=find&amp;cite=971f2d1395&amp;appflag=67.12" TargetMode="External" /><Relationship Type="http://schemas.openxmlformats.org/officeDocument/2006/relationships/hyperlink" Id="rId43" Target="http://scholar.google.com/scholar_case?about=1102676940012657150" TargetMode="External" /><Relationship Type="http://schemas.openxmlformats.org/officeDocument/2006/relationships/hyperlink" Id="rId33" Target="http://scholar.google.com/scholar_case?about=14399965817410541021" TargetMode="External" /><Relationship Type="http://schemas.openxmlformats.org/officeDocument/2006/relationships/hyperlink" Id="rId110" Target="http://scholar.google.com/scholar_case?about=988401867966498877" TargetMode="External" /><Relationship Type="http://schemas.openxmlformats.org/officeDocument/2006/relationships/hyperlink" Id="rId63" Target="http://scholar.google.com/scholar_case?case=10183527771703896207" TargetMode="External" /><Relationship Type="http://schemas.openxmlformats.org/officeDocument/2006/relationships/hyperlink" Id="rId78" Target="http://scholar.google.com/scholar_case?case=10950732871251474707" TargetMode="External" /><Relationship Type="http://schemas.openxmlformats.org/officeDocument/2006/relationships/hyperlink" Id="rId54" Target="http://scholar.google.com/scholar_case?case=11171194144106283057" TargetMode="External" /><Relationship Type="http://schemas.openxmlformats.org/officeDocument/2006/relationships/hyperlink" Id="rId105"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1" Target="http://scholar.google.com/scholar_case?case=1243301922700135667" TargetMode="External" /><Relationship Type="http://schemas.openxmlformats.org/officeDocument/2006/relationships/hyperlink" Id="rId50"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2" Target="http://scholar.google.com/scholar_case?case=13178370409068522665" TargetMode="External" /><Relationship Type="http://schemas.openxmlformats.org/officeDocument/2006/relationships/hyperlink" Id="rId53" Target="http://scholar.google.com/scholar_case?case=14024880984831392427" TargetMode="External" /><Relationship Type="http://schemas.openxmlformats.org/officeDocument/2006/relationships/hyperlink" Id="rId82" Target="http://scholar.google.com/scholar_case?case=15457477938614677085" TargetMode="External" /><Relationship Type="http://schemas.openxmlformats.org/officeDocument/2006/relationships/hyperlink" Id="rId117" Target="http://scholar.google.com/scholar_case?case=15677821865807904301" TargetMode="External" /><Relationship Type="http://schemas.openxmlformats.org/officeDocument/2006/relationships/hyperlink" Id="rId90" Target="http://scholar.google.com/scholar_case?case=15763501998860364615" TargetMode="External" /><Relationship Type="http://schemas.openxmlformats.org/officeDocument/2006/relationships/hyperlink" Id="rId58" Target="http://scholar.google.com/scholar_case?case=16238771870259020023" TargetMode="External" /><Relationship Type="http://schemas.openxmlformats.org/officeDocument/2006/relationships/hyperlink" Id="rId137" Target="http://scholar.google.com/scholar_case?case=16551870099624462955" TargetMode="External" /><Relationship Type="http://schemas.openxmlformats.org/officeDocument/2006/relationships/hyperlink" Id="rId136" Target="http://scholar.google.com/scholar_case?case=16686162998040575773" TargetMode="External" /><Relationship Type="http://schemas.openxmlformats.org/officeDocument/2006/relationships/hyperlink" Id="rId138" Target="http://scholar.google.com/scholar_case?case=16845746302991569414" TargetMode="External" /><Relationship Type="http://schemas.openxmlformats.org/officeDocument/2006/relationships/hyperlink" Id="rId100" Target="http://scholar.google.com/scholar_case?case=17261252493400805973" TargetMode="External" /><Relationship Type="http://schemas.openxmlformats.org/officeDocument/2006/relationships/hyperlink" Id="rId106"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8" Target="http://scholar.google.com/scholar_case?case=18127729155672659732" TargetMode="External" /><Relationship Type="http://schemas.openxmlformats.org/officeDocument/2006/relationships/hyperlink" Id="rId35" Target="http://scholar.google.com/scholar_case?case=18211552832825571674" TargetMode="External" /><Relationship Type="http://schemas.openxmlformats.org/officeDocument/2006/relationships/hyperlink" Id="rId139" Target="http://scholar.google.com/scholar_case?case=287180442152313659" TargetMode="External" /><Relationship Type="http://schemas.openxmlformats.org/officeDocument/2006/relationships/hyperlink" Id="rId118" Target="http://scholar.google.com/scholar_case?case=3104326308181973639" TargetMode="External" /><Relationship Type="http://schemas.openxmlformats.org/officeDocument/2006/relationships/hyperlink" Id="rId135" Target="http://scholar.google.com/scholar_case?case=3956106467746132778" TargetMode="External" /><Relationship Type="http://schemas.openxmlformats.org/officeDocument/2006/relationships/hyperlink" Id="rId52" Target="http://scholar.google.com/scholar_case?case=4464715402419059889" TargetMode="External" /><Relationship Type="http://schemas.openxmlformats.org/officeDocument/2006/relationships/hyperlink" Id="rId99" Target="http://scholar.google.com/scholar_case?case=5069891851949874011" TargetMode="External" /><Relationship Type="http://schemas.openxmlformats.org/officeDocument/2006/relationships/hyperlink" Id="rId95" Target="http://scholar.google.com/scholar_case?case=6021003493814451958" TargetMode="External" /><Relationship Type="http://schemas.openxmlformats.org/officeDocument/2006/relationships/hyperlink" Id="rId79" Target="http://scholar.google.com/scholar_case?case=652682831136403786" TargetMode="External" /><Relationship Type="http://schemas.openxmlformats.org/officeDocument/2006/relationships/hyperlink" Id="rId80"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9" Target="http://scholar.google.com/scholar_case?case=7398433541275578772" TargetMode="External" /><Relationship Type="http://schemas.openxmlformats.org/officeDocument/2006/relationships/hyperlink" Id="rId49"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97" Target="http://scholar.google.com/scholar_case?case=9454760463773890610" TargetMode="External" /><Relationship Type="http://schemas.openxmlformats.org/officeDocument/2006/relationships/hyperlink" Id="rId121" Target="http://scholar.google.com/scholar_case?case=9738309099999149495" TargetMode="External" /><Relationship Type="http://schemas.openxmlformats.org/officeDocument/2006/relationships/hyperlink" Id="rId36"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76" Target="http://www.bbc.co.uk/newsbeat/28129505" TargetMode="External" /><Relationship Type="http://schemas.openxmlformats.org/officeDocument/2006/relationships/hyperlink" Id="rId77" Target="http://www.californialawreview.org/assets/pdfs/misc/prosser_privacy.pdf" TargetMode="External" /><Relationship Type="http://schemas.openxmlformats.org/officeDocument/2006/relationships/hyperlink" Id="rId112"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4" Target="http://www.casebriefs.com/blog/law/property/property-law-keyed-to-singer/intellectual-property/martin-luther-king-jr-center-for-social-change-inc-v-american-heritage-products-inc/" TargetMode="External" /><Relationship Type="http://schemas.openxmlformats.org/officeDocument/2006/relationships/hyperlink" Id="rId165"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8" Target="http://www.hollywoodreporter.com/thr-esq/bing-crosbys-first-wife-denied-675755" TargetMode="External" /><Relationship Type="http://schemas.openxmlformats.org/officeDocument/2006/relationships/hyperlink" Id="rId173" Target="http://www.hollywoodreporter.com/thr-esq/call-duty-can-rudy-giuliani-734737" TargetMode="External" /><Relationship Type="http://schemas.openxmlformats.org/officeDocument/2006/relationships/hyperlink" Id="rId177" Target="http://www.hollywoodreporter.com/thr-esq/james-franco-sued-violating-film-699013" TargetMode="External" /><Relationship Type="http://schemas.openxmlformats.org/officeDocument/2006/relationships/hyperlink" Id="rId175"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67" Target="http://www.jurisnotes.com/IP/articles/acriticalexam.htm" TargetMode="External" /><Relationship Type="http://schemas.openxmlformats.org/officeDocument/2006/relationships/hyperlink" Id="rId171" Target="http://www.rcfp.org/browse-media-law-resources/news/high-court-strikes-down-state-son-sam-law" TargetMode="External" /><Relationship Type="http://schemas.openxmlformats.org/officeDocument/2006/relationships/hyperlink" Id="rId160" Target="http://www.tjcenter.org/ArtOnTrial/trademark.html" TargetMode="External" /><Relationship Type="http://schemas.openxmlformats.org/officeDocument/2006/relationships/hyperlink" Id="rId174" Target="http://www.washingtonpost.com/entertainment/celebrities/actress-heigl-sues-pharmacy-company-over-photo/2014/04/09/ffa1b0aa-c03a-11e3-9ee7-02c1e10a03f0_story.html" TargetMode="External" /><Relationship Type="http://schemas.openxmlformats.org/officeDocument/2006/relationships/hyperlink" Id="rId125"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50" Target="https://scholar.google.com/scholar_case?case=1334389017985947449&amp;q=keller+v.+electronic+arts&amp;hl=en&amp;as_sdt=6,28" TargetMode="External" /><Relationship Type="http://schemas.openxmlformats.org/officeDocument/2006/relationships/hyperlink" Id="rId146" Target="https://scholar.google.com/scholar_case?case=16260639428584030858" TargetMode="External" /><Relationship Type="http://schemas.openxmlformats.org/officeDocument/2006/relationships/hyperlink" Id="rId149" Target="https://scholar.google.com/scholar_case?case=4120319166427200129&amp;q=hilton+v+hallmark&amp;hl=en&amp;as_sdt=6,28" TargetMode="External" /><Relationship Type="http://schemas.openxmlformats.org/officeDocument/2006/relationships/hyperlink" Id="rId129" Target="https://scholar.google.com/scholar_case?case=6376074772628774470&amp;hl=en&amp;as_sdt=6,28" TargetMode="External" /><Relationship Type="http://schemas.openxmlformats.org/officeDocument/2006/relationships/hyperlink" Id="rId27" Target="https://www.rightofpublicityroadmap.com/" TargetMode="External" /><Relationship Type="http://schemas.openxmlformats.org/officeDocument/2006/relationships/hyperlink" Id="rId93" Target="https://www.rightofpublicityroadmap.com/law/california" TargetMode="External" /><Relationship Type="http://schemas.openxmlformats.org/officeDocument/2006/relationships/hyperlink" Id="rId45" Target="https://www.rightofpublicityroadmap.com/law/georgia" TargetMode="External" /><Relationship Type="http://schemas.openxmlformats.org/officeDocument/2006/relationships/hyperlink" Id="rId75" Target="https://www.rightofpublicityroadmap.com/law/michigan" TargetMode="External" /><Relationship Type="http://schemas.openxmlformats.org/officeDocument/2006/relationships/hyperlink" Id="rId32" Target="https://www.rightofpublicityroadmap.com/law/new-york" TargetMode="External" /><Relationship Type="http://schemas.openxmlformats.org/officeDocument/2006/relationships/hyperlink" Id="rId60"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2019-09-25T01:19:50Z</dcterms:created>
  <dcterms:modified xsi:type="dcterms:W3CDTF">2019-09-25T01:19:50Z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Celebrity/Publicity Rights</vt:lpwstr>
  </property>
  <property fmtid="{D5CDD505-2E9C-101B-9397-08002B2CF9AE}" pid="3" name="subtitle">
    <vt:lpwstr>Entertainment law</vt:lpwstr>
  </property>
</Properties>
</file>