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what-is-copyright"/>
      <w:r>
        <w:t xml:space="preserve">What Is Copyright?</w:t>
      </w:r>
      <w:bookmarkEnd w:id="24"/>
    </w:p>
    <w:p>
      <w:pPr>
        <w:pStyle w:val="BlockText"/>
      </w:pPr>
      <w:r>
        <w:t xml:space="preserve">Instead of defining the relationship between a person and</w:t>
      </w:r>
      <w:r>
        <w:t xml:space="preserve"> </w:t>
      </w:r>
      <w:r>
        <w:t xml:space="preserve">“</w:t>
      </w:r>
      <w:r>
        <w:t xml:space="preserve">his</w:t>
      </w:r>
      <w:r>
        <w:t xml:space="preserve">”</w:t>
      </w:r>
      <w:r>
        <w:t xml:space="preserve"> </w:t>
      </w:r>
      <w:r>
        <w:t xml:space="preserve">things, property law discusses the relationships that arise</w:t>
      </w:r>
      <w:r>
        <w:t xml:space="preserve"> </w:t>
      </w:r>
      <w:r>
        <w:rPr>
          <w:i/>
        </w:rPr>
        <w:t xml:space="preserve">between people</w:t>
      </w:r>
      <w:r>
        <w:t xml:space="preserve"> </w:t>
      </w:r>
      <w:r>
        <w:t xml:space="preserve">with respect to things.</w:t>
      </w:r>
    </w:p>
    <w:p>
      <w:pPr>
        <w:pStyle w:val="BlockText"/>
      </w:pPr>
      <w:r>
        <w:t xml:space="preserve">—Bruce A. Ackerman, Private Property And The Constitution 26 (1977)</w:t>
      </w:r>
    </w:p>
    <w:p>
      <w:pPr>
        <w:pStyle w:val="FirstParagraph"/>
      </w:pPr>
      <w:r>
        <w:t xml:space="preserve">Copyright is a form of</w:t>
      </w:r>
      <w:r>
        <w:t xml:space="preserve"> </w:t>
      </w:r>
      <w:r>
        <w:t xml:space="preserve">“</w:t>
      </w:r>
      <w:r>
        <w:t xml:space="preserve">intellectual property.</w:t>
      </w:r>
      <w:r>
        <w:t xml:space="preserve">”</w:t>
      </w:r>
      <w:r>
        <w:t xml:space="preserve"> </w:t>
      </w:r>
      <w:r>
        <w:t xml:space="preserve">Like</w:t>
      </w:r>
      <w:r>
        <w:t xml:space="preserve"> </w:t>
      </w:r>
      <w:r>
        <w:t xml:space="preserve">“</w:t>
      </w:r>
      <w:r>
        <w:t xml:space="preserve">real property,</w:t>
      </w:r>
      <w:r>
        <w:t xml:space="preserve">”</w:t>
      </w:r>
      <w:r>
        <w:t xml:space="preserve"> </w:t>
      </w:r>
      <w:r>
        <w:t xml:space="preserve">consisting of land and buildings,</w:t>
      </w:r>
      <w:r>
        <w:t xml:space="preserve"> </w:t>
      </w:r>
      <w:r>
        <w:t xml:space="preserve">intellectual property may be bought and sold,</w:t>
      </w:r>
      <w:r>
        <w:t xml:space="preserve"> </w:t>
      </w:r>
      <w:r>
        <w:t xml:space="preserve">used and borrowed.</w:t>
      </w:r>
      <w:r>
        <w:t xml:space="preserve"> </w:t>
      </w:r>
      <w:r>
        <w:t xml:space="preserve">Consider the following examples.</w:t>
      </w:r>
    </w:p>
    <w:p>
      <w:pPr>
        <w:pStyle w:val="BodyText"/>
      </w:pPr>
      <w:r>
        <w:t xml:space="preserve">Amy Author owns a plot of land</w:t>
      </w:r>
      <w:r>
        <w:t xml:space="preserve"> </w:t>
      </w:r>
      <w:r>
        <w:t xml:space="preserve">called The Hundred Acre Wood.</w:t>
      </w:r>
      <w:r>
        <w:t xml:space="preserve"> </w:t>
      </w:r>
      <w:r>
        <w:t xml:space="preserve">Not being a lawyer,</w:t>
      </w:r>
      <w:r>
        <w:t xml:space="preserve"> </w:t>
      </w:r>
      <w:r>
        <w:t xml:space="preserve">Amy tends to think of The Hundred Acre Wood</w:t>
      </w:r>
      <w:r>
        <w:t xml:space="preserve"> </w:t>
      </w:r>
      <w:r>
        <w:t xml:space="preserve">as something she either owns or doesn’t own.</w:t>
      </w:r>
      <w:r>
        <w:t xml:space="preserve"> </w:t>
      </w:r>
      <w:r>
        <w:t xml:space="preserve">If she doesn’t own it, maybe she rents it from the Farmer in the Dell.</w:t>
      </w:r>
    </w:p>
    <w:p>
      <w:pPr>
        <w:pStyle w:val="BodyText"/>
      </w:pPr>
      <w:r>
        <w:t xml:space="preserve">But Amy’s lawyer is trained to think of The Hundred Acre Wood</w:t>
      </w:r>
      <w:r>
        <w:t xml:space="preserve"> </w:t>
      </w:r>
      <w:r>
        <w:t xml:space="preserve">not just as a hundred acres of land that Amy owns or doesn’t own,</w:t>
      </w:r>
      <w:r>
        <w:t xml:space="preserve"> </w:t>
      </w:r>
      <w:r>
        <w:t xml:space="preserve">but as a bundle of rights (similar to a bundle of sticks).</w:t>
      </w:r>
      <w:r>
        <w:t xml:space="preserve"> </w:t>
      </w:r>
      <w:r>
        <w:t xml:space="preserve">These rights are associated with The Hundred Acre Wood.</w:t>
      </w:r>
    </w:p>
    <w:p>
      <w:pPr>
        <w:pStyle w:val="CaptionedFigure"/>
      </w:pPr>
      <w:r>
        <w:drawing>
          <wp:inline>
            <wp:extent cx="914400" cy="518159"/>
            <wp:effectExtent b="0" l="0" r="0" t="0"/>
            <wp:docPr descr="A bundle of property rights" title="" id="1" name="Picture"/>
            <a:graphic>
              <a:graphicData uri="http://schemas.openxmlformats.org/drawingml/2006/picture">
                <pic:pic>
                  <pic:nvPicPr>
                    <pic:cNvPr descr="http://www.kingcounty.gov/environment/stewardship/sustainable-building/transfer-development-rights/~/media/environment/stewardship/sustainable_building/transfer_development_rights/bundles2.ashx" id="0" name="Picture"/>
                    <pic:cNvPicPr>
                      <a:picLocks noChangeArrowheads="1" noChangeAspect="1"/>
                    </pic:cNvPicPr>
                  </pic:nvPicPr>
                  <pic:blipFill>
                    <a:blip r:embed="rId25"/>
                    <a:stretch>
                      <a:fillRect/>
                    </a:stretch>
                  </pic:blipFill>
                  <pic:spPr bwMode="auto">
                    <a:xfrm>
                      <a:off x="0" y="0"/>
                      <a:ext cx="914400" cy="518159"/>
                    </a:xfrm>
                    <a:prstGeom prst="rect">
                      <a:avLst/>
                    </a:prstGeom>
                    <a:noFill/>
                    <a:ln w="9525">
                      <a:noFill/>
                      <a:headEnd/>
                      <a:tailEnd/>
                    </a:ln>
                  </pic:spPr>
                </pic:pic>
              </a:graphicData>
            </a:graphic>
          </wp:inline>
        </w:drawing>
      </w:r>
    </w:p>
    <w:p>
      <w:pPr>
        <w:pStyle w:val="ImageCaption"/>
      </w:pPr>
      <w:r>
        <w:t xml:space="preserve">A bundle of property rights</w:t>
      </w:r>
    </w:p>
    <w:p>
      <w:pPr>
        <w:pStyle w:val="BodyText"/>
      </w:pPr>
      <w:r>
        <w:t xml:space="preserve">Each stick in Amy’s bundle is a land right</w:t>
      </w:r>
      <w:r>
        <w:t xml:space="preserve"> </w:t>
      </w:r>
      <w:r>
        <w:t xml:space="preserve">that Amy can sell or lend to others,</w:t>
      </w:r>
      <w:r>
        <w:t xml:space="preserve"> </w:t>
      </w:r>
      <w:r>
        <w:t xml:space="preserve">or she can sell them all at once to one person.</w:t>
      </w:r>
    </w:p>
    <w:p>
      <w:pPr>
        <w:pStyle w:val="BodyText"/>
      </w:pPr>
      <w:r>
        <w:t xml:space="preserve">Consider three hypothetical sticks or rights</w:t>
      </w:r>
      <w:r>
        <w:t xml:space="preserve"> </w:t>
      </w:r>
      <w:r>
        <w:t xml:space="preserve">in Amy’s Hundred-Acre-Wood bundle:</w:t>
      </w:r>
    </w:p>
    <w:p>
      <w:pPr>
        <w:pStyle w:val="Compact"/>
        <w:numPr>
          <w:numId w:val="1001"/>
          <w:ilvl w:val="0"/>
        </w:numPr>
      </w:pPr>
      <w:r>
        <w:t xml:space="preserve">Amy rents ten acres of The Hundred Acre Wood</w:t>
      </w:r>
      <w:r>
        <w:t xml:space="preserve"> </w:t>
      </w:r>
      <w:r>
        <w:t xml:space="preserve">to Farmer Brown for two years;</w:t>
      </w:r>
    </w:p>
    <w:p>
      <w:pPr>
        <w:pStyle w:val="Compact"/>
        <w:numPr>
          <w:numId w:val="1001"/>
          <w:ilvl w:val="0"/>
        </w:numPr>
      </w:pPr>
      <w:r>
        <w:t xml:space="preserve">Amy sells the right to drill for natural gas</w:t>
      </w:r>
      <w:r>
        <w:t xml:space="preserve"> </w:t>
      </w:r>
      <w:r>
        <w:t xml:space="preserve">beneath The Hundred Acre Wood</w:t>
      </w:r>
      <w:r>
        <w:t xml:space="preserve"> </w:t>
      </w:r>
      <w:r>
        <w:t xml:space="preserve">to a fracking company;</w:t>
      </w:r>
    </w:p>
    <w:p>
      <w:pPr>
        <w:pStyle w:val="Compact"/>
        <w:numPr>
          <w:numId w:val="1001"/>
          <w:ilvl w:val="0"/>
        </w:numPr>
      </w:pPr>
      <w:r>
        <w:t xml:space="preserve">Amy sells</w:t>
      </w:r>
      <w:r>
        <w:t xml:space="preserve"> </w:t>
      </w:r>
      <w:r>
        <w:t xml:space="preserve">“</w:t>
      </w:r>
      <w:r>
        <w:t xml:space="preserve">an easement</w:t>
      </w:r>
      <w:r>
        <w:t xml:space="preserve">”</w:t>
      </w:r>
      <w:r>
        <w:t xml:space="preserve"> </w:t>
      </w:r>
      <w:r>
        <w:t xml:space="preserve">to a telecom company,</w:t>
      </w:r>
      <w:r>
        <w:t xml:space="preserve"> </w:t>
      </w:r>
      <w:r>
        <w:t xml:space="preserve">so it can bring its trucks and equipment</w:t>
      </w:r>
      <w:r>
        <w:t xml:space="preserve"> </w:t>
      </w:r>
      <w:r>
        <w:t xml:space="preserve">into The Hundred Acre Wood,</w:t>
      </w:r>
      <w:r>
        <w:t xml:space="preserve"> </w:t>
      </w:r>
      <w:r>
        <w:t xml:space="preserve">bury a fiberoptic cable,</w:t>
      </w:r>
      <w:r>
        <w:t xml:space="preserve"> </w:t>
      </w:r>
      <w:r>
        <w:t xml:space="preserve">and maintain it indefinitely.</w:t>
      </w:r>
    </w:p>
    <w:p>
      <w:pPr>
        <w:pStyle w:val="FirstParagraph"/>
      </w:pPr>
      <w:r>
        <w:t xml:space="preserve">Does Amy still own the Hundred Acre Wood?</w:t>
      </w:r>
      <w:r>
        <w:t xml:space="preserve"> </w:t>
      </w:r>
      <w:r>
        <w:t xml:space="preserve">Of course,</w:t>
      </w:r>
      <w:r>
        <w:t xml:space="preserve"> </w:t>
      </w:r>
      <w:r>
        <w:t xml:space="preserve">but now that she has sold certain rights to the land,</w:t>
      </w:r>
      <w:r>
        <w:t xml:space="preserve"> </w:t>
      </w:r>
      <w:r>
        <w:t xml:space="preserve">ownership is more complicated.</w:t>
      </w:r>
    </w:p>
    <w:p>
      <w:pPr>
        <w:pStyle w:val="BodyText"/>
      </w:pPr>
      <w:r>
        <w:t xml:space="preserve">Does the farmer own The Hundred Acre Wood?</w:t>
      </w:r>
      <w:r>
        <w:t xml:space="preserve"> </w:t>
      </w:r>
      <w:r>
        <w:t xml:space="preserve">No, but Amy has sold him</w:t>
      </w:r>
      <w:r>
        <w:t xml:space="preserve"> </w:t>
      </w:r>
      <w:r>
        <w:rPr>
          <w:i/>
        </w:rPr>
        <w:t xml:space="preserve">the right</w:t>
      </w:r>
      <w:r>
        <w:t xml:space="preserve"> </w:t>
      </w:r>
      <w:r>
        <w:t xml:space="preserve">to use ten acres of her land for two years.</w:t>
      </w:r>
      <w:r>
        <w:t xml:space="preserve"> </w:t>
      </w:r>
      <w:r>
        <w:t xml:space="preserve">Do the fracking company and the telecom company</w:t>
      </w:r>
      <w:r>
        <w:t xml:space="preserve"> </w:t>
      </w:r>
      <w:r>
        <w:rPr>
          <w:i/>
        </w:rPr>
        <w:t xml:space="preserve">own</w:t>
      </w:r>
      <w:r>
        <w:t xml:space="preserve"> </w:t>
      </w:r>
      <w:r>
        <w:t xml:space="preserve">The Hundred Acre Wood?</w:t>
      </w:r>
      <w:r>
        <w:t xml:space="preserve"> </w:t>
      </w:r>
      <w:r>
        <w:t xml:space="preserve">No, but again they have paid Amy for various</w:t>
      </w:r>
      <w:r>
        <w:t xml:space="preserve"> </w:t>
      </w:r>
      <w:r>
        <w:rPr>
          <w:i/>
        </w:rPr>
        <w:t xml:space="preserve">rights</w:t>
      </w:r>
      <w:r>
        <w:t xml:space="preserve"> </w:t>
      </w:r>
      <w:r>
        <w:t xml:space="preserve">to use or occupy her land.</w:t>
      </w:r>
    </w:p>
    <w:p>
      <w:pPr>
        <w:pStyle w:val="BodyText"/>
      </w:pPr>
      <w:r>
        <w:t xml:space="preserve">What if somebody wants to buy the Hundred Acre Wood,</w:t>
      </w:r>
      <w:r>
        <w:t xml:space="preserve"> </w:t>
      </w:r>
      <w:r>
        <w:t xml:space="preserve">but they don’t want frackers or fiberoptic cable workers on their land?</w:t>
      </w:r>
      <w:r>
        <w:t xml:space="preserve"> </w:t>
      </w:r>
      <w:r>
        <w:t xml:space="preserve">What sort of</w:t>
      </w:r>
      <w:r>
        <w:t xml:space="preserve"> </w:t>
      </w:r>
      <w:r>
        <w:t xml:space="preserve">“</w:t>
      </w:r>
      <w:r>
        <w:t xml:space="preserve">license</w:t>
      </w:r>
      <w:r>
        <w:t xml:space="preserve">”</w:t>
      </w:r>
      <w:r>
        <w:t xml:space="preserve"> </w:t>
      </w:r>
      <w:r>
        <w:t xml:space="preserve">did Amy give the frackers and the cable workers?</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see who owns The Hundred Acre Wood.</w:t>
      </w:r>
    </w:p>
    <w:p>
      <w:pPr>
        <w:pStyle w:val="Heading2"/>
      </w:pPr>
      <w:bookmarkStart w:id="26" w:name="intellectual-property"/>
      <w:r>
        <w:t xml:space="preserve">Intellectual Property</w:t>
      </w:r>
      <w:bookmarkEnd w:id="26"/>
    </w:p>
    <w:p>
      <w:pPr>
        <w:pStyle w:val="FirstParagraph"/>
      </w:pPr>
      <w:r>
        <w:t xml:space="preserve">Now Amy builds a cabin deep in the Hundred Acre Wood,</w:t>
      </w:r>
      <w:r>
        <w:t xml:space="preserve"> </w:t>
      </w:r>
      <w:r>
        <w:t xml:space="preserve">where she writes a novel called</w:t>
      </w:r>
      <w:r>
        <w:t xml:space="preserve"> </w:t>
      </w:r>
      <w:r>
        <w:rPr>
          <w:i/>
        </w:rPr>
        <w:t xml:space="preserve">Zombies &amp; Vampires</w:t>
      </w:r>
      <w:r>
        <w:t xml:space="preserve">.</w:t>
      </w:r>
    </w:p>
    <w:p>
      <w:pPr>
        <w:pStyle w:val="BodyText"/>
      </w:pPr>
      <w:r>
        <w:t xml:space="preserve">The Hundred Acre Wood is real property</w:t>
      </w:r>
      <w:r>
        <w:t xml:space="preserve"> </w:t>
      </w:r>
      <w:r>
        <w:t xml:space="preserve">consisting of the land and buildings</w:t>
      </w:r>
      <w:r>
        <w:t xml:space="preserve"> </w:t>
      </w:r>
      <w:r>
        <w:t xml:space="preserve">and a bundle of Amy’s rights protected by property law.</w:t>
      </w:r>
      <w:r>
        <w:t xml:space="preserve"> </w:t>
      </w:r>
      <w:r>
        <w:t xml:space="preserve">Amy’s novel is</w:t>
      </w:r>
      <w:r>
        <w:t xml:space="preserve"> </w:t>
      </w:r>
      <w:r>
        <w:t xml:space="preserve">“</w:t>
      </w:r>
      <w:r>
        <w:t xml:space="preserve">intellectual property</w:t>
      </w:r>
      <w:r>
        <w:t xml:space="preserve">”</w:t>
      </w:r>
      <w:r>
        <w:t xml:space="preserve"> </w:t>
      </w:r>
      <w:r>
        <w:t xml:space="preserve">consisting of her writing and a bundle of rights protected by the U.S. Copyright laws.</w:t>
      </w:r>
      <w:r>
        <w:t xml:space="preserve"> </w:t>
      </w:r>
      <w:r>
        <w:t xml:space="preserve">If Amy’s agents and editors and publishers get lucky in the marketplace,</w:t>
      </w:r>
      <w:r>
        <w:t xml:space="preserve"> </w:t>
      </w:r>
      <w:r>
        <w:t xml:space="preserve">Amy’s intellectual property may be worth more that her real property.</w:t>
      </w:r>
    </w:p>
    <w:p>
      <w:pPr>
        <w:pStyle w:val="BodyText"/>
      </w:pPr>
      <w:r>
        <w:t xml:space="preserve">Consider three simple hypothetical sticks or rights</w:t>
      </w:r>
      <w:r>
        <w:t xml:space="preserve"> </w:t>
      </w:r>
      <w:r>
        <w:t xml:space="preserve">in the bundle of rights to her novel,</w:t>
      </w:r>
      <w:r>
        <w:t xml:space="preserve"> </w:t>
      </w:r>
      <w:r>
        <w:rPr>
          <w:i/>
        </w:rPr>
        <w:t xml:space="preserve">Zombies &amp; Vampires</w:t>
      </w:r>
      <w:r>
        <w:t xml:space="preserve">.</w:t>
      </w:r>
    </w:p>
    <w:p>
      <w:pPr>
        <w:pStyle w:val="Compact"/>
        <w:numPr>
          <w:numId w:val="1002"/>
          <w:ilvl w:val="0"/>
        </w:numPr>
      </w:pPr>
      <w:r>
        <w:t xml:space="preserve">Amy (via her literary agent) grants Random House the right to print and sell hardback copies of</w:t>
      </w:r>
      <w:r>
        <w:t xml:space="preserve"> </w:t>
      </w:r>
      <w:r>
        <w:rPr>
          <w:i/>
        </w:rPr>
        <w:t xml:space="preserve">Zombies &amp; Vampires</w:t>
      </w:r>
      <w:r>
        <w:t xml:space="preserve"> </w:t>
      </w:r>
      <w:r>
        <w:t xml:space="preserve">in English in North America in exchange for standard royalties of 15% and an advance against royalties of $50,000.</w:t>
      </w:r>
    </w:p>
    <w:p>
      <w:pPr>
        <w:pStyle w:val="Compact"/>
        <w:numPr>
          <w:numId w:val="1002"/>
          <w:ilvl w:val="0"/>
        </w:numPr>
      </w:pPr>
      <w:r>
        <w:t xml:space="preserve">Amy (via her literary agent and a foreign sub-agent) grants the Japanese publisher Kodansha the right to print and sell paperback copies of</w:t>
      </w:r>
      <w:r>
        <w:t xml:space="preserve"> </w:t>
      </w:r>
      <w:r>
        <w:rPr>
          <w:i/>
        </w:rPr>
        <w:t xml:space="preserve">Zombies &amp; Vampires</w:t>
      </w:r>
      <w:r>
        <w:t xml:space="preserve"> </w:t>
      </w:r>
      <w:r>
        <w:t xml:space="preserve">in Japanese in Japan in exchange for royalties amounting to 10% of the cover price and an advance of $15,000.</w:t>
      </w:r>
    </w:p>
    <w:p>
      <w:pPr>
        <w:pStyle w:val="Compact"/>
        <w:numPr>
          <w:numId w:val="1002"/>
          <w:ilvl w:val="0"/>
        </w:numPr>
      </w:pPr>
      <w:r>
        <w:t xml:space="preserve">Amy (via her literary agent and her Hollywood sub agent) sells Pete Producer an option to develop the film rights of</w:t>
      </w:r>
      <w:r>
        <w:t xml:space="preserve"> </w:t>
      </w:r>
      <w:r>
        <w:rPr>
          <w:i/>
        </w:rPr>
        <w:t xml:space="preserve">Zombies &amp; Vampires</w:t>
      </w:r>
      <w:r>
        <w:t xml:space="preserve"> </w:t>
      </w:r>
      <w:r>
        <w:t xml:space="preserve">for 18 months in exchange for $20,000.</w:t>
      </w:r>
    </w:p>
    <w:p>
      <w:pPr>
        <w:pStyle w:val="FirstParagraph"/>
      </w:pPr>
      <w:r>
        <w:t xml:space="preserve">Does Amy still own the copyright to her novel</w:t>
      </w:r>
      <w:r>
        <w:t xml:space="preserve"> </w:t>
      </w:r>
      <w:r>
        <w:rPr>
          <w:i/>
        </w:rPr>
        <w:t xml:space="preserve">Zombies &amp; Vampires</w:t>
      </w:r>
      <w:r>
        <w:t xml:space="preserve">?</w:t>
      </w:r>
      <w:r>
        <w:t xml:space="preserve"> </w:t>
      </w:r>
      <w:r>
        <w:t xml:space="preserve">Yes. Does Random House own the copyright to Amy’s novel?</w:t>
      </w:r>
      <w:r>
        <w:t xml:space="preserve"> </w:t>
      </w:r>
      <w:r>
        <w:t xml:space="preserve">No, but Amy sold Random House a license</w:t>
      </w:r>
      <w:r>
        <w:t xml:space="preserve"> </w:t>
      </w:r>
      <w:r>
        <w:t xml:space="preserve">to copy, print, and sell her books in English in North America.</w:t>
      </w:r>
      <w:r>
        <w:t xml:space="preserve"> </w:t>
      </w:r>
      <w:r>
        <w:t xml:space="preserve">Likewise neither the Japanese publisher</w:t>
      </w:r>
      <w:r>
        <w:t xml:space="preserve"> </w:t>
      </w:r>
      <w:r>
        <w:t xml:space="preserve">nor Pete Producer</w:t>
      </w:r>
      <w:r>
        <w:t xml:space="preserve"> </w:t>
      </w:r>
      <w:r>
        <w:t xml:space="preserve">“</w:t>
      </w:r>
      <w:r>
        <w:t xml:space="preserve">own</w:t>
      </w:r>
      <w:r>
        <w:t xml:space="preserve">”</w:t>
      </w:r>
      <w:r>
        <w:t xml:space="preserve"> </w:t>
      </w:r>
      <w:r>
        <w:t xml:space="preserve">the rights to Amy’s novel,</w:t>
      </w:r>
      <w:r>
        <w:t xml:space="preserve"> </w:t>
      </w:r>
      <w:r>
        <w:t xml:space="preserve">Amy has given them permission to exploit certain rights on her behalf.</w:t>
      </w:r>
    </w:p>
    <w:p>
      <w:pPr>
        <w:pStyle w:val="BodyText"/>
      </w:pPr>
      <w:r>
        <w:t xml:space="preserve">Notice how lucrative it can be for Amy to own the copyright in</w:t>
      </w:r>
      <w:r>
        <w:t xml:space="preserve"> </w:t>
      </w:r>
      <w:r>
        <w:rPr>
          <w:i/>
        </w:rPr>
        <w:t xml:space="preserve">Zombies &amp; Vampires</w:t>
      </w:r>
      <w:r>
        <w:t xml:space="preserve"> </w:t>
      </w:r>
      <w:r>
        <w:t xml:space="preserve">and still make money by licensing rights to others for limited terms.</w:t>
      </w:r>
      <w:r>
        <w:t xml:space="preserve"> </w:t>
      </w:r>
      <w:r>
        <w:t xml:space="preserve">Lawyers, literary agents, and other talent representatives</w:t>
      </w:r>
      <w:r>
        <w:t xml:space="preserve"> </w:t>
      </w:r>
      <w:r>
        <w:t xml:space="preserve">almost always advise the talent not to surrender or transfer copyright in a work,</w:t>
      </w:r>
      <w:r>
        <w:t xml:space="preserve"> </w:t>
      </w:r>
      <w:r>
        <w:t xml:space="preserve">unless the price is high and right.</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discover who owns the Hundred Acre Wood.</w:t>
      </w:r>
    </w:p>
    <w:p>
      <w:pPr>
        <w:pStyle w:val="BodyText"/>
      </w:pPr>
      <w:r>
        <w:t xml:space="preserve">Likewise, anybody can visit the</w:t>
      </w:r>
      <w:r>
        <w:t xml:space="preserve"> </w:t>
      </w:r>
      <w:hyperlink r:id="rId27">
        <w:r>
          <w:rPr>
            <w:rStyle w:val="Hyperlink"/>
          </w:rPr>
          <w:t xml:space="preserve">public catalog</w:t>
        </w:r>
        <w:r>
          <w:rPr>
            <w:rStyle w:val="Hyperlink"/>
          </w:rPr>
          <w:t xml:space="preserve"> </w:t>
        </w:r>
        <w:r>
          <w:rPr>
            <w:rStyle w:val="Hyperlink"/>
          </w:rPr>
          <w:t xml:space="preserve">of the United States Copyright Service</w:t>
        </w:r>
      </w:hyperlink>
      <w:r>
        <w:t xml:space="preserve"> </w:t>
      </w:r>
      <w:r>
        <w:t xml:space="preserve">and do a search to see who owns the copyright to</w:t>
      </w:r>
      <w:r>
        <w:t xml:space="preserve"> </w:t>
      </w:r>
      <w:r>
        <w:rPr>
          <w:i/>
        </w:rPr>
        <w:t xml:space="preserve">Zombies &amp; Vampires,</w:t>
      </w:r>
      <w:r>
        <w:t xml:space="preserve"> </w:t>
      </w:r>
      <w:r>
        <w:t xml:space="preserve">if it had been registered.</w:t>
      </w:r>
    </w:p>
    <w:p>
      <w:pPr>
        <w:pStyle w:val="Heading3"/>
      </w:pPr>
      <w:bookmarkStart w:id="28" w:name="history-of-copyright"/>
      <w:r>
        <w:t xml:space="preserve">History of Copyright</w:t>
      </w:r>
      <w:bookmarkEnd w:id="28"/>
    </w:p>
    <w:p>
      <w:pPr>
        <w:pStyle w:val="BlockText"/>
      </w:pPr>
      <w:r>
        <w:t xml:space="preserve">The Framers intended copyright itself to be the engine of free expression.</w:t>
      </w:r>
      <w:r>
        <w:t xml:space="preserve"> </w:t>
      </w:r>
      <w:r>
        <w:t xml:space="preserve">By establishing a marketable right to the use of one’s expression,</w:t>
      </w:r>
      <w:r>
        <w:t xml:space="preserve"> </w:t>
      </w:r>
      <w:r>
        <w:t xml:space="preserve">copyright supplies the economic incentive to create and disseminate ideas.</w:t>
      </w:r>
    </w:p>
    <w:p>
      <w:pPr>
        <w:pStyle w:val="BlockText"/>
      </w:pPr>
      <w:hyperlink r:id="rId29">
        <w:r>
          <w:rPr>
            <w:rStyle w:val="Hyperlink"/>
          </w:rPr>
          <w:t xml:space="preserve">Harper &amp; Row v. The Nation</w:t>
        </w:r>
      </w:hyperlink>
      <w:r>
        <w:t xml:space="preserve"> </w:t>
      </w:r>
      <w:r>
        <w:t xml:space="preserve">(US 1976)</w:t>
      </w:r>
    </w:p>
    <w:p>
      <w:pPr>
        <w:pStyle w:val="FirstParagraph"/>
      </w:pPr>
      <w:r>
        <w:t xml:space="preserve">The first copyright law was the Statute of Anne,</w:t>
      </w:r>
      <w:r>
        <w:t xml:space="preserve"> </w:t>
      </w:r>
      <w:r>
        <w:t xml:space="preserve">created by an Act of Parliament passed in England in the year 1710.</w:t>
      </w:r>
    </w:p>
    <w:p>
      <w:pPr>
        <w:pStyle w:val="BodyText"/>
      </w:pPr>
      <w:r>
        <w:t xml:space="preserve">In 1790, the Framers of the U.S. Constitution had the same idea in mind</w:t>
      </w:r>
      <w:r>
        <w:t xml:space="preserve"> </w:t>
      </w:r>
      <w:r>
        <w:t xml:space="preserve">when they drafted Article I, Section 8, Clause 8, which provides:</w:t>
      </w:r>
    </w:p>
    <w:p>
      <w:pPr>
        <w:pStyle w:val="BlockText"/>
      </w:pPr>
      <w:r>
        <w:t xml:space="preserve">The Congress shall have power …</w:t>
      </w:r>
      <w:r>
        <w:t xml:space="preserve"> </w:t>
      </w: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This gets lost in a long list of powers given to Congress.</w:t>
      </w:r>
      <w:r>
        <w:t xml:space="preserve"> </w:t>
      </w:r>
      <w:r>
        <w:t xml:space="preserve">To raise armies, to declare war, to coin money, to levy taxes.</w:t>
      </w:r>
      <w:r>
        <w:t xml:space="preserve"> </w:t>
      </w:r>
      <w:r>
        <w:t xml:space="preserve">But notice one thing.</w:t>
      </w:r>
      <w:r>
        <w:t xml:space="preserve"> </w:t>
      </w:r>
      <w:r>
        <w:t xml:space="preserve">The Constitution explicitly protects only one business. Not farming,</w:t>
      </w:r>
      <w:r>
        <w:t xml:space="preserve"> </w:t>
      </w:r>
      <w:r>
        <w:t xml:space="preserve">not banking, not law or medicine.</w:t>
      </w:r>
      <w:r>
        <w:t xml:space="preserve"> </w:t>
      </w:r>
      <w:r>
        <w:t xml:space="preserve">The Constitution protects the intellectual property business (</w:t>
      </w:r>
      <w:r>
        <w:t xml:space="preserve">“</w:t>
      </w:r>
      <w:r>
        <w:t xml:space="preserve">IP</w:t>
      </w:r>
      <w:r>
        <w:t xml:space="preserve">”</w:t>
      </w:r>
      <w:r>
        <w:t xml:space="preserve">).</w:t>
      </w:r>
      <w:r>
        <w:t xml:space="preserve"> </w:t>
      </w:r>
      <w:r>
        <w:t xml:space="preserve">Nice for authors, artists, inventors, scientists, trillion dollar tech companies,</w:t>
      </w:r>
      <w:r>
        <w:t xml:space="preserve"> </w:t>
      </w:r>
      <w:r>
        <w:t xml:space="preserve">and anybody in the entertainment industry,</w:t>
      </w:r>
      <w:r>
        <w:t xml:space="preserve"> </w:t>
      </w:r>
      <w:r>
        <w:t xml:space="preserve">including the music, video game, and publishing industries.</w:t>
      </w:r>
    </w:p>
    <w:p>
      <w:pPr>
        <w:pStyle w:val="BodyText"/>
      </w:pPr>
      <w:r>
        <w:t xml:space="preserve">Congress wasted no time exercising its new power</w:t>
      </w:r>
      <w:r>
        <w:t xml:space="preserve"> </w:t>
      </w:r>
      <w:r>
        <w:t xml:space="preserve">and passed the first U.S. copyright law in 1790.</w:t>
      </w:r>
      <w:r>
        <w:t xml:space="preserve"> </w:t>
      </w:r>
      <w:r>
        <w:t xml:space="preserve">Ever since, Congress has passed laws protecting scientists and other useful artists</w:t>
      </w:r>
      <w:r>
        <w:t xml:space="preserve"> </w:t>
      </w:r>
      <w:r>
        <w:t xml:space="preserve">by securing their exclusive rights to their trademarks, patents, and copyrights.</w:t>
      </w:r>
    </w:p>
    <w:p>
      <w:pPr>
        <w:pStyle w:val="BodyText"/>
      </w:pPr>
      <w:r>
        <w:t xml:space="preserve">A</w:t>
      </w:r>
      <w:r>
        <w:t xml:space="preserve"> </w:t>
      </w:r>
      <w:r>
        <w:t xml:space="preserve">“</w:t>
      </w:r>
      <w:r>
        <w:t xml:space="preserve">copyright</w:t>
      </w:r>
      <w:r>
        <w:t xml:space="preserve">”</w:t>
      </w:r>
      <w:r>
        <w:t xml:space="preserve"> </w:t>
      </w:r>
      <w:r>
        <w:t xml:space="preserve">grants authors and artists certain exclusive rights</w:t>
      </w:r>
      <w:r>
        <w:t xml:space="preserve"> </w:t>
      </w:r>
      <w:r>
        <w:t xml:space="preserve">(see list below) to their intellectual property (the work they created).</w:t>
      </w:r>
    </w:p>
    <w:p>
      <w:pPr>
        <w:pStyle w:val="Heading2"/>
      </w:pPr>
      <w:bookmarkStart w:id="30" w:name="copyright-basics"/>
      <w:r>
        <w:t xml:space="preserve">Copyright Basics</w:t>
      </w:r>
      <w:bookmarkEnd w:id="30"/>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rPr>
          <w:i/>
        </w:rPr>
        <w:t xml:space="preserve">Entertainment, Media and The Law,</w:t>
      </w:r>
      <w:r>
        <w:t xml:space="preserve"> </w:t>
      </w:r>
      <w:r>
        <w:t xml:space="preserve">Paul Weiler.</w:t>
      </w:r>
    </w:p>
    <w:p>
      <w:pPr>
        <w:pStyle w:val="FirstParagraph"/>
      </w:pPr>
      <w:r>
        <w:t xml:space="preserve">The</w:t>
      </w:r>
      <w:r>
        <w:t xml:space="preserve"> </w:t>
      </w:r>
      <w:hyperlink r:id="rId31">
        <w:r>
          <w:rPr>
            <w:rStyle w:val="Hyperlink"/>
          </w:rPr>
          <w:t xml:space="preserve">US Copyright Office</w:t>
        </w:r>
      </w:hyperlink>
      <w:r>
        <w:t xml:space="preserve"> </w:t>
      </w:r>
      <w:r>
        <w:t xml:space="preserve">does a great job</w:t>
      </w:r>
      <w:r>
        <w:t xml:space="preserve"> </w:t>
      </w:r>
      <w:r>
        <w:t xml:space="preserve">of educating people about the copyright laws.</w:t>
      </w:r>
      <w:r>
        <w:t xml:space="preserve"> </w:t>
      </w:r>
      <w:r>
        <w:t xml:space="preserve">The materials available at copyright.gov are written in plain English</w:t>
      </w:r>
      <w:r>
        <w:t xml:space="preserve"> </w:t>
      </w:r>
      <w:r>
        <w:t xml:space="preserve">for artists, scientists, employees, authors, and yes law students.</w:t>
      </w:r>
      <w:r>
        <w:t xml:space="preserve"> </w:t>
      </w:r>
      <w:r>
        <w:t xml:space="preserve">Under the tab</w:t>
      </w:r>
      <w:r>
        <w:t xml:space="preserve"> </w:t>
      </w:r>
      <w:r>
        <w:t xml:space="preserve">“</w:t>
      </w:r>
      <w:r>
        <w:t xml:space="preserve">Law and Guidance Tab,</w:t>
      </w:r>
      <w:r>
        <w:t xml:space="preserve">”</w:t>
      </w:r>
      <w:r>
        <w:t xml:space="preserve"> </w:t>
      </w:r>
      <w:r>
        <w:t xml:space="preserve">the office provides</w:t>
      </w:r>
      <w:r>
        <w:t xml:space="preserve"> </w:t>
      </w:r>
      <w:hyperlink r:id="rId32">
        <w:r>
          <w:rPr>
            <w:rStyle w:val="Hyperlink"/>
          </w:rPr>
          <w:t xml:space="preserve">circulars</w:t>
        </w:r>
      </w:hyperlink>
      <w:r>
        <w:t xml:space="preserve"> </w:t>
      </w:r>
      <w:r>
        <w:t xml:space="preserve">on various copyright topics.</w:t>
      </w:r>
      <w:r>
        <w:t xml:space="preserve"> </w:t>
      </w:r>
      <w:r>
        <w:t xml:space="preserve">Please read the first 6 pages of</w:t>
      </w:r>
      <w:r>
        <w:t xml:space="preserve"> </w:t>
      </w:r>
      <w:hyperlink r:id="rId33">
        <w:r>
          <w:rPr>
            <w:rStyle w:val="Hyperlink"/>
          </w:rPr>
          <w:t xml:space="preserve">Copyright Basics</w:t>
        </w:r>
      </w:hyperlink>
      <w:r>
        <w:t xml:space="preserve">.</w:t>
      </w:r>
      <w:r>
        <w:t xml:space="preserve"> </w:t>
      </w:r>
      <w:r>
        <w:t xml:space="preserve">Stop at page 7,</w:t>
      </w:r>
      <w:r>
        <w:t xml:space="preserve"> </w:t>
      </w:r>
      <w:r>
        <w:t xml:space="preserve">“</w:t>
      </w:r>
      <w:r>
        <w:t xml:space="preserve">Copyright Registration</w:t>
      </w:r>
      <w:r>
        <w:t xml:space="preserve">”</w:t>
      </w:r>
      <w:r>
        <w:t xml:space="preserve">).</w:t>
      </w:r>
    </w:p>
    <w:p>
      <w:pPr>
        <w:pStyle w:val="Compact"/>
        <w:numPr>
          <w:numId w:val="1003"/>
          <w:ilvl w:val="0"/>
        </w:numPr>
      </w:pPr>
      <w:hyperlink r:id="rId33">
        <w:r>
          <w:rPr>
            <w:rStyle w:val="Hyperlink"/>
          </w:rPr>
          <w:t xml:space="preserve">Copyright Basics</w:t>
        </w:r>
      </w:hyperlink>
    </w:p>
    <w:p>
      <w:pPr>
        <w:pStyle w:val="FirstParagraph"/>
      </w:pPr>
      <w:r>
        <w:t xml:space="preserve">If this Entertainment Law course is your first exposure to the law of intellectual property,</w:t>
      </w:r>
      <w:r>
        <w:t xml:space="preserve"> </w:t>
      </w:r>
      <w:r>
        <w:t xml:space="preserve">then please watch the Crash Course on Copyright videos:</w:t>
      </w:r>
    </w:p>
    <w:p>
      <w:pPr>
        <w:pStyle w:val="Compact"/>
        <w:numPr>
          <w:numId w:val="1004"/>
          <w:ilvl w:val="0"/>
        </w:numPr>
      </w:pPr>
      <w:hyperlink r:id="rId34">
        <w:r>
          <w:rPr>
            <w:rStyle w:val="Hyperlink"/>
          </w:rPr>
          <w:t xml:space="preserve">Copyright Basics: Crash Course Intellectual Property 2</w:t>
        </w:r>
      </w:hyperlink>
    </w:p>
    <w:p>
      <w:pPr>
        <w:pStyle w:val="Compact"/>
        <w:numPr>
          <w:numId w:val="1004"/>
          <w:ilvl w:val="0"/>
        </w:numPr>
      </w:pPr>
      <w:hyperlink r:id="rId35">
        <w:r>
          <w:rPr>
            <w:rStyle w:val="Hyperlink"/>
          </w:rPr>
          <w:t xml:space="preserve">Copyright, Exceptions, and Fair Use: Crash Course Intellectual Property 3</w:t>
        </w:r>
      </w:hyperlink>
    </w:p>
    <w:p>
      <w:pPr>
        <w:pStyle w:val="Heading3"/>
      </w:pPr>
      <w:bookmarkStart w:id="36" w:name="copyright-terms"/>
      <w:r>
        <w:t xml:space="preserve">Copyright Terms</w:t>
      </w:r>
      <w:bookmarkEnd w:id="36"/>
    </w:p>
    <w:p>
      <w:pPr>
        <w:pStyle w:val="FirstParagraph"/>
      </w:pPr>
      <w:r>
        <w:t xml:space="preserve">We do not have time to explore the particulars of</w:t>
      </w:r>
      <w:r>
        <w:t xml:space="preserve"> </w:t>
      </w:r>
      <w:hyperlink r:id="rId37">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8">
        <w:r>
          <w:rPr>
            <w:rStyle w:val="Hyperlink"/>
          </w:rPr>
          <w:t xml:space="preserve">List of countries’ copyright lengths</w:t>
        </w:r>
      </w:hyperlink>
      <w:r>
        <w:t xml:space="preserve">.</w:t>
      </w:r>
      <w:r>
        <w:t xml:space="preserve"> </w:t>
      </w:r>
      <w:r>
        <w:t xml:space="preserve">In the United States</w:t>
      </w:r>
    </w:p>
    <w:p>
      <w:pPr>
        <w:pStyle w:val="BodyText"/>
      </w:pPr>
      <w:r>
        <w:t xml:space="preserve">In the United States,</w:t>
      </w:r>
      <w:r>
        <w:t xml:space="preserve"> </w:t>
      </w:r>
      <w:r>
        <w:t xml:space="preserve">the law automatically protects a work that is created and fixed in a tangible</w:t>
      </w:r>
      <w:r>
        <w:t xml:space="preserve"> </w:t>
      </w:r>
      <w:r>
        <w:t xml:space="preserve">medium of expression on or after January 1, 1978,</w:t>
      </w:r>
      <w:r>
        <w:t xml:space="preserve"> </w:t>
      </w:r>
      <w:r>
        <w:t xml:space="preserve">from the moment of its</w:t>
      </w:r>
      <w:r>
        <w:t xml:space="preserve"> </w:t>
      </w:r>
      <w:r>
        <w:t xml:space="preserve">creation and gives it a copyright term lasting for</w:t>
      </w:r>
      <w:r>
        <w:t xml:space="preserve"> </w:t>
      </w:r>
      <w:r>
        <w:t xml:space="preserve">the author’s life plus an additional 70</w:t>
      </w:r>
      <w:r>
        <w:t xml:space="preserve"> </w:t>
      </w:r>
      <w:r>
        <w:t xml:space="preserve">years. For a</w:t>
      </w:r>
      <w:r>
        <w:t xml:space="preserve"> </w:t>
      </w:r>
      <w:r>
        <w:t xml:space="preserve">“</w:t>
      </w:r>
      <w:r>
        <w:t xml:space="preserve">joint work prepared by two or more authors who did not work</w:t>
      </w:r>
      <w:r>
        <w:t xml:space="preserve"> </w:t>
      </w:r>
      <w:r>
        <w:t xml:space="preserve">for hire,</w:t>
      </w:r>
      <w:r>
        <w:t xml:space="preserve">”</w:t>
      </w:r>
      <w:r>
        <w:t xml:space="preserve"> </w:t>
      </w:r>
      <w:r>
        <w:t xml:space="preserve">the term lasts for 70 years after the last surviving author’s death.</w:t>
      </w:r>
    </w:p>
    <w:p>
      <w:pPr>
        <w:pStyle w:val="BodyText"/>
      </w:pPr>
      <w:r>
        <w:t xml:space="preserve">For works made for hire and anonymous and pseudonymous works,</w:t>
      </w:r>
      <w:r>
        <w:t xml:space="preserve"> </w:t>
      </w:r>
      <w:r>
        <w:t xml:space="preserve">the duration of copyright is 95 years from first publication</w:t>
      </w:r>
      <w:r>
        <w:t xml:space="preserve"> </w:t>
      </w:r>
      <w:r>
        <w:t xml:space="preserve">or 120 years from creation,</w:t>
      </w:r>
      <w:r>
        <w:t xml:space="preserve"> </w:t>
      </w:r>
      <w:r>
        <w:t xml:space="preserve">whichever is shorter.</w:t>
      </w:r>
    </w:p>
    <w:p>
      <w:pPr>
        <w:pStyle w:val="BodyText"/>
      </w:pPr>
      <w:r>
        <w:t xml:space="preserve">For more information about works made for hire, see</w:t>
      </w:r>
      <w:r>
        <w:t xml:space="preserve"> </w:t>
      </w:r>
      <w:hyperlink r:id="rId39">
        <w:r>
          <w:rPr>
            <w:rStyle w:val="Hyperlink"/>
          </w:rPr>
          <w:t xml:space="preserve">Circular 9, Works Made</w:t>
        </w:r>
        <w:r>
          <w:rPr>
            <w:rStyle w:val="Hyperlink"/>
          </w:rPr>
          <w:t xml:space="preserve"> </w:t>
        </w:r>
        <w:r>
          <w:rPr>
            <w:rStyle w:val="Hyperlink"/>
          </w:rPr>
          <w:t xml:space="preserve">for Hire under the 1976 Copyright Act</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4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41" w:name="rights-protected-by-copyright-include"/>
      <w:r>
        <w:t xml:space="preserve">Rights Protected by Copyright Include:</w:t>
      </w:r>
      <w:bookmarkEnd w:id="41"/>
    </w:p>
    <w:p>
      <w:pPr>
        <w:pStyle w:val="Compact"/>
        <w:numPr>
          <w:numId w:val="1005"/>
          <w:ilvl w:val="0"/>
        </w:numPr>
      </w:pPr>
      <w:r>
        <w:t xml:space="preserve">Production of the initial work</w:t>
      </w:r>
    </w:p>
    <w:p>
      <w:pPr>
        <w:pStyle w:val="Compact"/>
        <w:numPr>
          <w:numId w:val="1005"/>
          <w:ilvl w:val="0"/>
        </w:numPr>
      </w:pPr>
      <w:r>
        <w:t xml:space="preserve">Production of derivative works</w:t>
      </w:r>
    </w:p>
    <w:p>
      <w:pPr>
        <w:pStyle w:val="Compact"/>
        <w:numPr>
          <w:numId w:val="1005"/>
          <w:ilvl w:val="0"/>
        </w:numPr>
      </w:pPr>
      <w:r>
        <w:t xml:space="preserve">Distribution of the product by sale or rental</w:t>
      </w:r>
    </w:p>
    <w:p>
      <w:pPr>
        <w:pStyle w:val="Compact"/>
        <w:numPr>
          <w:numId w:val="1005"/>
          <w:ilvl w:val="0"/>
        </w:numPr>
      </w:pPr>
      <w:r>
        <w:t xml:space="preserve">Public performance</w:t>
      </w:r>
    </w:p>
    <w:p>
      <w:pPr>
        <w:pStyle w:val="Compact"/>
        <w:numPr>
          <w:numId w:val="1005"/>
          <w:ilvl w:val="0"/>
        </w:numPr>
      </w:pPr>
      <w:r>
        <w:t xml:space="preserve">Public display</w:t>
      </w:r>
    </w:p>
    <w:p>
      <w:pPr>
        <w:pStyle w:val="Heading4"/>
      </w:pPr>
      <w:bookmarkStart w:id="42" w:name="who-owns-the-rights"/>
      <w:r>
        <w:t xml:space="preserve">Who Owns The Rights?</w:t>
      </w:r>
      <w:bookmarkEnd w:id="42"/>
    </w:p>
    <w:p>
      <w:pPr>
        <w:pStyle w:val="FirstParagraph"/>
      </w:pPr>
      <w:r>
        <w:t xml:space="preserve">Artists invest time, talent, and money to produce intellectual property,</w:t>
      </w:r>
      <w:r>
        <w:t xml:space="preserve"> </w:t>
      </w:r>
      <w:r>
        <w:t xml:space="preserve">which consumers then presumably purchase the right to enjoy.</w:t>
      </w:r>
      <w:r>
        <w:t xml:space="preserve"> </w:t>
      </w:r>
      <w:r>
        <w:t xml:space="preserve">Simply purchasing a copyrighted work (say, a book),</w:t>
      </w:r>
      <w:r>
        <w:t xml:space="preserve"> </w:t>
      </w:r>
      <w:r>
        <w:t xml:space="preserve">however, does not grant the buyer all of the same rights held by the copyright owner.</w:t>
      </w:r>
      <w:r>
        <w:t xml:space="preserve"> </w:t>
      </w:r>
      <w:r>
        <w:t xml:space="preserve">But artists may also wish to share their work under various alternative licensing schemes:</w:t>
      </w:r>
    </w:p>
    <w:p>
      <w:pPr>
        <w:pStyle w:val="Compact"/>
        <w:numPr>
          <w:numId w:val="1006"/>
          <w:ilvl w:val="0"/>
        </w:numPr>
      </w:pPr>
      <w:hyperlink r:id="rId43">
        <w:r>
          <w:rPr>
            <w:rStyle w:val="Hyperlink"/>
          </w:rPr>
          <w:t xml:space="preserve">Copyleft</w:t>
        </w:r>
      </w:hyperlink>
      <w:r>
        <w:t xml:space="preserve">,</w:t>
      </w:r>
    </w:p>
    <w:p>
      <w:pPr>
        <w:pStyle w:val="Compact"/>
        <w:numPr>
          <w:numId w:val="1006"/>
          <w:ilvl w:val="0"/>
        </w:numPr>
      </w:pPr>
      <w:hyperlink r:id="rId44">
        <w:r>
          <w:rPr>
            <w:rStyle w:val="Hyperlink"/>
          </w:rPr>
          <w:t xml:space="preserve">MIT license</w:t>
        </w:r>
      </w:hyperlink>
      <w:r>
        <w:t xml:space="preserve">,</w:t>
      </w:r>
    </w:p>
    <w:p>
      <w:pPr>
        <w:pStyle w:val="Compact"/>
        <w:numPr>
          <w:numId w:val="1006"/>
          <w:ilvl w:val="0"/>
        </w:numPr>
      </w:pPr>
      <w:hyperlink r:id="rId45">
        <w:r>
          <w:rPr>
            <w:rStyle w:val="Hyperlink"/>
          </w:rPr>
          <w:t xml:space="preserve">Creative Commons</w:t>
        </w:r>
      </w:hyperlink>
      <w:r>
        <w:t xml:space="preserve">, and so on. Copyrights may also be transferred.</w:t>
      </w:r>
    </w:p>
    <w:p>
      <w:pPr>
        <w:pStyle w:val="FirstParagraph"/>
      </w:pPr>
      <w:r>
        <w:t xml:space="preserve">For instance, I selected an MIT license for the materials you are reading now.</w:t>
      </w:r>
      <w:r>
        <w:t xml:space="preserve"> </w:t>
      </w:r>
      <w:r>
        <w:t xml:space="preserve">Anyone is free to use and copy these materials.</w:t>
      </w:r>
    </w:p>
    <w:p>
      <w:pPr>
        <w:pStyle w:val="Heading3"/>
      </w:pPr>
      <w:bookmarkStart w:id="46" w:name="copyrightable-works"/>
      <w:r>
        <w:t xml:space="preserve">Copyrightable Works</w:t>
      </w:r>
      <w:bookmarkEnd w:id="4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4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48" w:name="bleistein-v-donaldson-lithographing-co.-sct.-1903"/>
      <w:r>
        <w:rPr>
          <w:i/>
        </w:rPr>
        <w:t xml:space="preserve">Bleistein v Donaldson Lithographing Co.,</w:t>
      </w:r>
      <w:r>
        <w:t xml:space="preserve"> </w:t>
      </w:r>
      <w:r>
        <w:t xml:space="preserve">(Sct. 1903)</w:t>
      </w:r>
      <w:bookmarkEnd w:id="4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4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50" w:name="copyright-protects-original-works-of-authorship"/>
      <w:r>
        <w:t xml:space="preserve">Copyright Protects</w:t>
      </w:r>
      <w:r>
        <w:t xml:space="preserve"> </w:t>
      </w:r>
      <w:r>
        <w:t xml:space="preserve">“</w:t>
      </w:r>
      <w:r>
        <w:t xml:space="preserve">Original Works of Authorship</w:t>
      </w:r>
      <w:r>
        <w:t xml:space="preserve">”</w:t>
      </w:r>
      <w:bookmarkEnd w:id="5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51">
        <w:r>
          <w:rPr>
            <w:i/>
            <w:rStyle w:val="Hyperlink"/>
          </w:rPr>
          <w:t xml:space="preserve">Feist Publications v Rural Telephone Service</w:t>
        </w:r>
      </w:hyperlink>
      <w:r>
        <w:t xml:space="preserve"> </w:t>
      </w:r>
      <w:r>
        <w:t xml:space="preserve">(US 1991).</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7"/>
          <w:ilvl w:val="0"/>
        </w:numPr>
      </w:pPr>
      <w:hyperlink r:id="rId52">
        <w:r>
          <w:rPr>
            <w:i/>
            <w:rStyle w:val="Hyperlink"/>
          </w:rPr>
          <w:t xml:space="preserve">Nimmer on Copyright</w:t>
        </w:r>
      </w:hyperlink>
      <w:r>
        <w:t xml:space="preserve">.</w:t>
      </w:r>
    </w:p>
    <w:p>
      <w:pPr>
        <w:pStyle w:val="Heading4"/>
      </w:pPr>
      <w:bookmarkStart w:id="53" w:name="enough-original-content-to-constitute-a-work"/>
      <w:r>
        <w:t xml:space="preserve">Enough Original Content to Constitute</w:t>
      </w:r>
      <w:r>
        <w:t xml:space="preserve"> </w:t>
      </w:r>
      <w:r>
        <w:t xml:space="preserve">“</w:t>
      </w:r>
      <w:r>
        <w:t xml:space="preserve">a Work</w:t>
      </w:r>
      <w:r>
        <w:t xml:space="preserve">”</w:t>
      </w:r>
      <w:bookmarkEnd w:id="5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5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51">
        <w:r>
          <w:rPr>
            <w:i/>
            <w:rStyle w:val="Hyperlink"/>
          </w:rPr>
          <w:t xml:space="preserve">Feist v. Rural</w:t>
        </w:r>
      </w:hyperlink>
      <w:r>
        <w:t xml:space="preserve"> </w:t>
      </w:r>
      <w:r>
        <w:t xml:space="preserve">(US 1991),</w:t>
      </w:r>
      <w:r>
        <w:t xml:space="preserve"> </w:t>
      </w:r>
      <w:r>
        <w:t xml:space="preserve">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w:t>
      </w:r>
      <w:r>
        <w:t xml:space="preserve"> </w:t>
      </w:r>
      <w:r>
        <w:rPr>
          <w:i/>
        </w:rPr>
        <w:t xml:space="preserve">turn down the volume</w:t>
      </w:r>
      <w:r>
        <w:t xml:space="preserve"> </w:t>
      </w:r>
      <w:r>
        <w:t xml:space="preserve">on your computer.</w:t>
      </w:r>
      <w:r>
        <w:t xml:space="preserve"> </w:t>
      </w:r>
      <w:r>
        <w:t xml:space="preserve">It’s a bit loud:</w:t>
      </w:r>
      <w:r>
        <w:t xml:space="preserve"> </w:t>
      </w:r>
      <w:hyperlink r:id="rId5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56" w:name="fixation"/>
      <w:r>
        <w:t xml:space="preserve">Fixation</w:t>
      </w:r>
      <w:bookmarkEnd w:id="5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4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57">
        <w:r>
          <w:rPr>
            <w:rStyle w:val="Hyperlink"/>
          </w:rPr>
          <w:t xml:space="preserve">§ 101</w:t>
        </w:r>
      </w:hyperlink>
    </w:p>
    <w:p>
      <w:pPr>
        <w:pStyle w:val="Heading4"/>
      </w:pPr>
      <w:bookmarkStart w:id="58" w:name="horgan-v-macmillan-2d-cir.-1986"/>
      <w:r>
        <w:rPr>
          <w:i/>
        </w:rPr>
        <w:t xml:space="preserve">Horgan v Macmillan,</w:t>
      </w:r>
      <w:r>
        <w:t xml:space="preserve"> </w:t>
      </w:r>
      <w:r>
        <w:t xml:space="preserve">(2d Cir. 1986)</w:t>
      </w:r>
      <w:bookmarkEnd w:id="58"/>
    </w:p>
    <w:p>
      <w:pPr>
        <w:pStyle w:val="Compact"/>
        <w:numPr>
          <w:numId w:val="1008"/>
          <w:ilvl w:val="0"/>
        </w:numPr>
      </w:pPr>
      <w:hyperlink r:id="rId5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60" w:name="what-doesnt-copyright-protect"/>
      <w:r>
        <w:t xml:space="preserve">What Doesn’t Copyright Protect?</w:t>
      </w:r>
      <w:bookmarkEnd w:id="60"/>
    </w:p>
    <w:p>
      <w:pPr>
        <w:pStyle w:val="Heading4"/>
      </w:pPr>
      <w:bookmarkStart w:id="61" w:name="ideas"/>
      <w:r>
        <w:t xml:space="preserve">Ideas</w:t>
      </w:r>
      <w:bookmarkEnd w:id="61"/>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4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p>
      <w:pPr>
        <w:pStyle w:val="Heading4"/>
      </w:pPr>
      <w:bookmarkStart w:id="62" w:name="research"/>
      <w:r>
        <w:t xml:space="preserve">Research</w:t>
      </w:r>
      <w:bookmarkEnd w:id="62"/>
    </w:p>
    <w:p>
      <w:pPr>
        <w:pStyle w:val="FirstParagraph"/>
      </w:pPr>
      <w:r>
        <w:t xml:space="preserve">The copyright laws do not protect research.</w:t>
      </w:r>
    </w:p>
    <w:p>
      <w:pPr>
        <w:pStyle w:val="Heading3"/>
      </w:pPr>
      <w:bookmarkStart w:id="63" w:name="miller-v.-universal-city-studios-inc."/>
      <w:r>
        <w:rPr>
          <w:i/>
        </w:rPr>
        <w:t xml:space="preserve">Miller v. Universal City Studios, Inc.</w:t>
      </w:r>
      <w:bookmarkEnd w:id="63"/>
    </w:p>
    <w:p>
      <w:pPr>
        <w:pStyle w:val="Heading6"/>
      </w:pPr>
      <w:bookmarkStart w:id="64" w:name="court-of-appeals-5th-circuit-1981"/>
      <w:r>
        <w:t xml:space="preserve">Court of Appeals, 5th Circuit 1981</w:t>
      </w:r>
      <w:bookmarkEnd w:id="64"/>
    </w:p>
    <w:p>
      <w:pPr>
        <w:pStyle w:val="Compact"/>
        <w:numPr>
          <w:numId w:val="1009"/>
          <w:ilvl w:val="0"/>
        </w:numPr>
      </w:pPr>
      <w:hyperlink r:id="rId65">
        <w:r>
          <w:rPr>
            <w:rStyle w:val="Hyperlink"/>
          </w:rPr>
          <w:t xml:space="preserve">Case on Google Scholar</w:t>
        </w:r>
      </w:hyperlink>
      <w:r>
        <w:t xml:space="preserve">.</w:t>
      </w:r>
    </w:p>
    <w:p>
      <w:pPr>
        <w:pStyle w:val="Compact"/>
        <w:numPr>
          <w:numId w:val="1009"/>
          <w:ilvl w:val="0"/>
        </w:numPr>
      </w:pPr>
      <w:hyperlink r:id="rId66">
        <w:r>
          <w:rPr>
            <w:rStyle w:val="Hyperlink"/>
          </w:rPr>
          <w:t xml:space="preserve">Wikipedia</w:t>
        </w:r>
      </w:hyperlink>
      <w:r>
        <w:t xml:space="preserve">.</w:t>
      </w:r>
    </w:p>
    <w:p>
      <w:pPr>
        <w:pStyle w:val="Heading4"/>
      </w:pPr>
      <w:bookmarkStart w:id="67" w:name="facts"/>
      <w:r>
        <w:rPr>
          <w:i/>
        </w:rPr>
        <w:t xml:space="preserve">Facts</w:t>
      </w:r>
      <w:bookmarkEnd w:id="6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68" w:name="is-research-copyrightable"/>
      <w:r>
        <w:rPr>
          <w:i/>
        </w:rPr>
        <w:t xml:space="preserve">Is Research Copyrightable?</w:t>
      </w:r>
      <w:bookmarkEnd w:id="6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69">
        <w:r>
          <w:rPr>
            <w:i/>
            <w:rStyle w:val="Hyperlink"/>
          </w:rPr>
          <w:t xml:space="preserve">International News Service v. The Associated Press,</w:t>
        </w:r>
        <w:r>
          <w:rPr>
            <w:rStyle w:val="Hyperlink"/>
          </w:rPr>
          <w:t xml:space="preserve"> </w:t>
        </w:r>
        <w:r>
          <w:rPr>
            <w:rStyle w:val="Hyperlink"/>
          </w:rPr>
          <w:t xml:space="preserve">(US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w:t>
      </w:r>
      <w:r>
        <w:t xml:space="preserve"> </w:t>
      </w:r>
      <w:r>
        <w:t xml:space="preserve">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7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7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7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7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7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7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7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74">
        <w:r>
          <w:rPr>
            <w:i/>
            <w:rStyle w:val="Hyperlink"/>
          </w:rPr>
          <w:t xml:space="preserve">McCullough v. Beech Aircraft Corp.,</w:t>
        </w:r>
        <w:r>
          <w:rPr>
            <w:rStyle w:val="Hyperlink"/>
          </w:rPr>
          <w:t xml:space="preserve"> </w:t>
        </w:r>
        <w:r>
          <w:rPr>
            <w:rStyle w:val="Hyperlink"/>
          </w:rPr>
          <w:t xml:space="preserve">(5th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75" w:name="notes-on-miller-v.-universal"/>
      <w:r>
        <w:t xml:space="preserve">Notes On</w:t>
      </w:r>
      <w:r>
        <w:t xml:space="preserve"> </w:t>
      </w:r>
      <w:r>
        <w:rPr>
          <w:i/>
        </w:rPr>
        <w:t xml:space="preserve">Miller v. Universal</w:t>
      </w:r>
      <w:bookmarkEnd w:id="7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76" w:name="scènes-à-faire"/>
      <w:r>
        <w:t xml:space="preserve">Scènes-À-Faire</w:t>
      </w:r>
      <w:bookmarkEnd w:id="76"/>
    </w:p>
    <w:p>
      <w:pPr>
        <w:pStyle w:val="FirstParagraph"/>
      </w:pPr>
      <w:r>
        <w:t xml:space="preserve">Definition:</w:t>
      </w:r>
      <w:r>
        <w:t xml:space="preserve"> </w:t>
      </w:r>
      <w:hyperlink r:id="rId7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 patch, bandanna,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p>
      <w:pPr>
        <w:pStyle w:val="Heading4"/>
      </w:pPr>
      <w:bookmarkStart w:id="78" w:name="names-titles-short-phrases-expressions"/>
      <w:r>
        <w:t xml:space="preserve">Names, Titles, Short Phrases, Expressions</w:t>
      </w:r>
      <w:bookmarkEnd w:id="7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10"/>
          <w:ilvl w:val="0"/>
        </w:numPr>
      </w:pPr>
      <w:r>
        <w:t xml:space="preserve">Names of products or services;</w:t>
      </w:r>
    </w:p>
    <w:p>
      <w:pPr>
        <w:pStyle w:val="Compact"/>
        <w:pStyle w:val="BlockText"/>
        <w:numPr>
          <w:numId w:val="1010"/>
          <w:ilvl w:val="0"/>
        </w:numPr>
      </w:pPr>
      <w:r>
        <w:t xml:space="preserve">Names of businesses, organizations, or groups (including the names of performing groups);</w:t>
      </w:r>
    </w:p>
    <w:p>
      <w:pPr>
        <w:pStyle w:val="Compact"/>
        <w:pStyle w:val="BlockText"/>
        <w:numPr>
          <w:numId w:val="1010"/>
          <w:ilvl w:val="0"/>
        </w:numPr>
      </w:pPr>
      <w:r>
        <w:t xml:space="preserve">Pseudonyms of individuals (including pen or stage names);</w:t>
      </w:r>
    </w:p>
    <w:p>
      <w:pPr>
        <w:pStyle w:val="Compact"/>
        <w:pStyle w:val="BlockText"/>
        <w:numPr>
          <w:numId w:val="1010"/>
          <w:ilvl w:val="0"/>
        </w:numPr>
      </w:pPr>
      <w:r>
        <w:t xml:space="preserve">Titles of works</w:t>
      </w:r>
    </w:p>
    <w:p>
      <w:pPr>
        <w:pStyle w:val="Compact"/>
        <w:pStyle w:val="BlockText"/>
        <w:numPr>
          <w:numId w:val="1010"/>
          <w:ilvl w:val="0"/>
        </w:numPr>
      </w:pPr>
      <w:r>
        <w:t xml:space="preserve">Catchwords, catchphrases, mottoes, slogans, or short advertising expressions</w:t>
      </w:r>
    </w:p>
    <w:p>
      <w:pPr>
        <w:pStyle w:val="Compact"/>
        <w:pStyle w:val="BlockText"/>
        <w:numPr>
          <w:numId w:val="1010"/>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11"/>
          <w:ilvl w:val="0"/>
        </w:numPr>
      </w:pPr>
      <w:hyperlink r:id="rId79">
        <w:r>
          <w:rPr>
            <w:rStyle w:val="Hyperlink"/>
          </w:rPr>
          <w:t xml:space="preserve">Circular 34: Copyright Protection Not Available for Names, Titles, or Short Phrases</w:t>
        </w:r>
      </w:hyperlink>
    </w:p>
    <w:p>
      <w:pPr>
        <w:pStyle w:val="Compact"/>
        <w:numPr>
          <w:numId w:val="1011"/>
          <w:ilvl w:val="0"/>
        </w:numPr>
      </w:pPr>
      <w:hyperlink r:id="rId80">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81" w:name="characters"/>
      <w:r>
        <w:t xml:space="preserve">Characters</w:t>
      </w:r>
      <w:bookmarkEnd w:id="81"/>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12"/>
          <w:ilvl w:val="0"/>
        </w:numPr>
      </w:pPr>
      <w:hyperlink r:id="rId8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8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84" w:name="why-register-the-copyright"/>
      <w:r>
        <w:t xml:space="preserve">Why Register the Copyright?</w:t>
      </w:r>
      <w:bookmarkEnd w:id="84"/>
    </w:p>
    <w:p>
      <w:pPr>
        <w:pStyle w:val="FirstParagraph"/>
      </w:pPr>
      <w:r>
        <w:t xml:space="preserve">Lawyer and programmer,</w:t>
      </w:r>
      <w:r>
        <w:t xml:space="preserve"> </w:t>
      </w:r>
      <w:hyperlink r:id="rId8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86">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4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8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8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8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3"/>
          <w:ilvl w:val="0"/>
        </w:numPr>
      </w:pPr>
      <w:r>
        <w:t xml:space="preserve">Ken Liu,</w:t>
      </w:r>
      <w:r>
        <w:t xml:space="preserve"> </w:t>
      </w:r>
      <w:hyperlink r:id="rId89">
        <w:r>
          <w:rPr>
            <w:rStyle w:val="Hyperlink"/>
          </w:rPr>
          <w:t xml:space="preserve">The Benefits Of Copyright Registration</w:t>
        </w:r>
      </w:hyperlink>
      <w:r>
        <w:t xml:space="preserve">.</w:t>
      </w:r>
    </w:p>
    <w:p>
      <w:pPr>
        <w:pStyle w:val="Heading3"/>
      </w:pPr>
      <w:bookmarkStart w:id="90" w:name="recommended-reading-watching"/>
      <w:r>
        <w:t xml:space="preserve">Recommended Reading &amp; Watching</w:t>
      </w:r>
      <w:bookmarkEnd w:id="90"/>
    </w:p>
    <w:p>
      <w:pPr>
        <w:pStyle w:val="Compact"/>
        <w:numPr>
          <w:numId w:val="1014"/>
          <w:ilvl w:val="0"/>
        </w:numPr>
      </w:pPr>
      <w:hyperlink r:id="rId91">
        <w:r>
          <w:rPr>
            <w:rStyle w:val="Hyperlink"/>
          </w:rPr>
          <w:t xml:space="preserve">Larry Lessig TED Talk on User Generated Content</w:t>
        </w:r>
      </w:hyperlink>
      <w:r>
        <w:t xml:space="preserve">.</w:t>
      </w:r>
    </w:p>
    <w:p>
      <w:pPr>
        <w:pStyle w:val="Compact"/>
        <w:numPr>
          <w:numId w:val="1014"/>
          <w:ilvl w:val="0"/>
        </w:numPr>
      </w:pPr>
      <w:hyperlink r:id="rId92">
        <w:r>
          <w:rPr>
            <w:rStyle w:val="Hyperlink"/>
          </w:rPr>
          <w:t xml:space="preserve">Work-for-Hire Freelance Writing Agreement</w:t>
        </w:r>
      </w:hyperlink>
    </w:p>
    <w:p>
      <w:pPr>
        <w:pStyle w:val="Compact"/>
        <w:numPr>
          <w:numId w:val="1014"/>
          <w:ilvl w:val="0"/>
        </w:numPr>
      </w:pPr>
      <w:hyperlink r:id="rId93">
        <w:r>
          <w:rPr>
            <w:rStyle w:val="Hyperlink"/>
          </w:rPr>
          <w:t xml:space="preserve">Room For Debate: Blurred Lines</w:t>
        </w:r>
      </w:hyperlink>
    </w:p>
    <w:p>
      <w:pPr>
        <w:pStyle w:val="Heading2"/>
      </w:pPr>
      <w:bookmarkStart w:id="94" w:name="changelog"/>
      <w:r>
        <w:t xml:space="preserve">Changelog</w:t>
      </w:r>
      <w:bookmarkEnd w:id="94"/>
    </w:p>
    <w:p>
      <w:pPr>
        <w:pStyle w:val="Compact"/>
        <w:numPr>
          <w:numId w:val="1015"/>
          <w:ilvl w:val="0"/>
        </w:numPr>
      </w:pPr>
      <w:r>
        <w:t xml:space="preserve">27-Sep-2018 - edit and add intro</w:t>
      </w:r>
    </w:p>
    <w:p>
      <w:pPr>
        <w:pStyle w:val="Compact"/>
        <w:numPr>
          <w:numId w:val="1015"/>
          <w:ilvl w:val="0"/>
        </w:numPr>
      </w:pPr>
      <w:r>
        <w:t xml:space="preserve">10-Feb-2018 - fix header</w:t>
      </w:r>
    </w:p>
    <w:p>
      <w:pPr>
        <w:pStyle w:val="Compact"/>
        <w:numPr>
          <w:numId w:val="1015"/>
          <w:ilvl w:val="0"/>
        </w:numPr>
      </w:pPr>
      <w:r>
        <w:t xml:space="preserve">08-Feb-2015 - More edits before merging with ABL</w:t>
      </w:r>
    </w:p>
    <w:p>
      <w:pPr>
        <w:pStyle w:val="Compact"/>
        <w:numPr>
          <w:numId w:val="1015"/>
          <w:ilvl w:val="0"/>
        </w:numPr>
      </w:pPr>
      <w:r>
        <w:t xml:space="preserve">25-Jan-2015 -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83"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6"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7" Target="http://en.wikipedia.org/wiki/Sc%C3%A8nes_%C3%A0_faire" TargetMode="External" /><Relationship Type="http://schemas.openxmlformats.org/officeDocument/2006/relationships/hyperlink" Id="rId85"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0" Target="http://scholar.google.com/scholar_case?case=11933644990487591173" TargetMode="External" /><Relationship Type="http://schemas.openxmlformats.org/officeDocument/2006/relationships/hyperlink" Id="rId74"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5" Target="http://scholar.google.com/scholar_case?case=14231031381424615048" TargetMode="External" /><Relationship Type="http://schemas.openxmlformats.org/officeDocument/2006/relationships/hyperlink" Id="rId73" Target="http://scholar.google.com/scholar_case?case=1452880530764001390" TargetMode="External" /><Relationship Type="http://schemas.openxmlformats.org/officeDocument/2006/relationships/hyperlink" Id="rId69" Target="http://scholar.google.com/scholar_case?case=16577297531712180725" TargetMode="External" /><Relationship Type="http://schemas.openxmlformats.org/officeDocument/2006/relationships/hyperlink" Id="rId72"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79"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1" Target="http://www.copyright.gov/title17/92chap1.html#106" TargetMode="External" /><Relationship Type="http://schemas.openxmlformats.org/officeDocument/2006/relationships/hyperlink" Id="rId86" Target="http://www.copyright.gov/title17/92chap4.html#408" TargetMode="External" /><Relationship Type="http://schemas.openxmlformats.org/officeDocument/2006/relationships/hyperlink" Id="rId87" Target="http://www.copyright.gov/title17/92chap5.html#504" TargetMode="External" /><Relationship Type="http://schemas.openxmlformats.org/officeDocument/2006/relationships/hyperlink" Id="rId88" Target="http://www.copyright.gov/title17/92chap5.html#505" TargetMode="External" /><Relationship Type="http://schemas.openxmlformats.org/officeDocument/2006/relationships/hyperlink" Id="rId92" Target="http://www.docracy.com/0s38bg2lkok/work-for-hire-freelance-writing-agreement-1" TargetMode="External" /><Relationship Type="http://schemas.openxmlformats.org/officeDocument/2006/relationships/hyperlink" Id="rId82" Target="http://www.forbes.com/sites/oliverherzfeld/2012/11/08/protecting-fictional-characters-could-you-legally-write-a-new-harry-potter-novel/" TargetMode="External" /><Relationship Type="http://schemas.openxmlformats.org/officeDocument/2006/relationships/hyperlink" Id="rId93" Target="http://www.nytimes.com/roomfordebate/2015/03/17/robin-thicke-pharrell-williams-and-a-blurry-copyright-law" TargetMode="External" /><Relationship Type="http://schemas.openxmlformats.org/officeDocument/2006/relationships/hyperlink" Id="rId89" Target="http://www.sfwa.org/2013/02/the-benefits-of-copyright-registration/" TargetMode="External" /><Relationship Type="http://schemas.openxmlformats.org/officeDocument/2006/relationships/hyperlink" Id="rId91"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0"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83"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6"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7" Target="http://en.wikipedia.org/wiki/Sc%C3%A8nes_%C3%A0_faire" TargetMode="External" /><Relationship Type="http://schemas.openxmlformats.org/officeDocument/2006/relationships/hyperlink" Id="rId85"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0" Target="http://scholar.google.com/scholar_case?case=11933644990487591173" TargetMode="External" /><Relationship Type="http://schemas.openxmlformats.org/officeDocument/2006/relationships/hyperlink" Id="rId74"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5" Target="http://scholar.google.com/scholar_case?case=14231031381424615048" TargetMode="External" /><Relationship Type="http://schemas.openxmlformats.org/officeDocument/2006/relationships/hyperlink" Id="rId73" Target="http://scholar.google.com/scholar_case?case=1452880530764001390" TargetMode="External" /><Relationship Type="http://schemas.openxmlformats.org/officeDocument/2006/relationships/hyperlink" Id="rId69" Target="http://scholar.google.com/scholar_case?case=16577297531712180725" TargetMode="External" /><Relationship Type="http://schemas.openxmlformats.org/officeDocument/2006/relationships/hyperlink" Id="rId72"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79"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1" Target="http://www.copyright.gov/title17/92chap1.html#106" TargetMode="External" /><Relationship Type="http://schemas.openxmlformats.org/officeDocument/2006/relationships/hyperlink" Id="rId86" Target="http://www.copyright.gov/title17/92chap4.html#408" TargetMode="External" /><Relationship Type="http://schemas.openxmlformats.org/officeDocument/2006/relationships/hyperlink" Id="rId87" Target="http://www.copyright.gov/title17/92chap5.html#504" TargetMode="External" /><Relationship Type="http://schemas.openxmlformats.org/officeDocument/2006/relationships/hyperlink" Id="rId88" Target="http://www.copyright.gov/title17/92chap5.html#505" TargetMode="External" /><Relationship Type="http://schemas.openxmlformats.org/officeDocument/2006/relationships/hyperlink" Id="rId92" Target="http://www.docracy.com/0s38bg2lkok/work-for-hire-freelance-writing-agreement-1" TargetMode="External" /><Relationship Type="http://schemas.openxmlformats.org/officeDocument/2006/relationships/hyperlink" Id="rId82" Target="http://www.forbes.com/sites/oliverherzfeld/2012/11/08/protecting-fictional-characters-could-you-legally-write-a-new-harry-potter-novel/" TargetMode="External" /><Relationship Type="http://schemas.openxmlformats.org/officeDocument/2006/relationships/hyperlink" Id="rId93" Target="http://www.nytimes.com/roomfordebate/2015/03/17/robin-thicke-pharrell-williams-and-a-blurry-copyright-law" TargetMode="External" /><Relationship Type="http://schemas.openxmlformats.org/officeDocument/2006/relationships/hyperlink" Id="rId89" Target="http://www.sfwa.org/2013/02/the-benefits-of-copyright-registration/" TargetMode="External" /><Relationship Type="http://schemas.openxmlformats.org/officeDocument/2006/relationships/hyperlink" Id="rId91"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0"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2018-10-14T01:18:04Z</dcterms:created>
  <dcterms:modified xsi:type="dcterms:W3CDTF">2018-10-14T01:18:04Z</dcterms:modified>
</cp:coreProperties>
</file>