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r>
        <w:t xml:space="preserve">Lawyers For The Talent</w:t>
      </w:r>
      <w:bookmarkEnd w:id="21"/>
    </w:p>
    <w:p>
      <w:pPr>
        <w:pStyle w:val="Heading6"/>
      </w:pPr>
      <w:bookmarkStart w:id="22" w:name="by-richard-dooling"/>
      <w:r>
        <w:t xml:space="preserve">by Richard Dooling</w:t>
      </w:r>
      <w:bookmarkEnd w:id="22"/>
    </w:p>
    <w:p>
      <w:pPr>
        <w:pStyle w:val="Heading2"/>
      </w:pPr>
      <w:bookmarkStart w:id="23" w:name="copyright-basics"/>
      <w:r>
        <w:t xml:space="preserve">Copyright Basics</w:t>
      </w:r>
      <w:bookmarkEnd w:id="23"/>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Heading3"/>
      </w:pPr>
      <w:bookmarkStart w:id="27" w:name="history-of-copyright"/>
      <w:r>
        <w:t xml:space="preserve">History of Copyright</w:t>
      </w:r>
      <w:bookmarkEnd w:id="27"/>
    </w:p>
    <w:p>
      <w:pPr>
        <w:pStyle w:val="FirstParagraph"/>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es-on-miller-v.-universal"/>
      <w:r>
        <w:t xml:space="preserve">Notes On</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Compact"/>
        <w:numPr>
          <w:numId w:val="1008"/>
          <w:ilvl w:val="0"/>
        </w:numPr>
      </w:pPr>
      <w:hyperlink r:id="rId70">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1" w:name="characters"/>
      <w:r>
        <w:t xml:space="preserve">Characters</w:t>
      </w:r>
      <w:bookmarkEnd w:id="71"/>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4" w:name="why-register-the-copyright"/>
      <w:r>
        <w:t xml:space="preserve">Why Register the Copyright?</w:t>
      </w:r>
      <w:bookmarkEnd w:id="74"/>
    </w:p>
    <w:p>
      <w:pPr>
        <w:pStyle w:val="FirstParagraph"/>
      </w:pPr>
      <w:r>
        <w:t xml:space="preserve">Lawyer and programmer,</w:t>
      </w:r>
      <w:r>
        <w:t xml:space="preserve"> </w:t>
      </w:r>
      <w:hyperlink r:id="rId7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6">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9">
        <w:r>
          <w:rPr>
            <w:rStyle w:val="Hyperlink"/>
          </w:rPr>
          <w:t xml:space="preserve">The Benefits Of Copyright Registration</w:t>
        </w:r>
      </w:hyperlink>
      <w:r>
        <w:t xml:space="preserve">.</w:t>
      </w:r>
    </w:p>
    <w:p>
      <w:pPr>
        <w:pStyle w:val="Heading3"/>
      </w:pPr>
      <w:bookmarkStart w:id="80" w:name="recommended-reading-watching"/>
      <w:r>
        <w:t xml:space="preserve">Recommended Reading &amp; Watching</w:t>
      </w:r>
      <w:bookmarkEnd w:id="80"/>
    </w:p>
    <w:p>
      <w:pPr>
        <w:pStyle w:val="Compact"/>
        <w:numPr>
          <w:numId w:val="1011"/>
          <w:ilvl w:val="0"/>
        </w:numPr>
      </w:pPr>
      <w:hyperlink r:id="rId81">
        <w:r>
          <w:rPr>
            <w:rStyle w:val="Hyperlink"/>
          </w:rPr>
          <w:t xml:space="preserve">Larry Lessig TED Talk on User Generated Content</w:t>
        </w:r>
      </w:hyperlink>
      <w:r>
        <w:t xml:space="preserve">.</w:t>
      </w:r>
    </w:p>
    <w:p>
      <w:pPr>
        <w:pStyle w:val="Compact"/>
        <w:numPr>
          <w:numId w:val="1011"/>
          <w:ilvl w:val="0"/>
        </w:numPr>
      </w:pPr>
      <w:hyperlink r:id="rId82">
        <w:r>
          <w:rPr>
            <w:rStyle w:val="Hyperlink"/>
          </w:rPr>
          <w:t xml:space="preserve">Work-for-Hire Freelance Writing Agreement</w:t>
        </w:r>
      </w:hyperlink>
    </w:p>
    <w:p>
      <w:pPr>
        <w:pStyle w:val="Compact"/>
        <w:numPr>
          <w:numId w:val="1011"/>
          <w:ilvl w:val="0"/>
        </w:numPr>
      </w:pPr>
      <w:hyperlink r:id="rId83">
        <w:r>
          <w:rPr>
            <w:rStyle w:val="Hyperlink"/>
          </w:rPr>
          <w:t xml:space="preserve">Room For Debate: Blurred Lines</w:t>
        </w:r>
      </w:hyperlink>
    </w:p>
    <w:p>
      <w:pPr>
        <w:pStyle w:val="Heading2"/>
      </w:pPr>
      <w:bookmarkStart w:id="84" w:name="changelog"/>
      <w:r>
        <w:t xml:space="preserve">Changelog</w:t>
      </w:r>
      <w:bookmarkEnd w:id="84"/>
    </w:p>
    <w:p>
      <w:pPr>
        <w:pStyle w:val="Compact"/>
        <w:numPr>
          <w:numId w:val="1012"/>
          <w:ilvl w:val="0"/>
        </w:numPr>
      </w:pPr>
      <w:r>
        <w:t xml:space="preserve">10-Feb-2018 fix header</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c7921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7d719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70" Target="https://www.hollywoodreporter.com/thr-esq/taylor-swift-shakes-copyright-lawsuit-1084373"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70" Target="https://www.hollywoodreporter.com/thr-esq/taylor-swift-shakes-copyright-lawsuit-1084373"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2018-02-19T06:16:30Z</dcterms:created>
  <dcterms:modified xsi:type="dcterms:W3CDTF">2018-02-19T06:16:30Z</dcterms:modified>
</cp:coreProperties>
</file>