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32.png" ContentType="image/png"/>
  <Override PartName="/word/media/rId130.png" ContentType="image/png"/>
  <Override PartName="/word/media/rId1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infringement"/>
      <w:r>
        <w:t xml:space="preserve">Infringement</w:t>
      </w:r>
      <w:bookmarkEnd w:id="23"/>
    </w:p>
    <w:p>
      <w:pPr>
        <w:pStyle w:val="Heading6"/>
      </w:pPr>
      <w:bookmarkStart w:id="24" w:name="copying-substantial-similarity-parody"/>
      <w:r>
        <w:t xml:space="preserve">Copying, Substantial Similarity, Parody</w:t>
      </w:r>
      <w:bookmarkEnd w:id="24"/>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Mark Musician writes an original song,</w:t>
      </w:r>
      <w:r>
        <w:t xml:space="preserve"> </w:t>
      </w:r>
      <w:r>
        <w:t xml:space="preserve">then Sally Songwriter comes along,</w:t>
      </w:r>
      <w:r>
        <w:t xml:space="preserve"> </w:t>
      </w:r>
      <w:r>
        <w:rPr>
          <w:i/>
        </w:rPr>
        <w:t xml:space="preserve">copies</w:t>
      </w:r>
      <w:r>
        <w:t xml:space="preserve"> </w:t>
      </w:r>
      <w:r>
        <w:t xml:space="preserve">it,</w:t>
      </w:r>
      <w:r>
        <w:t xml:space="preserve"> </w:t>
      </w:r>
      <w:r>
        <w:t xml:space="preserve">and publishes it under her name,</w:t>
      </w:r>
      <w:r>
        <w:t xml:space="preserve"> </w:t>
      </w:r>
      <w:r>
        <w:t xml:space="preserve">that’s a copyright violation.</w:t>
      </w:r>
    </w:p>
    <w:p>
      <w:pPr>
        <w:pStyle w:val="BodyText"/>
      </w:pPr>
      <w:r>
        <w:t xml:space="preserve">If Mark Musician writes an original song,</w:t>
      </w:r>
      <w:r>
        <w:t xml:space="preserve"> </w:t>
      </w:r>
      <w:r>
        <w:t xml:space="preserve">and Sally Songwriter just happens to</w:t>
      </w:r>
      <w:r>
        <w:t xml:space="preserve"> </w:t>
      </w:r>
      <w:r>
        <w:rPr>
          <w:i/>
        </w:rPr>
        <w:t xml:space="preserve">independently</w:t>
      </w:r>
      <w:r>
        <w:t xml:space="preserve"> </w:t>
      </w:r>
      <w:r>
        <w:t xml:space="preserve">create an identical song,</w:t>
      </w:r>
      <w:r>
        <w:t xml:space="preserve"> </w:t>
      </w:r>
      <w:r>
        <w:t xml:space="preserve">then Mark Musician has no recourse against Sally Songwriter</w:t>
      </w:r>
      <w:r>
        <w:t xml:space="preserve"> </w:t>
      </w:r>
      <w:r>
        <w:t xml:space="preserve">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5">
        <w:r>
          <w:rPr>
            <w:rStyle w:val="Hyperlink"/>
          </w:rPr>
          <w:t xml:space="preserve">Feist Publications v. Rural Telephone Service Co.</w:t>
        </w:r>
      </w:hyperlink>
      <w:r>
        <w:t xml:space="preserve"> </w:t>
      </w:r>
      <w:r>
        <w:t xml:space="preserve">(US 1991)</w:t>
      </w:r>
    </w:p>
    <w:p>
      <w:pPr>
        <w:pStyle w:val="Heading3"/>
      </w:pPr>
      <w:bookmarkStart w:id="26" w:name="access-substantial-similarity"/>
      <w:r>
        <w:t xml:space="preserve">Access &amp; Substantial Similarity</w:t>
      </w:r>
      <w:bookmarkEnd w:id="26"/>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i/>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w:t>
      </w:r>
      <w:r>
        <w:t xml:space="preserve"> </w:t>
      </w:r>
      <w:r>
        <w:rPr>
          <w:i/>
        </w:rPr>
        <w:t xml:space="preserve">copied</w:t>
      </w:r>
      <w:r>
        <w:t xml:space="preserve"> </w:t>
      </w:r>
      <w:r>
        <w:t xml:space="preserve">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i/>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7">
        <w:r>
          <w:rPr>
            <w:rStyle w:val="Hyperlink"/>
          </w:rPr>
          <w:t xml:space="preserve">U.S. Courts for the Ninth Circuit Manual of Model Civil Jury Instructions: 17.15 Copying—Access and Substantial Similarity</w:t>
        </w:r>
      </w:hyperlink>
      <w:r>
        <w:t xml:space="preserve">.</w:t>
      </w:r>
    </w:p>
    <w:p>
      <w:pPr>
        <w:pStyle w:val="Heading4"/>
      </w:pPr>
      <w:bookmarkStart w:id="28" w:name="striking-similarity"/>
      <w:r>
        <w:t xml:space="preserve">Striking Similarity</w:t>
      </w:r>
      <w:bookmarkEnd w:id="28"/>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i/>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29">
        <w:r>
          <w:rPr>
            <w:i/>
            <w:rStyle w:val="Hyperlink"/>
          </w:rPr>
          <w:t xml:space="preserve">Selle v. Gibb</w:t>
        </w:r>
      </w:hyperlink>
      <w:r>
        <w:t xml:space="preserve"> </w:t>
      </w:r>
      <w:r>
        <w:t xml:space="preserve">below.</w:t>
      </w:r>
    </w:p>
    <w:p>
      <w:pPr>
        <w:pStyle w:val="Heading3"/>
      </w:pPr>
      <w:bookmarkStart w:id="30" w:name="bright-tunes-music-corp.v.-harrisongs-music-ltd."/>
      <w:r>
        <w:rPr>
          <w:i/>
        </w:rPr>
        <w:t xml:space="preserve">Bright Tunes Music Corp. v. Harrisongs Music, Ltd.</w:t>
      </w:r>
      <w:bookmarkEnd w:id="30"/>
    </w:p>
    <w:p>
      <w:pPr>
        <w:pStyle w:val="Heading6"/>
      </w:pPr>
      <w:bookmarkStart w:id="31" w:name="us-southern-district-new-york-1976"/>
      <w:r>
        <w:t xml:space="preserve">US Southern District New York (1976)</w:t>
      </w:r>
      <w:bookmarkEnd w:id="31"/>
    </w:p>
    <w:p>
      <w:pPr>
        <w:pStyle w:val="Compact"/>
        <w:numPr>
          <w:numId w:val="1002"/>
          <w:ilvl w:val="0"/>
        </w:numPr>
      </w:pPr>
      <w:hyperlink r:id="rId32">
        <w:r>
          <w:rPr>
            <w:rStyle w:val="Hyperlink"/>
          </w:rPr>
          <w:t xml:space="preserve">Case on Google Scholar</w:t>
        </w:r>
      </w:hyperlink>
    </w:p>
    <w:p>
      <w:pPr>
        <w:pStyle w:val="Compact"/>
        <w:numPr>
          <w:numId w:val="1002"/>
          <w:ilvl w:val="0"/>
        </w:numPr>
      </w:pPr>
      <w:hyperlink r:id="rId33">
        <w:r>
          <w:rPr>
            <w:rStyle w:val="Hyperlink"/>
          </w:rPr>
          <w:t xml:space="preserve">Case on Westlaw</w:t>
        </w:r>
      </w:hyperlink>
    </w:p>
    <w:p>
      <w:pPr>
        <w:pStyle w:val="Compact"/>
        <w:numPr>
          <w:numId w:val="1002"/>
          <w:ilvl w:val="0"/>
        </w:numPr>
      </w:pPr>
      <w:hyperlink r:id="rId34">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5">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6">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7" w:name="excerpts-from-bright-tunes-opinion"/>
      <w:r>
        <w:t xml:space="preserve">Excerpts from</w:t>
      </w:r>
      <w:r>
        <w:t xml:space="preserve"> </w:t>
      </w:r>
      <w:r>
        <w:rPr>
          <w:i/>
        </w:rPr>
        <w:t xml:space="preserve">Bright Tunes</w:t>
      </w:r>
      <w:r>
        <w:t xml:space="preserve"> </w:t>
      </w:r>
      <w:r>
        <w:t xml:space="preserve">opinion</w:t>
      </w:r>
      <w:bookmarkEnd w:id="37"/>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r>
        <w:t xml:space="preserve"> </w:t>
      </w:r>
      <w:r>
        <w:t xml:space="preserve">[The judge then noted that "even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38" w:name="access"/>
      <w:r>
        <w:t xml:space="preserve">Access</w:t>
      </w:r>
      <w:bookmarkEnd w:id="38"/>
    </w:p>
    <w:p>
      <w:pPr>
        <w:pStyle w:val="Heading3"/>
      </w:pPr>
      <w:bookmarkStart w:id="39" w:name="selle-v.-gibb"/>
      <w:r>
        <w:rPr>
          <w:i/>
        </w:rPr>
        <w:t xml:space="preserve">Selle v. Gibb</w:t>
      </w:r>
      <w:bookmarkEnd w:id="39"/>
    </w:p>
    <w:p>
      <w:pPr>
        <w:pStyle w:val="Heading6"/>
      </w:pPr>
      <w:bookmarkStart w:id="40" w:name="us-court-of-appeals-7th-cir.-1984"/>
      <w:r>
        <w:t xml:space="preserve">US Court of Appeals (7th Cir. 1984)</w:t>
      </w:r>
      <w:bookmarkEnd w:id="40"/>
    </w:p>
    <w:p>
      <w:pPr>
        <w:pStyle w:val="Compact"/>
        <w:numPr>
          <w:numId w:val="1003"/>
          <w:ilvl w:val="0"/>
        </w:numPr>
      </w:pPr>
      <w:hyperlink r:id="rId29">
        <w:r>
          <w:rPr>
            <w:rStyle w:val="Hyperlink"/>
          </w:rPr>
          <w:t xml:space="preserve">case on Google Scholar</w:t>
        </w:r>
      </w:hyperlink>
    </w:p>
    <w:p>
      <w:pPr>
        <w:pStyle w:val="Compact"/>
        <w:numPr>
          <w:numId w:val="1003"/>
          <w:ilvl w:val="0"/>
        </w:numPr>
      </w:pPr>
      <w:hyperlink r:id="rId41">
        <w:r>
          <w:rPr>
            <w:rStyle w:val="Hyperlink"/>
          </w:rPr>
          <w:t xml:space="preserve">case on Westlaw</w:t>
        </w:r>
      </w:hyperlink>
    </w:p>
    <w:p>
      <w:pPr>
        <w:pStyle w:val="Compact"/>
        <w:numPr>
          <w:numId w:val="1003"/>
          <w:ilvl w:val="0"/>
        </w:numPr>
      </w:pPr>
      <w:hyperlink r:id="rId42">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3">
        <w:r>
          <w:rPr>
            <w:i/>
            <w:rStyle w:val="Hyperlink"/>
          </w:rPr>
          <w:t xml:space="preserve">Selle v. Gibb,</w:t>
        </w:r>
      </w:hyperlink>
      <w:r>
        <w:t xml:space="preserve"> </w:t>
      </w:r>
      <w:r>
        <w:t xml:space="preserve">(N.D.Ill. 1983).</w:t>
      </w:r>
      <w:r>
        <w:t xml:space="preserve"> </w:t>
      </w:r>
      <w:r>
        <w:t xml:space="preserve">We affirm the grant of the motion for judgment notwithstanding the</w:t>
      </w:r>
      <w:r>
        <w:t xml:space="preserve"> </w:t>
      </w:r>
      <w:r>
        <w:t xml:space="preserve">verdict.</w:t>
      </w:r>
    </w:p>
    <w:p>
      <w:pPr>
        <w:pStyle w:val="Heading2"/>
      </w:pPr>
      <w:bookmarkStart w:id="44" w:name="i"/>
      <w:r>
        <w:t xml:space="preserve">I</w:t>
      </w:r>
      <w:bookmarkEnd w:id="44"/>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3">
        <w:r>
          <w:rPr>
            <w:rStyle w:val="Hyperlink"/>
          </w:rPr>
          <w:t xml:space="preserve">More facts at</w:t>
        </w:r>
        <w:r>
          <w:rPr>
            <w:rStyle w:val="Hyperlink"/>
          </w:rPr>
          <w:t xml:space="preserve"> </w:t>
        </w:r>
        <w:r>
          <w:rPr>
            <w:i/>
            <w:rStyle w:val="Hyperlink"/>
          </w:rPr>
          <w:t xml:space="preserve">Selle v. Gibb</w:t>
        </w:r>
      </w:hyperlink>
      <w:r>
        <w:t xml:space="preserve"> </w:t>
      </w:r>
      <w:r>
        <w:t xml:space="preserve">(N.D.Ill.1983).</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p>
    <w:p>
      <w:pPr>
        <w:pStyle w:val="Heading2"/>
      </w:pPr>
      <w:bookmarkStart w:id="45" w:name="ii"/>
      <w:r>
        <w:t xml:space="preserve">II</w:t>
      </w:r>
      <w:bookmarkEnd w:id="45"/>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6" w:name="iii"/>
      <w:r>
        <w:t xml:space="preserve">III</w:t>
      </w:r>
      <w:bookmarkEnd w:id="46"/>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3">
        <w:r>
          <w:rPr>
            <w:rStyle w:val="Hyperlink"/>
          </w:rPr>
          <w:t xml:space="preserve">567 F.Supp. at 1181</w:t>
        </w:r>
      </w:hyperlink>
      <w:r>
        <w:t xml:space="preserve">.</w:t>
      </w:r>
    </w:p>
    <w:p>
      <w:pPr>
        <w:pStyle w:val="BodyText"/>
      </w:pPr>
      <w:r>
        <w:t xml:space="preserve">Thus, in</w:t>
      </w:r>
      <w:r>
        <w:t xml:space="preserve"> </w:t>
      </w:r>
      <w:hyperlink r:id="rId47">
        <w:r>
          <w:rPr>
            <w:i/>
            <w:rStyle w:val="Hyperlink"/>
          </w:rPr>
          <w:t xml:space="preserve">Testa v. Janssen,</w:t>
        </w:r>
      </w:hyperlink>
      <w:r>
        <w:t xml:space="preserve"> </w:t>
      </w:r>
      <w:r>
        <w:t xml:space="preserve">(W.D.Pa. 1980), 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 …</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p>
    <w:p>
      <w:pPr>
        <w:pStyle w:val="Heading2"/>
      </w:pPr>
      <w:bookmarkStart w:id="48" w:name="iv"/>
      <w:r>
        <w:t xml:space="preserve">IV</w:t>
      </w:r>
      <w:bookmarkEnd w:id="48"/>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7">
        <w:r>
          <w:rPr>
            <w:i/>
            <w:rStyle w:val="Hyperlink"/>
          </w:rPr>
          <w:t xml:space="preserve">Testa</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49">
        <w:r>
          <w:rPr>
            <w:i/>
            <w:rStyle w:val="Hyperlink"/>
          </w:rPr>
          <w:t xml:space="preserve">Scholz Homes, Inc. v.</w:t>
        </w:r>
        <w:r>
          <w:rPr>
            <w:i/>
            <w:rStyle w:val="Hyperlink"/>
          </w:rPr>
          <w:t xml:space="preserve"> </w:t>
        </w:r>
        <w:r>
          <w:rPr>
            <w:i/>
            <w:rStyle w:val="Hyperlink"/>
          </w:rPr>
          <w:t xml:space="preserve">Maddox</w:t>
        </w:r>
      </w:hyperlink>
      <w:r>
        <w:t xml:space="preserve"> </w:t>
      </w:r>
      <w:r>
        <w:t xml:space="preserve">(6th Cir. 1967).</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0" w:name="notes-selle-v.-gibb-7th-cir.-1984"/>
      <w:r>
        <w:t xml:space="preserve">NOTES</w:t>
      </w:r>
      <w:r>
        <w:t xml:space="preserve"> </w:t>
      </w:r>
      <w:r>
        <w:rPr>
          <w:i/>
        </w:rPr>
        <w:t xml:space="preserve">Selle v. Gibb,</w:t>
      </w:r>
      <w:r>
        <w:t xml:space="preserve"> </w:t>
      </w:r>
      <w:r>
        <w:t xml:space="preserve">(7th Cir. 1984)</w:t>
      </w:r>
      <w:bookmarkEnd w:id="50"/>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i/>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1" w:name="substantial-similarity"/>
      <w:r>
        <w:t xml:space="preserve">Substantial Similarity</w:t>
      </w:r>
      <w:bookmarkEnd w:id="51"/>
    </w:p>
    <w:p>
      <w:pPr>
        <w:pStyle w:val="FirstParagraph"/>
      </w:pPr>
      <w:r>
        <w:t xml:space="preserve">Copyright plaintiffs must prove</w:t>
      </w:r>
      <w:r>
        <w:t xml:space="preserve"> </w:t>
      </w:r>
      <w:r>
        <w:t xml:space="preserve">that alleged infringers had access to plaintiff’s copyrighted work</w:t>
      </w:r>
      <w:r>
        <w:t xml:space="preserve"> </w:t>
      </w:r>
      <w:r>
        <w:rPr>
          <w:i/>
        </w:rPr>
        <w:t xml:space="preserve">and</w:t>
      </w:r>
      <w:r>
        <w:t xml:space="preserve"> </w:t>
      </w:r>
      <w:r>
        <w:t xml:space="preserve">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2">
        <w:r>
          <w:rPr>
            <w:i/>
            <w:rStyle w:val="Hyperlink"/>
          </w:rPr>
          <w:t xml:space="preserve">Warner Bros. Inc. v. ABC</w:t>
        </w:r>
      </w:hyperlink>
      <w:r>
        <w:t xml:space="preserve"> </w:t>
      </w:r>
      <w:r>
        <w:t xml:space="preserve">(2d Cir. 1981).</w:t>
      </w:r>
    </w:p>
    <w:p>
      <w:pPr>
        <w:pStyle w:val="BodyText"/>
      </w:pPr>
      <w:r>
        <w:t xml:space="preserve">In</w:t>
      </w:r>
      <w:r>
        <w:t xml:space="preserve"> </w:t>
      </w:r>
      <w:hyperlink r:id="rId53">
        <w:r>
          <w:rPr>
            <w:i/>
            <w:rStyle w:val="Hyperlink"/>
          </w:rPr>
          <w:t xml:space="preserve">Nichols v Universal</w:t>
        </w:r>
      </w:hyperlink>
      <w:r>
        <w:t xml:space="preserve"> </w:t>
      </w:r>
      <w:r>
        <w:t xml:space="preserve">(2d Cir. 1930),</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4" w:name="denker-v.-uhry"/>
      <w:r>
        <w:rPr>
          <w:i/>
        </w:rPr>
        <w:t xml:space="preserve">Denker v. Uhry</w:t>
      </w:r>
      <w:bookmarkEnd w:id="54"/>
    </w:p>
    <w:p>
      <w:pPr>
        <w:pStyle w:val="Heading6"/>
      </w:pPr>
      <w:bookmarkStart w:id="55" w:name="us-district-court-sd-new-york-1992"/>
      <w:r>
        <w:t xml:space="preserve">US District Court, SD New York (1992)</w:t>
      </w:r>
      <w:bookmarkEnd w:id="55"/>
    </w:p>
    <w:p>
      <w:pPr>
        <w:pStyle w:val="Compact"/>
        <w:numPr>
          <w:numId w:val="1005"/>
          <w:ilvl w:val="0"/>
        </w:numPr>
      </w:pPr>
      <w:hyperlink r:id="rId56">
        <w:r>
          <w:rPr>
            <w:rStyle w:val="Hyperlink"/>
          </w:rPr>
          <w:t xml:space="preserve">Case on Google Scholar</w:t>
        </w:r>
      </w:hyperlink>
    </w:p>
    <w:p>
      <w:pPr>
        <w:pStyle w:val="Compact"/>
        <w:numPr>
          <w:numId w:val="1005"/>
          <w:ilvl w:val="0"/>
        </w:numPr>
      </w:pPr>
      <w:hyperlink r:id="rId57">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58" w:name="i."/>
      <w:r>
        <w:t xml:space="preserve">I.</w:t>
      </w:r>
      <w:bookmarkEnd w:id="58"/>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w:t>
      </w:r>
      <w:r>
        <w:t xml:space="preserve"> </w:t>
      </w:r>
      <w:r>
        <w:t xml:space="preserve">Plaintiff’s</w:t>
      </w:r>
      <w:r>
        <w:t xml:space="preserve"> </w:t>
      </w:r>
      <w:r>
        <w:rPr>
          <w:i/>
        </w:rPr>
        <w:t xml:space="preserve">Horowitz and 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 …</w:t>
      </w:r>
    </w:p>
    <w:p>
      <w:pPr>
        <w:pStyle w:val="Heading4"/>
      </w:pPr>
      <w:bookmarkStart w:id="59" w:name="a.-horowitz-and-mrs.washington"/>
      <w:r>
        <w:t xml:space="preserve">A.</w:t>
      </w:r>
      <w:r>
        <w:t xml:space="preserve"> </w:t>
      </w:r>
      <w:r>
        <w:rPr>
          <w:i/>
        </w:rPr>
        <w:t xml:space="preserve">Horowitz and Mrs. Washington</w:t>
      </w:r>
      <w:bookmarkEnd w:id="59"/>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 …</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w:t>
      </w:r>
      <w:r>
        <w:t xml:space="preserve"> </w:t>
      </w:r>
      <w:r>
        <w:t xml:space="preserve">Mrs. Washington returns to Horowitz’s apartment visibly upset.</w:t>
      </w:r>
      <w:r>
        <w:t xml:space="preserve"> </w:t>
      </w:r>
      <w:r>
        <w:t xml:space="preserve">Mrs. 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w:t>
      </w:r>
      <w:r>
        <w:t xml:space="preserve"> </w:t>
      </w:r>
      <w:r>
        <w:t xml:space="preserve">Mrs. 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w:t>
      </w:r>
      <w:r>
        <w:t xml:space="preserve"> </w:t>
      </w:r>
      <w:r>
        <w:t xml:space="preserve">Mrs. 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0" w:name="b.-driving-miss-daisy"/>
      <w:r>
        <w:t xml:space="preserve">B.</w:t>
      </w:r>
      <w:r>
        <w:t xml:space="preserve"> </w:t>
      </w:r>
      <w:r>
        <w:rPr>
          <w:i/>
        </w:rPr>
        <w:t xml:space="preserve">Driving Miss Daisy</w:t>
      </w:r>
      <w:bookmarkEnd w:id="60"/>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1" w:name="ii."/>
      <w:r>
        <w:t xml:space="preserve">II.</w:t>
      </w:r>
      <w:bookmarkEnd w:id="61"/>
    </w:p>
    <w:p>
      <w:pPr>
        <w:pStyle w:val="Heading4"/>
      </w:pPr>
      <w:bookmarkStart w:id="62" w:name="a.-theme"/>
      <w:r>
        <w:t xml:space="preserve">A.</w:t>
      </w:r>
      <w:r>
        <w:t xml:space="preserve"> </w:t>
      </w:r>
      <w:r>
        <w:rPr>
          <w:i/>
        </w:rPr>
        <w:t xml:space="preserve">Theme</w:t>
      </w:r>
      <w:bookmarkEnd w:id="62"/>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3">
        <w:r>
          <w:rPr>
            <w:i/>
            <w:rStyle w:val="Hyperlink"/>
          </w:rPr>
          <w:t xml:space="preserve">Hoehling v. Universal City Studios,</w:t>
        </w:r>
      </w:hyperlink>
      <w:r>
        <w:t xml:space="preserve"> </w:t>
      </w:r>
      <w:r>
        <w:t xml:space="preserve">(2d Cir. 1980) …</w:t>
      </w:r>
    </w:p>
    <w:p>
      <w:pPr>
        <w:pStyle w:val="BodyText"/>
      </w:pPr>
      <w:r>
        <w:t xml:space="preserve">In the case at hand …,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4" w:name="b.-total-concept-and-feel"/>
      <w:r>
        <w:t xml:space="preserve">B.</w:t>
      </w:r>
      <w:r>
        <w:t xml:space="preserve"> </w:t>
      </w:r>
      <w:r>
        <w:rPr>
          <w:i/>
        </w:rPr>
        <w:t xml:space="preserve">Total Concept and Feel</w:t>
      </w:r>
      <w:bookmarkEnd w:id="64"/>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65" w:name="c.-plot"/>
      <w:r>
        <w:t xml:space="preserve">C.</w:t>
      </w:r>
      <w:r>
        <w:t xml:space="preserve"> </w:t>
      </w:r>
      <w:r>
        <w:rPr>
          <w:i/>
        </w:rPr>
        <w:t xml:space="preserve">Plot</w:t>
      </w:r>
      <w:bookmarkEnd w:id="65"/>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66">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w:t>
      </w:r>
      <w:r>
        <w:t xml:space="preserve">cerebral accident</w:t>
      </w:r>
      <w:r>
        <w:t xml:space="preserve">’</w:t>
      </w:r>
      <w:r>
        <w:t xml:space="preserve"> </w:t>
      </w:r>
      <w:r>
        <w:t xml:space="preserve">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67">
        <w:r>
          <w:rPr>
            <w:i/>
            <w:rStyle w:val="Hyperlink"/>
          </w:rPr>
          <w:t xml:space="preserve">Smith v.</w:t>
        </w:r>
        <w:r>
          <w:rPr>
            <w:i/>
            <w:rStyle w:val="Hyperlink"/>
          </w:rPr>
          <w:t xml:space="preserve"> </w:t>
        </w:r>
        <w:r>
          <w:rPr>
            <w:i/>
            <w:rStyle w:val="Hyperlink"/>
          </w:rPr>
          <w:t xml:space="preserve">Weinstein,</w:t>
        </w:r>
      </w:hyperlink>
      <w:r>
        <w:t xml:space="preserve"> </w:t>
      </w:r>
      <w:r>
        <w:t xml:space="preserve">(SDNY),</w:t>
      </w:r>
      <w:r>
        <w:t xml:space="preserve"> </w:t>
      </w:r>
      <w:r>
        <w:rPr>
          <w:i/>
        </w:rPr>
        <w:t xml:space="preserve">aff’d without op.,</w:t>
      </w:r>
      <w:r>
        <w:t xml:space="preserve"> </w:t>
      </w:r>
      <w:hyperlink r:id="rId68">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67">
        <w:r>
          <w:rPr>
            <w:i/>
            <w:rStyle w:val="Hyperlink"/>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w:t>
      </w:r>
      <w:r>
        <w:t xml:space="preserve"> </w:t>
      </w:r>
      <w:r>
        <w:t xml:space="preserve">Mrs. 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 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66">
        <w:r>
          <w:rPr>
            <w:i/>
            <w:rStyle w:val="Hyperlink"/>
          </w:rPr>
          <w:t xml:space="preserve">Walker</w:t>
        </w:r>
      </w:hyperlink>
      <w:r>
        <w:t xml:space="preserve"> </w:t>
      </w:r>
      <w:r>
        <w:t xml:space="preserve">…</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69" w:name="d.-characters"/>
      <w:r>
        <w:t xml:space="preserve">D.</w:t>
      </w:r>
      <w:r>
        <w:t xml:space="preserve"> </w:t>
      </w:r>
      <w:r>
        <w:rPr>
          <w:i/>
        </w:rPr>
        <w:t xml:space="preserve">Characters</w:t>
      </w:r>
      <w:bookmarkEnd w:id="69"/>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w:t>
      </w:r>
      <w:r>
        <w:rPr>
          <w:i/>
        </w:rPr>
        <w:t xml:space="preserve"> </w:t>
      </w:r>
      <w:r>
        <w:rPr>
          <w:i/>
        </w:rPr>
        <w:t xml:space="preserve">Mrs. Washington.</w:t>
      </w:r>
      <w:r>
        <w:t xml:space="preserve"> </w:t>
      </w:r>
      <w:r>
        <w:t xml:space="preserve">The protection afforded characters depicted in a creative</w:t>
      </w:r>
      <w:r>
        <w:t xml:space="preserve"> </w:t>
      </w:r>
      <w:r>
        <w:t xml:space="preserve">work is limited …</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 …</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0">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1" w:name="screenplays-and-substantial-similarity"/>
      <w:r>
        <w:t xml:space="preserve">Screenplays and Substantial Similarity</w:t>
      </w:r>
      <w:bookmarkEnd w:id="71"/>
    </w:p>
    <w:p>
      <w:pPr>
        <w:pStyle w:val="Heading3"/>
      </w:pPr>
      <w:bookmarkStart w:id="72" w:name="quirk-v.-sony"/>
      <w:r>
        <w:rPr>
          <w:i/>
        </w:rPr>
        <w:t xml:space="preserve">Quirk v. Sony</w:t>
      </w:r>
      <w:bookmarkEnd w:id="72"/>
    </w:p>
    <w:p>
      <w:pPr>
        <w:pStyle w:val="Heading6"/>
      </w:pPr>
      <w:bookmarkStart w:id="73" w:name="united-states-district-court-n.d.-ca-2013"/>
      <w:r>
        <w:t xml:space="preserve">United States District Court (N.D. CA 2013)</w:t>
      </w:r>
      <w:bookmarkEnd w:id="73"/>
    </w:p>
    <w:p>
      <w:pPr>
        <w:pStyle w:val="Compact"/>
        <w:numPr>
          <w:numId w:val="1007"/>
          <w:ilvl w:val="0"/>
        </w:numPr>
      </w:pPr>
      <w:hyperlink r:id="rId74">
        <w:r>
          <w:rPr>
            <w:rStyle w:val="Hyperlink"/>
          </w:rPr>
          <w:t xml:space="preserve">case on Google Scholar</w:t>
        </w:r>
      </w:hyperlink>
    </w:p>
    <w:p>
      <w:pPr>
        <w:pStyle w:val="Compact"/>
        <w:numPr>
          <w:numId w:val="1007"/>
          <w:ilvl w:val="0"/>
        </w:numPr>
      </w:pPr>
      <w:hyperlink r:id="rId75">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Heading4"/>
      </w:pPr>
      <w:bookmarkStart w:id="76" w:name="i.-introduction"/>
      <w:r>
        <w:t xml:space="preserve">I. Introduction</w:t>
      </w:r>
      <w:bookmarkEnd w:id="76"/>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77">
        <w:r>
          <w:rPr>
            <w:i/>
            <w:rStyle w:val="Hyperlink"/>
          </w:rPr>
          <w:t xml:space="preserve">See</w:t>
        </w:r>
        <w:r>
          <w:rPr>
            <w:i/>
            <w:rStyle w:val="Hyperlink"/>
          </w:rPr>
          <w:t xml:space="preserve"> </w:t>
        </w:r>
        <w:r>
          <w:rPr>
            <w:i/>
            <w:rStyle w:val="Hyperlink"/>
          </w:rPr>
          <w:t xml:space="preserve">v. Durang,</w:t>
        </w:r>
      </w:hyperlink>
      <w:r>
        <w:t xml:space="preserve"> </w:t>
      </w:r>
      <w:r>
        <w:t xml:space="preserve">(9th Cir. 1983).</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p>
      <w:pPr>
        <w:pStyle w:val="Heading4"/>
      </w:pPr>
      <w:bookmarkStart w:id="78" w:name="iii.-background"/>
      <w:r>
        <w:t xml:space="preserve">III. Background</w:t>
      </w:r>
      <w:bookmarkEnd w:id="78"/>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p>
      <w:pPr>
        <w:pStyle w:val="Heading4"/>
      </w:pPr>
      <w:bookmarkStart w:id="79" w:name="iv.-discussion"/>
      <w:r>
        <w:t xml:space="preserve">IV. Discussion</w:t>
      </w:r>
      <w:bookmarkEnd w:id="79"/>
    </w:p>
    <w:p>
      <w:pPr>
        <w:pStyle w:val="Heading4"/>
      </w:pPr>
      <w:bookmarkStart w:id="80" w:name="a.-copyright-claims"/>
      <w:r>
        <w:t xml:space="preserve">A. Copyright claims</w:t>
      </w:r>
      <w:bookmarkEnd w:id="80"/>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1">
        <w:r>
          <w:rPr>
            <w:i/>
            <w:rStyle w:val="Hyperlink"/>
          </w:rPr>
          <w:t xml:space="preserve">Funky</w:t>
        </w:r>
        <w:r>
          <w:rPr>
            <w:i/>
            <w:rStyle w:val="Hyperlink"/>
          </w:rPr>
          <w:t xml:space="preserve"> </w:t>
        </w:r>
        <w:r>
          <w:rPr>
            <w:i/>
            <w:rStyle w:val="Hyperlink"/>
          </w:rPr>
          <w:t xml:space="preserve">Films v. Time Warner,</w:t>
        </w:r>
      </w:hyperlink>
      <w:r>
        <w:t xml:space="preserve"> </w:t>
      </w:r>
      <w:r>
        <w:t xml:space="preserve">(9th Cir. 2006),</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5">
        <w:r>
          <w:rPr>
            <w:i/>
            <w:rStyle w:val="Hyperlink"/>
          </w:rPr>
          <w:t xml:space="preserve">Feist Pubs.,</w:t>
        </w:r>
        <w:r>
          <w:rPr>
            <w:i/>
            <w:rStyle w:val="Hyperlink"/>
          </w:rPr>
          <w:t xml:space="preserve"> </w:t>
        </w:r>
        <w:r>
          <w:rPr>
            <w:i/>
            <w:rStyle w:val="Hyperlink"/>
          </w:rPr>
          <w:t xml:space="preserve">Inc. v. Rural Tel. Serv. Co.,</w:t>
        </w:r>
      </w:hyperlink>
      <w:r>
        <w:t xml:space="preserve"> </w:t>
      </w:r>
      <w:r>
        <w:t xml:space="preserve">(US 1991).</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2">
        <w:r>
          <w:rPr>
            <w:i/>
            <w:rStyle w:val="Hyperlink"/>
          </w:rPr>
          <w:t xml:space="preserve">Three Boys Music Corp. v. Bolton,</w:t>
        </w:r>
      </w:hyperlink>
      <w:r>
        <w:t xml:space="preserve">(9th Cir. 2000).</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3">
        <w:r>
          <w:rPr>
            <w:i/>
            <w:rStyle w:val="Hyperlink"/>
          </w:rPr>
          <w:t xml:space="preserve">Kouf v. Walt Disney Pictures &amp;</w:t>
        </w:r>
        <w:r>
          <w:rPr>
            <w:i/>
            <w:rStyle w:val="Hyperlink"/>
          </w:rPr>
          <w:t xml:space="preserve"> </w:t>
        </w:r>
        <w:r>
          <w:rPr>
            <w:i/>
            <w:rStyle w:val="Hyperlink"/>
          </w:rPr>
          <w:t xml:space="preserve">Television,</w:t>
        </w:r>
      </w:hyperlink>
      <w:r>
        <w:t xml:space="preserve"> </w:t>
      </w:r>
      <w:r>
        <w:t xml:space="preserve">(9th Cir.</w:t>
      </w:r>
      <w:r>
        <w:t xml:space="preserve"> </w:t>
      </w:r>
      <w:r>
        <w:t xml:space="preserve">1994).</w:t>
      </w:r>
    </w:p>
    <w:p>
      <w:pPr>
        <w:pStyle w:val="BodyText"/>
      </w:pPr>
      <w:r>
        <w:t xml:space="preserve">While summary judgment is</w:t>
      </w:r>
      <w:r>
        <w:t xml:space="preserve"> </w:t>
      </w:r>
      <w:r>
        <w:t xml:space="preserve">not highly favored on the substantial similarity issue in copyright</w:t>
      </w:r>
      <w:r>
        <w:t xml:space="preserve"> </w:t>
      </w:r>
      <w:r>
        <w:t xml:space="preserve">cases,</w:t>
      </w:r>
      <w:r>
        <w:t xml:space="preserve"> </w:t>
      </w:r>
      <w:r>
        <w:t xml:space="preserve">the question may often be decided as a matter of law.</w:t>
      </w:r>
      <w:r>
        <w:t xml:space="preserve"> </w:t>
      </w:r>
      <w:r>
        <w:t xml:space="preserve">Indeed, the Ninth Circuit has frequently affirmed summary judgment in</w:t>
      </w:r>
      <w:r>
        <w:t xml:space="preserve"> </w:t>
      </w:r>
      <w:r>
        <w:t xml:space="preserve">favor of copyright defendants on the issue of substantial similarity.</w:t>
      </w:r>
      <w:r>
        <w:t xml:space="preserve"> </w:t>
      </w:r>
      <w:r>
        <w:t xml:space="preserve">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t xml:space="preserve">A 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p>
    <w:p>
      <w:pPr>
        <w:pStyle w:val="BodyText"/>
      </w:pPr>
      <w:r>
        <w:t xml:space="preserve">The extrinsic test is objective and it depends not on the responses of</w:t>
      </w:r>
      <w:r>
        <w:t xml:space="preserve"> </w:t>
      </w:r>
      <w:r>
        <w:t xml:space="preserve">the trier of fact, but on specific criteria which can be listed and</w:t>
      </w:r>
      <w:r>
        <w:t xml:space="preserve"> </w:t>
      </w:r>
      <w:r>
        <w:t xml:space="preserve">analyzed.</w:t>
      </w:r>
      <w:r>
        <w:t xml:space="preserve"> </w:t>
      </w:r>
      <w:r>
        <w:t xml:space="preserve">The focus is on the presence or absence of articulable similarities</w:t>
      </w:r>
      <w:r>
        <w:t xml:space="preserve"> </w:t>
      </w:r>
      <w:r>
        <w:t xml:space="preserve">between the plot, themes, dialogue, mood, setting, pace, characters, and</w:t>
      </w:r>
      <w:r>
        <w:t xml:space="preserve"> </w:t>
      </w:r>
      <w:r>
        <w:t xml:space="preserve">sequence of events in the two works.</w:t>
      </w:r>
      <w:r>
        <w:t xml:space="preserve"> </w:t>
      </w:r>
      <w:r>
        <w:t xml:space="preserve">In applying the extrinsic test, the court</w:t>
      </w:r>
      <w:r>
        <w:t xml:space="preserve"> </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84">
        <w:r>
          <w:rPr>
            <w:i/>
            <w:rStyle w:val="Hyperlink"/>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85">
        <w:r>
          <w:rPr>
            <w:i/>
            <w:rStyle w:val="Hyperlink"/>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p>
      <w:pPr>
        <w:pStyle w:val="Heading4"/>
      </w:pPr>
      <w:bookmarkStart w:id="86" w:name="the-adaptation-process"/>
      <w:r>
        <w:t xml:space="preserve">1. The adaptation process</w:t>
      </w:r>
      <w:bookmarkEnd w:id="86"/>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77">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87">
        <w:r>
          <w:rPr>
            <w:i/>
            <w:rStyle w:val="Hyperlink"/>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p>
      <w:pPr>
        <w:pStyle w:val="Heading4"/>
      </w:pPr>
      <w:bookmarkStart w:id="88" w:name="intermediate-scripts"/>
      <w:r>
        <w:t xml:space="preserve">2. Intermediate scripts</w:t>
      </w:r>
      <w:bookmarkEnd w:id="88"/>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89">
        <w:r>
          <w:rPr>
            <w:i/>
            <w:rStyle w:val="Hyperlink"/>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66">
        <w:r>
          <w:rPr>
            <w:i/>
            <w:rStyle w:val="Hyperlink"/>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77">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p>
      <w:pPr>
        <w:pStyle w:val="Heading4"/>
      </w:pPr>
      <w:bookmarkStart w:id="90" w:name="inverse-ratio"/>
      <w:r>
        <w:t xml:space="preserve">3. Inverse ratio</w:t>
      </w:r>
      <w:bookmarkEnd w:id="90"/>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1">
        <w:r>
          <w:rPr>
            <w:i/>
            <w:rStyle w:val="Hyperlink"/>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92">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p>
      <w:pPr>
        <w:pStyle w:val="Heading4"/>
      </w:pPr>
      <w:bookmarkStart w:id="93" w:name="substantial-similarity-1"/>
      <w:r>
        <w:t xml:space="preserve">4. Substantial similarity</w:t>
      </w:r>
      <w:bookmarkEnd w:id="93"/>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p>
      <w:pPr>
        <w:pStyle w:val="Heading2"/>
      </w:pPr>
      <w:bookmarkStart w:id="94" w:name="fair-use"/>
      <w:r>
        <w:t xml:space="preserve">Fair Use</w:t>
      </w:r>
      <w:bookmarkEnd w:id="94"/>
    </w:p>
    <w:p>
      <w:pPr>
        <w:pStyle w:val="Compact"/>
        <w:numPr>
          <w:numId w:val="1008"/>
          <w:ilvl w:val="0"/>
        </w:numPr>
      </w:pPr>
      <w:hyperlink r:id="rId95">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w:t>
      </w:r>
      <w:r>
        <w:t xml:space="preserve"> </w:t>
      </w:r>
      <w:r>
        <w:rPr>
          <w:i/>
        </w:rPr>
        <w:t xml:space="preserve">defense</w:t>
      </w:r>
      <w:r>
        <w:t xml:space="preserve"> </w:t>
      </w:r>
      <w:r>
        <w:t xml:space="preserve">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3"/>
      </w:pPr>
      <w:bookmarkStart w:id="96" w:name="copyright-statute"/>
      <w:r>
        <w:t xml:space="preserve">Copyright Statute</w:t>
      </w:r>
      <w:bookmarkEnd w:id="96"/>
    </w:p>
    <w:p>
      <w:pPr>
        <w:pStyle w:val="Heading6"/>
      </w:pPr>
      <w:bookmarkStart w:id="97" w:name="limitations-on-exclusive-rights-fair-use"/>
      <w:r>
        <w:t xml:space="preserve">§ 107 - Limitations on exclusive rights: Fair use</w:t>
      </w:r>
      <w:bookmarkEnd w:id="97"/>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98" w:name="who-decides-whether-use-of-a-copyrighted-work-was-fair"/>
      <w:r>
        <w:t xml:space="preserve">Who decides whether use of a copyrighted work was fair?</w:t>
      </w:r>
      <w:bookmarkEnd w:id="98"/>
    </w:p>
    <w:p>
      <w:pPr>
        <w:pStyle w:val="FirstParagraph"/>
      </w:pPr>
      <w:r>
        <w:t xml:space="preserve">The court does.</w:t>
      </w:r>
      <w:r>
        <w:t xml:space="preserve"> </w:t>
      </w:r>
      <w:r>
        <w:rPr>
          <w:i/>
        </w:rPr>
        <w:t xml:space="preserve">After</w:t>
      </w:r>
      <w:r>
        <w:t xml:space="preserve"> </w:t>
      </w:r>
      <w:r>
        <w:t xml:space="preserve">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99" w:name="harper-row-v.-the-nation-us-1985"/>
      <w:r>
        <w:rPr>
          <w:i/>
        </w:rPr>
        <w:t xml:space="preserve">Harper &amp; Row v. The Nation</w:t>
      </w:r>
      <w:r>
        <w:t xml:space="preserve"> </w:t>
      </w:r>
      <w:r>
        <w:t xml:space="preserve">(US 1985)</w:t>
      </w:r>
      <w:bookmarkEnd w:id="99"/>
    </w:p>
    <w:p>
      <w:pPr>
        <w:pStyle w:val="Compact"/>
        <w:numPr>
          <w:numId w:val="1010"/>
          <w:ilvl w:val="0"/>
        </w:numPr>
      </w:pPr>
      <w:hyperlink r:id="rId100">
        <w:r>
          <w:rPr>
            <w:rStyle w:val="Hyperlink"/>
          </w:rPr>
          <w:t xml:space="preserve">case at Google Scholar</w:t>
        </w:r>
      </w:hyperlink>
    </w:p>
    <w:p>
      <w:pPr>
        <w:pStyle w:val="Compact"/>
        <w:numPr>
          <w:numId w:val="1010"/>
          <w:ilvl w:val="0"/>
        </w:numPr>
      </w:pPr>
      <w:hyperlink r:id="rId101">
        <w:r>
          <w:rPr>
            <w:rStyle w:val="Hyperlink"/>
          </w:rPr>
          <w:t xml:space="preserve">case at Westlaw</w:t>
        </w:r>
      </w:hyperlink>
    </w:p>
    <w:p>
      <w:pPr>
        <w:pStyle w:val="Compact"/>
        <w:numPr>
          <w:numId w:val="1010"/>
          <w:ilvl w:val="0"/>
        </w:numPr>
      </w:pPr>
      <w:hyperlink r:id="rId102">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03">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p>
      <w:pPr>
        <w:pStyle w:val="Heading2"/>
      </w:pPr>
      <w:bookmarkStart w:id="104" w:name="parody-fair-use"/>
      <w:r>
        <w:t xml:space="preserve">Parody &amp; Fair Use</w:t>
      </w:r>
      <w:bookmarkEnd w:id="104"/>
    </w:p>
    <w:p>
      <w:pPr>
        <w:pStyle w:val="Heading3"/>
      </w:pPr>
      <w:bookmarkStart w:id="105" w:name="campbell-v.-acuff-rose-music-inc."/>
      <w:r>
        <w:rPr>
          <w:i/>
        </w:rPr>
        <w:t xml:space="preserve">Campbell v. Acuff-Rose Music, Inc.</w:t>
      </w:r>
      <w:bookmarkEnd w:id="105"/>
    </w:p>
    <w:p>
      <w:pPr>
        <w:pStyle w:val="Heading6"/>
      </w:pPr>
      <w:bookmarkStart w:id="106" w:name="united-states-supreme-court-1994"/>
      <w:r>
        <w:t xml:space="preserve">United States Supreme Court (1994)</w:t>
      </w:r>
      <w:bookmarkEnd w:id="106"/>
    </w:p>
    <w:p>
      <w:pPr>
        <w:pStyle w:val="Compact"/>
        <w:numPr>
          <w:numId w:val="1015"/>
          <w:ilvl w:val="0"/>
        </w:numPr>
      </w:pPr>
      <w:hyperlink r:id="rId107">
        <w:r>
          <w:rPr>
            <w:rStyle w:val="Hyperlink"/>
          </w:rPr>
          <w:t xml:space="preserve">case on Google Scholar</w:t>
        </w:r>
      </w:hyperlink>
    </w:p>
    <w:p>
      <w:pPr>
        <w:pStyle w:val="Compact"/>
        <w:numPr>
          <w:numId w:val="1015"/>
          <w:ilvl w:val="0"/>
        </w:numPr>
      </w:pPr>
      <w:hyperlink r:id="rId108">
        <w:r>
          <w:rPr>
            <w:rStyle w:val="Hyperlink"/>
          </w:rPr>
          <w:t xml:space="preserve">case at Westlaw</w:t>
        </w:r>
      </w:hyperlink>
      <w:r>
        <w:t xml:space="preserve">.</w:t>
      </w:r>
    </w:p>
    <w:p>
      <w:pPr>
        <w:pStyle w:val="Compact"/>
        <w:numPr>
          <w:numId w:val="1015"/>
          <w:ilvl w:val="0"/>
        </w:numPr>
      </w:pPr>
      <w:hyperlink r:id="rId109">
        <w:r>
          <w:rPr>
            <w:rStyle w:val="Hyperlink"/>
          </w:rPr>
          <w:t xml:space="preserve">case at Wikipedia</w:t>
        </w:r>
      </w:hyperlink>
      <w:r>
        <w:t xml:space="preserve">.</w:t>
      </w:r>
    </w:p>
    <w:p>
      <w:pPr>
        <w:pStyle w:val="Compact"/>
        <w:numPr>
          <w:numId w:val="1015"/>
          <w:ilvl w:val="0"/>
        </w:numPr>
      </w:pPr>
      <w:hyperlink r:id="rId110">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Compact"/>
        <w:numPr>
          <w:numId w:val="1015"/>
          <w:ilvl w:val="0"/>
        </w:numPr>
      </w:pPr>
      <w:hyperlink r:id="rId111">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03">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112" w:name="i-1"/>
      <w:r>
        <w:t xml:space="preserve">I</w:t>
      </w:r>
      <w:bookmarkEnd w:id="112"/>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13">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0">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p>
      <w:pPr>
        <w:pStyle w:val="Heading2"/>
      </w:pPr>
      <w:bookmarkStart w:id="114" w:name="ii-1"/>
      <w:r>
        <w:t xml:space="preserve">II</w:t>
      </w:r>
      <w:bookmarkEnd w:id="114"/>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15">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i/>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16">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0">
        <w:r>
          <w:rPr>
            <w:i/>
            <w:rStyle w:val="Hyperlink"/>
          </w:rPr>
          <w:t xml:space="preserve">Harper &amp; Row</w:t>
        </w:r>
      </w:hyperlink>
      <w:r>
        <w:t xml:space="preserve">;</w:t>
      </w:r>
      <w:r>
        <w:t xml:space="preserve"> </w:t>
      </w:r>
      <w:r>
        <w:t xml:space="preserve">and</w:t>
      </w:r>
      <w:r>
        <w:t xml:space="preserve"> </w:t>
      </w:r>
      <w:hyperlink r:id="rId113">
        <w:r>
          <w:rPr>
            <w:i/>
            <w:rStyle w:val="Hyperlink"/>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0">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17" w:name="a"/>
      <w:r>
        <w:t xml:space="preserve">A</w:t>
      </w:r>
      <w:bookmarkEnd w:id="117"/>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03">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03">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13">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13">
        <w:r>
          <w:rPr>
            <w:i/>
            <w:rStyle w:val="Hyperlink"/>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0">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118">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13">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0">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0">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13">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0">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19" w:name="b"/>
      <w:r>
        <w:t xml:space="preserve">B</w:t>
      </w:r>
      <w:bookmarkEnd w:id="119"/>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03">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20" w:name="c"/>
      <w:r>
        <w:t xml:space="preserve">C</w:t>
      </w:r>
      <w:bookmarkEnd w:id="120"/>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03">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13">
        <w:r>
          <w:rPr>
            <w:i/>
            <w:rStyle w:val="Hyperlink"/>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0">
        <w:r>
          <w:rPr>
            <w:i/>
            <w:rStyle w:val="Hyperlink"/>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0">
        <w:r>
          <w:rPr>
            <w:i/>
            <w:rStyle w:val="Hyperlink"/>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1">
        <w:r>
          <w:rPr>
            <w:i/>
            <w:rStyle w:val="Hyperlink"/>
          </w:rPr>
          <w:t xml:space="preserve">Elsmere Music</w:t>
        </w:r>
      </w:hyperlink>
      <w:r>
        <w:t xml:space="preserv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0">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23" w:name="d"/>
      <w:r>
        <w:t xml:space="preserve">D</w:t>
      </w:r>
      <w:bookmarkEnd w:id="123"/>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03">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0">
        <w:r>
          <w:rPr>
            <w:i/>
            <w:rStyle w:val="Hyperlink"/>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0">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13">
        <w:r>
          <w:rPr>
            <w:i/>
            <w:rStyle w:val="Hyperlink"/>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13">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0">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24">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25" w:name="iii-1"/>
      <w:r>
        <w:t xml:space="preserve">III</w:t>
      </w:r>
      <w:bookmarkEnd w:id="125"/>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i/>
        </w:rPr>
        <w:t xml:space="preserve">An omitted (but instructive) footnote:</w:t>
      </w:r>
    </w:p>
    <w:p>
      <w:pPr>
        <w:pStyle w:val="BlockText"/>
      </w:pPr>
      <w:r>
        <w:t xml:space="preserve">Finally, regardless of the weight one might place on the alleged infringer’s state of mind, compare</w:t>
      </w:r>
      <w:r>
        <w:t xml:space="preserve"> </w:t>
      </w:r>
      <w:hyperlink r:id="rId100">
        <w:r>
          <w:rPr>
            <w:i/>
            <w:rStyle w:val="Hyperlink"/>
          </w:rPr>
          <w:t xml:space="preserve">Harper &amp; Row</w:t>
        </w:r>
      </w:hyperlink>
      <w:r>
        <w:t xml:space="preserve"> </w:t>
      </w:r>
      <w:r>
        <w:t xml:space="preserve">(fair use presupposes good faith and fair dealing) with</w:t>
      </w:r>
      <w:r>
        <w:t xml:space="preserve"> </w:t>
      </w:r>
      <w:hyperlink r:id="rId115">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26" w:name="appendix-a-to-opinion-of-the-court"/>
      <w:r>
        <w:t xml:space="preserve">APPENDIX A TO OPINION OF THE COURT</w:t>
      </w:r>
      <w:bookmarkEnd w:id="126"/>
    </w:p>
    <w:p>
      <w:pPr>
        <w:pStyle w:val="FirstParagraph"/>
      </w:pPr>
      <w:r>
        <w:rPr>
          <w:i/>
        </w:rPr>
        <w:t xml:space="preserve">“</w:t>
      </w:r>
      <w:r>
        <w:rPr>
          <w:i/>
        </w:rPr>
        <w:t xml:space="preserve">Oh, Pretty Woman</w:t>
      </w:r>
      <w:r>
        <w:rPr>
          <w:i/>
        </w:rPr>
        <w:t xml:space="preserve">”</w:t>
      </w:r>
      <w:r>
        <w:rPr>
          <w:i/>
        </w:rPr>
        <w:t xml:space="preserve"> </w:t>
      </w:r>
      <w:r>
        <w:rPr>
          <w:i/>
        </w:rPr>
        <w:t xml:space="preserve">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27" w:name="appendix-b-to-opinion-of-the-court"/>
      <w:r>
        <w:t xml:space="preserve">APPENDIX B TO OPINION OF THE COURT</w:t>
      </w:r>
      <w:bookmarkEnd w:id="127"/>
    </w:p>
    <w:p>
      <w:pPr>
        <w:pStyle w:val="FirstParagraph"/>
      </w:pPr>
      <w:r>
        <w:t xml:space="preserve">“</w:t>
      </w:r>
      <w:r>
        <w:t xml:space="preserve">Pretty Woman</w:t>
      </w:r>
      <w:r>
        <w:t xml:space="preserve">”</w:t>
      </w:r>
      <w:r>
        <w:t xml:space="preserve"> </w:t>
      </w:r>
      <w:r>
        <w:t xml:space="preserve">as Recorded by 2 Live Crew</w:t>
      </w:r>
    </w:p>
    <w:p>
      <w:pPr>
        <w:pStyle w:val="SourceCode"/>
      </w:pPr>
      <w:r>
        <w:rPr>
          <w:rStyle w:val="VerbatimChar"/>
        </w:rPr>
        <w:t xml:space="preserve">| Pretty woman walkin' down the street</w:t>
      </w:r>
      <w:r>
        <w:br w:type="textWrapping"/>
      </w:r>
      <w:r>
        <w:rPr>
          <w:rStyle w:val="VerbatimChar"/>
        </w:rPr>
        <w:t xml:space="preserve">| Pretty woman girl you look so sweet</w:t>
      </w:r>
      <w:r>
        <w:br w:type="textWrapping"/>
      </w:r>
      <w:r>
        <w:rPr>
          <w:rStyle w:val="VerbatimChar"/>
        </w:rPr>
        <w:t xml:space="preserve">| Pretty woman you bring me down to that knee</w:t>
      </w:r>
      <w:r>
        <w:br w:type="textWrapping"/>
      </w:r>
      <w:r>
        <w:rPr>
          <w:rStyle w:val="VerbatimChar"/>
        </w:rPr>
        <w:t xml:space="preserve">| Pretty woman you make me wanna beg please</w:t>
      </w:r>
      <w:r>
        <w:br w:type="textWrapping"/>
      </w:r>
      <w:r>
        <w:rPr>
          <w:rStyle w:val="VerbatimChar"/>
        </w:rPr>
        <w:t xml:space="preserve">| Oh, pretty woman</w:t>
      </w:r>
      <w:r>
        <w:br w:type="textWrapping"/>
      </w:r>
      <w:r>
        <w:rPr>
          <w:rStyle w:val="VerbatimChar"/>
        </w:rPr>
        <w:t xml:space="preserve">| Big hairy woman you need to shave that stuff</w:t>
      </w:r>
      <w:r>
        <w:br w:type="textWrapping"/>
      </w:r>
      <w:r>
        <w:rPr>
          <w:rStyle w:val="VerbatimChar"/>
        </w:rPr>
        <w:t xml:space="preserve">| Big hairy woman you know I bet it's tough</w:t>
      </w:r>
      <w:r>
        <w:br w:type="textWrapping"/>
      </w:r>
      <w:r>
        <w:rPr>
          <w:rStyle w:val="VerbatimChar"/>
        </w:rPr>
        <w:t xml:space="preserve">| Big hairy woman all that hair it ain't legit</w:t>
      </w:r>
      <w:r>
        <w:br w:type="textWrapping"/>
      </w:r>
      <w:r>
        <w:rPr>
          <w:rStyle w:val="VerbatimChar"/>
        </w:rPr>
        <w:t xml:space="preserve">|  'Cause you look like \`Cousin It'</w:t>
      </w:r>
      <w:r>
        <w:br w:type="textWrapping"/>
      </w:r>
      <w:r>
        <w:rPr>
          <w:rStyle w:val="VerbatimChar"/>
        </w:rPr>
        <w:t xml:space="preserve">| Big hairy woman</w:t>
      </w:r>
      <w:r>
        <w:br w:type="textWrapping"/>
      </w:r>
      <w:r>
        <w:rPr>
          <w:rStyle w:val="VerbatimChar"/>
        </w:rPr>
        <w:t xml:space="preserve">| Bald headed woman girl your hair won't grow</w:t>
      </w:r>
      <w:r>
        <w:br w:type="textWrapping"/>
      </w:r>
      <w:r>
        <w:rPr>
          <w:rStyle w:val="VerbatimChar"/>
        </w:rPr>
        <w:t xml:space="preserve">| Bald headed woman you got a teeny weeny afro</w:t>
      </w:r>
      <w:r>
        <w:br w:type="textWrapping"/>
      </w:r>
      <w:r>
        <w:rPr>
          <w:rStyle w:val="VerbatimChar"/>
        </w:rPr>
        <w:t xml:space="preserve">| Bald headed woman you know your hair could look nice</w:t>
      </w:r>
      <w:r>
        <w:br w:type="textWrapping"/>
      </w:r>
      <w:r>
        <w:rPr>
          <w:rStyle w:val="VerbatimChar"/>
        </w:rPr>
        <w:t xml:space="preserve">| Bald headed woman first you got to roll it with rice</w:t>
      </w:r>
      <w:r>
        <w:br w:type="textWrapping"/>
      </w:r>
      <w:r>
        <w:rPr>
          <w:rStyle w:val="VerbatimChar"/>
        </w:rPr>
        <w:t xml:space="preserve">| Bald headed woman here, let me get this hunk of biz for ya</w:t>
      </w:r>
      <w:r>
        <w:br w:type="textWrapping"/>
      </w:r>
      <w:r>
        <w:rPr>
          <w:rStyle w:val="VerbatimChar"/>
        </w:rPr>
        <w:t xml:space="preserve">| Ya know what I'm saying you look better than rice a roni</w:t>
      </w:r>
      <w:r>
        <w:br w:type="textWrapping"/>
      </w:r>
      <w:r>
        <w:rPr>
          <w:rStyle w:val="VerbatimChar"/>
        </w:rPr>
        <w:t xml:space="preserve">| Oh bald headed woman</w:t>
      </w:r>
      <w:r>
        <w:br w:type="textWrapping"/>
      </w:r>
      <w:r>
        <w:rPr>
          <w:rStyle w:val="VerbatimChar"/>
        </w:rPr>
        <w:t xml:space="preserve">| Big hairy woman come on in</w:t>
      </w:r>
      <w:r>
        <w:br w:type="textWrapping"/>
      </w:r>
      <w:r>
        <w:rPr>
          <w:rStyle w:val="VerbatimChar"/>
        </w:rPr>
        <w:t xml:space="preserve">| And don't forget your bald headed friend</w:t>
      </w:r>
      <w:r>
        <w:br w:type="textWrapping"/>
      </w:r>
      <w:r>
        <w:rPr>
          <w:rStyle w:val="VerbatimChar"/>
        </w:rPr>
        <w:t xml:space="preserve">| Hey pretty woman let the boys Jump in</w:t>
      </w:r>
      <w:r>
        <w:br w:type="textWrapping"/>
      </w:r>
      <w:r>
        <w:rPr>
          <w:rStyle w:val="VerbatimChar"/>
        </w:rPr>
        <w:t xml:space="preserve">| Two timin' woman girl you know you ain't right</w:t>
      </w:r>
      <w:r>
        <w:br w:type="textWrapping"/>
      </w:r>
      <w:r>
        <w:rPr>
          <w:rStyle w:val="VerbatimChar"/>
        </w:rPr>
        <w:t xml:space="preserve">| Two timin' woman you's out with my boy last night</w:t>
      </w:r>
      <w:r>
        <w:br w:type="textWrapping"/>
      </w:r>
      <w:r>
        <w:rPr>
          <w:rStyle w:val="VerbatimChar"/>
        </w:rPr>
        <w:t xml:space="preserve">| Two timin' woman that takes a load off my mind</w:t>
      </w:r>
      <w:r>
        <w:br w:type="textWrapping"/>
      </w:r>
      <w:r>
        <w:rPr>
          <w:rStyle w:val="VerbatimChar"/>
        </w:rPr>
        <w:t xml:space="preserve">| Two timin' woman now I know the baby ain't mine</w:t>
      </w:r>
      <w:r>
        <w:br w:type="textWrapping"/>
      </w:r>
      <w:r>
        <w:rPr>
          <w:rStyle w:val="VerbatimChar"/>
        </w:rPr>
        <w:t xml:space="preserve">| Oh, two timin' woman</w:t>
      </w:r>
      <w:r>
        <w:br w:type="textWrapping"/>
      </w:r>
      <w:r>
        <w:rPr>
          <w:rStyle w:val="VerbatimChar"/>
        </w:rPr>
        <w:t xml:space="preserve">| Oh pretty woman</w:t>
      </w:r>
    </w:p>
    <w:p>
      <w:pPr>
        <w:pStyle w:val="Heading3"/>
      </w:pPr>
      <w:bookmarkStart w:id="128" w:name="summary-of-fair-use-factors"/>
      <w:r>
        <w:t xml:space="preserve">Summary of Fair Use Factors</w:t>
      </w:r>
      <w:bookmarkEnd w:id="128"/>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29"/>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pStyle w:val="Compact"/>
        <w:numPr>
          <w:numId w:val="1023"/>
          <w:ilvl w:val="0"/>
        </w:numPr>
      </w:pPr>
      <w:r>
        <w:t xml:space="preserve">Nature of the Work.</w:t>
      </w:r>
    </w:p>
    <w:p>
      <w:pPr>
        <w:pStyle w:val="Compact"/>
        <w:numPr>
          <w:numId w:val="1024"/>
          <w:ilvl w:val="1"/>
        </w:numPr>
      </w:pPr>
      <w:r>
        <w:t xml:space="preserve">Spectrum of fact to fiction, where taking factual works is more fair</w:t>
      </w:r>
      <w:r>
        <w:t xml:space="preserve"> </w:t>
      </w:r>
      <w:r>
        <w:t xml:space="preserve">taking fiction is less fair.</w:t>
      </w:r>
    </w:p>
    <w:p>
      <w:pPr>
        <w:pStyle w:val="Compact"/>
        <w:numPr>
          <w:numId w:val="1024"/>
          <w:ilvl w:val="1"/>
        </w:numPr>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0"/>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pStyle w:val="Compact"/>
        <w:numPr>
          <w:numId w:val="1025"/>
          <w:ilvl w:val="0"/>
        </w:numPr>
      </w:pPr>
      <w:r>
        <w:t xml:space="preserve">Amount Taken</w:t>
      </w:r>
    </w:p>
    <w:p>
      <w:pPr>
        <w:pStyle w:val="Compact"/>
        <w:numPr>
          <w:numId w:val="1026"/>
          <w:ilvl w:val="1"/>
        </w:numPr>
      </w:pPr>
      <w:r>
        <w:t xml:space="preserve">Some courts say that taking the entire work is presumptively unfair.</w:t>
      </w:r>
    </w:p>
    <w:p>
      <w:pPr>
        <w:pStyle w:val="Compact"/>
        <w:numPr>
          <w:numId w:val="1026"/>
          <w:ilvl w:val="1"/>
        </w:numPr>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pStyle w:val="Compact"/>
        <w:numPr>
          <w:numId w:val="1026"/>
          <w:ilvl w:val="1"/>
        </w:numPr>
      </w:pPr>
      <w:r>
        <w:t xml:space="preserve">Taking poems, song lyrics, etc. for a commercial use almost always unfair.</w:t>
      </w:r>
    </w:p>
    <w:p>
      <w:pPr>
        <w:pStyle w:val="Compact"/>
        <w:numPr>
          <w:numId w:val="1026"/>
          <w:ilvl w:val="1"/>
        </w:numPr>
      </w:pPr>
      <w:r>
        <w:t xml:space="preserve">In book publishing, for nonfiction and novels, usually 250 words.</w:t>
      </w:r>
    </w:p>
    <w:p>
      <w:pPr>
        <w:pStyle w:val="Compact"/>
        <w:numPr>
          <w:numId w:val="1026"/>
          <w:ilvl w:val="1"/>
        </w:numPr>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1"/>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pStyle w:val="Compact"/>
        <w:numPr>
          <w:numId w:val="1027"/>
          <w:ilvl w:val="0"/>
        </w:numPr>
      </w:pPr>
      <w:r>
        <w:t xml:space="preserve">Market Effect</w:t>
      </w:r>
    </w:p>
    <w:p>
      <w:pPr>
        <w:pStyle w:val="Compact"/>
        <w:numPr>
          <w:numId w:val="1028"/>
          <w:ilvl w:val="1"/>
        </w:numPr>
      </w:pPr>
      <w:r>
        <w:t xml:space="preserve">Often cited as THE most important factor (</w:t>
      </w:r>
      <w:r>
        <w:rPr>
          <w:i/>
        </w:rPr>
        <w:t xml:space="preserve">Harper &amp; Row</w:t>
      </w:r>
      <w:r>
        <w:t xml:space="preserve">).</w:t>
      </w:r>
    </w:p>
    <w:p>
      <w:pPr>
        <w:pStyle w:val="Compact"/>
        <w:numPr>
          <w:numId w:val="1028"/>
          <w:ilvl w:val="1"/>
        </w:numPr>
      </w:pPr>
      <w:r>
        <w:t xml:space="preserve">Whether unrestricted and widespread conduct like the defendant’s would substantively and adversely impact the market, and the harm to the market for derivative works.</w:t>
      </w:r>
    </w:p>
    <w:p>
      <w:pPr>
        <w:pStyle w:val="Compact"/>
        <w:numPr>
          <w:numId w:val="1028"/>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32"/>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p>
      <w:pPr>
        <w:pStyle w:val="Heading4"/>
      </w:pPr>
      <w:bookmarkStart w:id="133" w:name="totally-optional-readings-and-viewings"/>
      <w:r>
        <w:t xml:space="preserve">Totally Optional Readings and Viewings</w:t>
      </w:r>
      <w:bookmarkEnd w:id="133"/>
    </w:p>
    <w:p>
      <w:pPr>
        <w:pStyle w:val="Compact"/>
        <w:numPr>
          <w:numId w:val="1029"/>
          <w:ilvl w:val="0"/>
        </w:numPr>
      </w:pPr>
      <w:hyperlink r:id="rId134">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pStyle w:val="Compact"/>
        <w:numPr>
          <w:numId w:val="1029"/>
          <w:ilvl w:val="0"/>
        </w:numPr>
      </w:pPr>
      <w:hyperlink r:id="rId135">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pStyle w:val="Compact"/>
        <w:numPr>
          <w:numId w:val="1029"/>
          <w:ilvl w:val="0"/>
        </w:numPr>
      </w:pPr>
      <w:hyperlink r:id="rId136">
        <w:r>
          <w:rPr>
            <w:rStyle w:val="Hyperlink"/>
          </w:rPr>
          <w:t xml:space="preserve">The New Yorker: Who Owns This Image?</w:t>
        </w:r>
      </w:hyperlink>
    </w:p>
    <w:p>
      <w:pPr>
        <w:pStyle w:val="Compact"/>
        <w:numPr>
          <w:numId w:val="1029"/>
          <w:ilvl w:val="0"/>
        </w:numPr>
      </w:pPr>
      <w:hyperlink r:id="rId137">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pStyle w:val="Compact"/>
        <w:numPr>
          <w:numId w:val="1029"/>
          <w:ilvl w:val="0"/>
        </w:numPr>
      </w:pPr>
      <w:hyperlink r:id="rId138">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9"/>
          <w:ilvl w:val="0"/>
        </w:numPr>
      </w:pPr>
      <w:hyperlink r:id="rId139">
        <w:r>
          <w:rPr>
            <w:rStyle w:val="Hyperlink"/>
          </w:rPr>
          <w:t xml:space="preserve">Article about</w:t>
        </w:r>
        <w:r>
          <w:rPr>
            <w:rStyle w:val="Hyperlink"/>
          </w:rPr>
          <w:t xml:space="preserve"> </w:t>
        </w:r>
        <w:r>
          <w:rPr>
            <w:i/>
            <w:rStyle w:val="Hyperlink"/>
          </w:rPr>
          <w:t xml:space="preserve">Woods v. Universal.</w:t>
        </w:r>
      </w:hyperlink>
    </w:p>
    <w:p>
      <w:pPr>
        <w:pStyle w:val="Compact"/>
        <w:numPr>
          <w:numId w:val="1029"/>
          <w:ilvl w:val="0"/>
        </w:numPr>
      </w:pPr>
      <w:hyperlink r:id="rId140">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p>
      <w:pPr>
        <w:pStyle w:val="Heading4"/>
      </w:pPr>
      <w:bookmarkStart w:id="141" w:name="more-totally-optional-reading-viewing"/>
      <w:r>
        <w:t xml:space="preserve">More Totally Optional Reading &amp; Viewing</w:t>
      </w:r>
      <w:bookmarkEnd w:id="141"/>
    </w:p>
    <w:p>
      <w:pPr>
        <w:pStyle w:val="Compact"/>
        <w:numPr>
          <w:numId w:val="1030"/>
          <w:ilvl w:val="0"/>
        </w:numPr>
      </w:pPr>
      <w:hyperlink r:id="rId142">
        <w:r>
          <w:rPr>
            <w:rStyle w:val="Hyperlink"/>
          </w:rPr>
          <w:t xml:space="preserve">An Overview of the Elements of a Copyright Infringement Cause of Action - Part I: Introduction and Copying</w:t>
        </w:r>
      </w:hyperlink>
      <w:r>
        <w:t xml:space="preserve">, by Jason E. Slowan</w:t>
      </w:r>
    </w:p>
    <w:p>
      <w:pPr>
        <w:pStyle w:val="Compact"/>
        <w:numPr>
          <w:numId w:val="1030"/>
          <w:ilvl w:val="0"/>
        </w:numPr>
      </w:pPr>
      <w:hyperlink r:id="rId143">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30"/>
          <w:ilvl w:val="0"/>
        </w:numPr>
      </w:pPr>
      <w:hyperlink r:id="rId144">
        <w:r>
          <w:rPr>
            <w:rStyle w:val="Hyperlink"/>
          </w:rPr>
          <w:t xml:space="preserve">Larry Lessig TED Talk on User Generated Content</w:t>
        </w:r>
      </w:hyperlink>
      <w:r>
        <w:t xml:space="preserve">.</w:t>
      </w:r>
    </w:p>
    <w:p>
      <w:pPr>
        <w:pStyle w:val="Compact"/>
        <w:numPr>
          <w:numId w:val="1030"/>
          <w:ilvl w:val="0"/>
        </w:numPr>
      </w:pPr>
      <w:hyperlink r:id="rId145">
        <w:r>
          <w:rPr>
            <w:rStyle w:val="Hyperlink"/>
          </w:rPr>
          <w:t xml:space="preserve">Lawrence Lessig Sues Over Takedown of YouTube Video Featuring Phoenix Song</w:t>
        </w:r>
      </w:hyperlink>
    </w:p>
    <w:p>
      <w:pPr>
        <w:pStyle w:val="Compact"/>
        <w:numPr>
          <w:numId w:val="1030"/>
          <w:ilvl w:val="0"/>
        </w:numPr>
      </w:pPr>
      <w:hyperlink r:id="rId146">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7">
        <w:r>
          <w:rPr>
            <w:rStyle w:val="Hyperlink"/>
          </w:rPr>
          <w:t xml:space="preserve">NYTimes on 5Pointz Graffiti Site</w:t>
        </w:r>
      </w:hyperlink>
      <w:r>
        <w:t xml:space="preserve"> </w:t>
      </w:r>
      <w:hyperlink r:id="rId145">
        <w:r>
          <w:rPr>
            <w:rStyle w:val="Hyperlink"/>
          </w:rPr>
          <w:t xml:space="preserve">Lawrence Lessig Sues Over Takedown of YouTube Video Featuring Phoenix Song</w:t>
        </w:r>
      </w:hyperlink>
    </w:p>
    <w:p>
      <w:pPr>
        <w:pStyle w:val="Compact"/>
        <w:numPr>
          <w:numId w:val="1030"/>
          <w:ilvl w:val="0"/>
        </w:numPr>
      </w:pPr>
      <w:hyperlink r:id="rId146">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8">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pStyle w:val="Compact"/>
        <w:numPr>
          <w:numId w:val="1030"/>
          <w:ilvl w:val="0"/>
        </w:numPr>
      </w:pPr>
      <w:hyperlink r:id="rId149">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0">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1">
        <w:r>
          <w:rPr>
            <w:rStyle w:val="Hyperlink"/>
          </w:rPr>
          <w:t xml:space="preserve">The Fair Use App An Interactive Guide for Filmmakers and Video Creators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0" Target="media/rId130.png" /><Relationship Type="http://schemas.openxmlformats.org/officeDocument/2006/relationships/image" Id="rId129" Target="media/rId129.png" /><Relationship Type="http://schemas.openxmlformats.org/officeDocument/2006/relationships/hyperlink" Id="rId146" Target="http://artsbeat.blogs.nytimes.com/2013/11/25/the-beastie-boys-fight-online-video-parody-of-girls/?_r=0" TargetMode="External" /><Relationship Type="http://schemas.openxmlformats.org/officeDocument/2006/relationships/hyperlink" Id="rId143" Target="http://creativeartsadvocate.com/independent-creation-vs-subconscious-copying/" TargetMode="External" /><Relationship Type="http://schemas.openxmlformats.org/officeDocument/2006/relationships/hyperlink" Id="rId134" Target="http://en.wikipedia.org/wiki/Barack_Obama_%22Hope%22_poster" TargetMode="External" /><Relationship Type="http://schemas.openxmlformats.org/officeDocument/2006/relationships/hyperlink" Id="rId109" Target="http://en.wikipedia.org/wiki/Campbell_v._Acuff-Rose_Music,_Inc." TargetMode="External" /><Relationship Type="http://schemas.openxmlformats.org/officeDocument/2006/relationships/hyperlink" Id="rId102" Target="http://en.wikipedia.org/wiki/Harper_%26_Row_v._Nation_Enterprises" TargetMode="External" /><Relationship Type="http://schemas.openxmlformats.org/officeDocument/2006/relationships/hyperlink" Id="rId34" Target="http://en.wikipedia.org/wiki/My_Sweet_Lord#Copyright_infringement_suit" TargetMode="External" /><Relationship Type="http://schemas.openxmlformats.org/officeDocument/2006/relationships/hyperlink" Id="rId42" Target="http://en.wikipedia.org/wiki/Selle_v._Gibb" TargetMode="External" /><Relationship Type="http://schemas.openxmlformats.org/officeDocument/2006/relationships/hyperlink" Id="rId101" Target="http://lawschool.westlaw.com/shared/westlawRedirect.aspx?task=find&amp;cite=105+S.Ct.+2218&amp;appflag=67.12" TargetMode="External" /><Relationship Type="http://schemas.openxmlformats.org/officeDocument/2006/relationships/hyperlink" Id="rId75" Target="http://lawschool.westlaw.com/shared/westlawRedirect.aspx?task=find&amp;cite=2013+WL+1345075&amp;appflag=67.12" TargetMode="External" /><Relationship Type="http://schemas.openxmlformats.org/officeDocument/2006/relationships/hyperlink" Id="rId33" Target="http://lawschool.westlaw.com/shared/westlawRedirect.aspx?task=find&amp;cite=420fsupp177&amp;appflag=67.12" TargetMode="External" /><Relationship Type="http://schemas.openxmlformats.org/officeDocument/2006/relationships/hyperlink" Id="rId108" Target="http://lawschool.westlaw.com/shared/westlawRedirect.aspx?task=find&amp;cite=510us569&amp;appflag=67.12" TargetMode="External" /><Relationship Type="http://schemas.openxmlformats.org/officeDocument/2006/relationships/hyperlink" Id="rId41" Target="http://lawschool.westlaw.com/shared/westlawRedirect.aspx?task=find&amp;cite=741f2d896&amp;appflag=67.12" TargetMode="External" /><Relationship Type="http://schemas.openxmlformats.org/officeDocument/2006/relationships/hyperlink" Id="rId57" Target="http://lawschool.westlaw.com/shared/westlawRedirect.aspx?task=find&amp;cite=820+F.+Supp.+722&amp;appflag=67.12" TargetMode="External" /><Relationship Type="http://schemas.openxmlformats.org/officeDocument/2006/relationships/hyperlink" Id="rId68" Target="http://scholar.google.com/scholar_case?about=14278387849317213525" TargetMode="External" /><Relationship Type="http://schemas.openxmlformats.org/officeDocument/2006/relationships/hyperlink" Id="rId115" Target="http://scholar.google.com/scholar_case?about=4495747226837550380" TargetMode="External" /><Relationship Type="http://schemas.openxmlformats.org/officeDocument/2006/relationships/hyperlink" Id="rId56"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2" Target="http://scholar.google.com/scholar_case?case=11184341880970931909" TargetMode="External" /><Relationship Type="http://schemas.openxmlformats.org/officeDocument/2006/relationships/hyperlink" Id="rId81" Target="http://scholar.google.com/scholar_case?case=11311670671390043431" TargetMode="External" /><Relationship Type="http://schemas.openxmlformats.org/officeDocument/2006/relationships/hyperlink" Id="rId43" Target="http://scholar.google.com/scholar_case?case=11567908603789103293" TargetMode="External" /><Relationship Type="http://schemas.openxmlformats.org/officeDocument/2006/relationships/hyperlink" Id="rId25" Target="http://scholar.google.com/scholar_case?case=1195336269698056315" TargetMode="External" /><Relationship Type="http://schemas.openxmlformats.org/officeDocument/2006/relationships/hyperlink" Id="rId82" Target="http://scholar.google.com/scholar_case?case=12110552630017561844" TargetMode="External" /><Relationship Type="http://schemas.openxmlformats.org/officeDocument/2006/relationships/hyperlink" Id="rId89" Target="http://scholar.google.com/scholar_case?case=12221231553971530035" TargetMode="External" /><Relationship Type="http://schemas.openxmlformats.org/officeDocument/2006/relationships/hyperlink" Id="rId67" Target="http://scholar.google.com/scholar_case?case=12415086356592717983" TargetMode="External" /><Relationship Type="http://schemas.openxmlformats.org/officeDocument/2006/relationships/hyperlink" Id="rId100" Target="http://scholar.google.com/scholar_case?case=12801604581154452950" TargetMode="External" /><Relationship Type="http://schemas.openxmlformats.org/officeDocument/2006/relationships/hyperlink" Id="rId49" Target="http://scholar.google.com/scholar_case?case=13045021094752392802" TargetMode="External" /><Relationship Type="http://schemas.openxmlformats.org/officeDocument/2006/relationships/hyperlink" Id="rId74" Target="http://scholar.google.com/scholar_case?case=13241423897271288276" TargetMode="External" /><Relationship Type="http://schemas.openxmlformats.org/officeDocument/2006/relationships/hyperlink" Id="rId77" Target="http://scholar.google.com/scholar_case?case=14363671654333117332" TargetMode="External" /><Relationship Type="http://schemas.openxmlformats.org/officeDocument/2006/relationships/hyperlink" Id="rId83" Target="http://scholar.google.com/scholar_case?case=14520876886135816173"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3" Target="http://scholar.google.com/scholar_case?case=14991934121439658064" TargetMode="External" /><Relationship Type="http://schemas.openxmlformats.org/officeDocument/2006/relationships/hyperlink" Id="rId29" Target="http://scholar.google.com/scholar_case?case=15134673856711698951" TargetMode="External" /><Relationship Type="http://schemas.openxmlformats.org/officeDocument/2006/relationships/hyperlink" Id="rId66" Target="http://scholar.google.com/scholar_case?case=16443246039845209842" TargetMode="External" /><Relationship Type="http://schemas.openxmlformats.org/officeDocument/2006/relationships/hyperlink" Id="rId107" Target="http://scholar.google.com/scholar_case?case=16686162998040575773" TargetMode="External" /><Relationship Type="http://schemas.openxmlformats.org/officeDocument/2006/relationships/hyperlink" Id="rId122" Target="http://scholar.google.com/scholar_case?case=16874877052780018691" TargetMode="External" /><Relationship Type="http://schemas.openxmlformats.org/officeDocument/2006/relationships/hyperlink" Id="rId84" Target="http://scholar.google.com/scholar_case?case=17145440476223557523" TargetMode="External" /><Relationship Type="http://schemas.openxmlformats.org/officeDocument/2006/relationships/hyperlink" Id="rId121" Target="http://scholar.google.com/scholar_case?case=17685233474069050250" TargetMode="External" /><Relationship Type="http://schemas.openxmlformats.org/officeDocument/2006/relationships/hyperlink" Id="rId85" Target="http://scholar.google.com/scholar_case?case=2651925426692695886" TargetMode="External" /><Relationship Type="http://schemas.openxmlformats.org/officeDocument/2006/relationships/hyperlink" Id="rId118" Target="http://scholar.google.com/scholar_case?case=3277054592305773876" TargetMode="External" /><Relationship Type="http://schemas.openxmlformats.org/officeDocument/2006/relationships/hyperlink" Id="rId91" Target="http://scholar.google.com/scholar_case?case=5495147661516410669" TargetMode="External" /><Relationship Type="http://schemas.openxmlformats.org/officeDocument/2006/relationships/hyperlink" Id="rId113" Target="http://scholar.google.com/scholar_case?case=5876335373788447272" TargetMode="External" /><Relationship Type="http://schemas.openxmlformats.org/officeDocument/2006/relationships/hyperlink" Id="rId116" Target="http://scholar.google.com/scholar_case?case=6610856779804662857" TargetMode="External" /><Relationship Type="http://schemas.openxmlformats.org/officeDocument/2006/relationships/hyperlink" Id="rId87" Target="http://scholar.google.com/scholar_case?case=6780333182212903082" TargetMode="External" /><Relationship Type="http://schemas.openxmlformats.org/officeDocument/2006/relationships/hyperlink" Id="rId32" Target="http://scholar.google.com/scholar_case?case=7721050309378220492" TargetMode="External" /><Relationship Type="http://schemas.openxmlformats.org/officeDocument/2006/relationships/hyperlink" Id="rId92" Target="http://scholar.google.com/scholar_case?case=774572446857633137" TargetMode="External" /><Relationship Type="http://schemas.openxmlformats.org/officeDocument/2006/relationships/hyperlink" Id="rId142" Target="http://www.americanbar.org/groups/young_lawyers/publications/the_101_201_practice_series/elements_of_a_copyright.html" TargetMode="External" /><Relationship Type="http://schemas.openxmlformats.org/officeDocument/2006/relationships/hyperlink" Id="rId149" Target="http://www.cmsimpact.org/sites/default/files/fair_use_final.pdf" TargetMode="External" /><Relationship Type="http://schemas.openxmlformats.org/officeDocument/2006/relationships/hyperlink" Id="rId150" Target="http://www.cmsimpact.org/sites/default/files/online_best_practices_in_fair_use.pdf" TargetMode="External" /><Relationship Type="http://schemas.openxmlformats.org/officeDocument/2006/relationships/hyperlink" Id="rId95" Target="http://www.copyright.gov/fls/fl102.html" TargetMode="External" /><Relationship Type="http://schemas.openxmlformats.org/officeDocument/2006/relationships/hyperlink" Id="rId124" Target="http://www.copyright.gov/title17/92chap1.html#106" TargetMode="External" /><Relationship Type="http://schemas.openxmlformats.org/officeDocument/2006/relationships/hyperlink" Id="rId103" Target="http://www.copyright.gov/title17/92chap1.html#107" TargetMode="External" /><Relationship Type="http://schemas.openxmlformats.org/officeDocument/2006/relationships/hyperlink" Id="rId139" Target="http://www.copyrightwebsite.com/Visual/Monkeys/Monkeys.aspx" TargetMode="External" /><Relationship Type="http://schemas.openxmlformats.org/officeDocument/2006/relationships/hyperlink" Id="rId145" Target="http://www.hollywoodreporter.com/thr-esq/lawrence-lessig-sues-takedown-youtube-613549" TargetMode="External" /><Relationship Type="http://schemas.openxmlformats.org/officeDocument/2006/relationships/hyperlink" Id="rId148" Target="http://www.hollywoodreporter.com/thr-esq/marvin-gayes-children-use-audio-731178" TargetMode="External" /><Relationship Type="http://schemas.openxmlformats.org/officeDocument/2006/relationships/hyperlink" Id="rId138" Target="http://www.leagle.com/decision/1996982920FSupp62_1966.xml/WOODS%20v.%20UNIVERSAL%20CITY%20STUDIOS,%20INC." TargetMode="External" /><Relationship Type="http://schemas.openxmlformats.org/officeDocument/2006/relationships/hyperlink" Id="rId151" Target="http://www.newmediarights.org/fairuse/" TargetMode="External" /><Relationship Type="http://schemas.openxmlformats.org/officeDocument/2006/relationships/hyperlink" Id="rId136" Target="http://www.newyorker.com/online/blogs/currency/2014/02/who-owns-this-image.html" TargetMode="External" /><Relationship Type="http://schemas.openxmlformats.org/officeDocument/2006/relationships/hyperlink" Id="rId70" Target="http://www.nytimes.com/1992/12/10/style/chronicle-352892.html" TargetMode="External" /><Relationship Type="http://schemas.openxmlformats.org/officeDocument/2006/relationships/hyperlink" Id="rId147" Target="http://www.nytimes.com/2013/11/20/nyregion/5pointz-a-graffiti-mecca-in-queens-is-wiped-clean-overnight.html" TargetMode="External" /><Relationship Type="http://schemas.openxmlformats.org/officeDocument/2006/relationships/hyperlink" Id="rId135" Target="http://www.politico.com/story/2015/06/shepard-fairey-arrest-warrant-graffiti-119413.html" TargetMode="External" /><Relationship Type="http://schemas.openxmlformats.org/officeDocument/2006/relationships/hyperlink" Id="rId140" Target="http://www.rollingstone.com/music/news/led-zeppelin-prevail-in-stairway-to-heaven-lawsuit-20160623" TargetMode="External" /><Relationship Type="http://schemas.openxmlformats.org/officeDocument/2006/relationships/hyperlink" Id="rId144" Target="http://www.ted.com/talks/larry_lessig_says_the_law_is_strangling_creativity.html" TargetMode="External" /><Relationship Type="http://schemas.openxmlformats.org/officeDocument/2006/relationships/hyperlink" Id="rId137" Target="http://www.theguardian.com/film/2013/jul/19/midnight-in-paris-copyright-william-faulkner" TargetMode="External" /><Relationship Type="http://schemas.openxmlformats.org/officeDocument/2006/relationships/hyperlink" Id="rId27" Target="http://www3.ce9.uscourts.gov/jury-instructions/node/272"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6" Target="https://www.youtube.com/watch?v=0kNGnIKUdMI&amp;feature=kp" TargetMode="External" /><Relationship Type="http://schemas.openxmlformats.org/officeDocument/2006/relationships/hyperlink" Id="rId111" Target="https://www.youtube.com/watch?v=65GQ70Rf_8Y" TargetMode="External" /><Relationship Type="http://schemas.openxmlformats.org/officeDocument/2006/relationships/hyperlink" Id="rId35" Target="https://www.youtube.com/watch?v=JU5qP20iJl0&amp;feature=kp" TargetMode="External" /><Relationship Type="http://schemas.openxmlformats.org/officeDocument/2006/relationships/hyperlink" Id="rId110"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46" Target="http://artsbeat.blogs.nytimes.com/2013/11/25/the-beastie-boys-fight-online-video-parody-of-girls/?_r=0" TargetMode="External" /><Relationship Type="http://schemas.openxmlformats.org/officeDocument/2006/relationships/hyperlink" Id="rId143" Target="http://creativeartsadvocate.com/independent-creation-vs-subconscious-copying/" TargetMode="External" /><Relationship Type="http://schemas.openxmlformats.org/officeDocument/2006/relationships/hyperlink" Id="rId134" Target="http://en.wikipedia.org/wiki/Barack_Obama_%22Hope%22_poster" TargetMode="External" /><Relationship Type="http://schemas.openxmlformats.org/officeDocument/2006/relationships/hyperlink" Id="rId109" Target="http://en.wikipedia.org/wiki/Campbell_v._Acuff-Rose_Music,_Inc." TargetMode="External" /><Relationship Type="http://schemas.openxmlformats.org/officeDocument/2006/relationships/hyperlink" Id="rId102" Target="http://en.wikipedia.org/wiki/Harper_%26_Row_v._Nation_Enterprises" TargetMode="External" /><Relationship Type="http://schemas.openxmlformats.org/officeDocument/2006/relationships/hyperlink" Id="rId34" Target="http://en.wikipedia.org/wiki/My_Sweet_Lord#Copyright_infringement_suit" TargetMode="External" /><Relationship Type="http://schemas.openxmlformats.org/officeDocument/2006/relationships/hyperlink" Id="rId42" Target="http://en.wikipedia.org/wiki/Selle_v._Gibb" TargetMode="External" /><Relationship Type="http://schemas.openxmlformats.org/officeDocument/2006/relationships/hyperlink" Id="rId101" Target="http://lawschool.westlaw.com/shared/westlawRedirect.aspx?task=find&amp;cite=105+S.Ct.+2218&amp;appflag=67.12" TargetMode="External" /><Relationship Type="http://schemas.openxmlformats.org/officeDocument/2006/relationships/hyperlink" Id="rId75" Target="http://lawschool.westlaw.com/shared/westlawRedirect.aspx?task=find&amp;cite=2013+WL+1345075&amp;appflag=67.12" TargetMode="External" /><Relationship Type="http://schemas.openxmlformats.org/officeDocument/2006/relationships/hyperlink" Id="rId33" Target="http://lawschool.westlaw.com/shared/westlawRedirect.aspx?task=find&amp;cite=420fsupp177&amp;appflag=67.12" TargetMode="External" /><Relationship Type="http://schemas.openxmlformats.org/officeDocument/2006/relationships/hyperlink" Id="rId108" Target="http://lawschool.westlaw.com/shared/westlawRedirect.aspx?task=find&amp;cite=510us569&amp;appflag=67.12" TargetMode="External" /><Relationship Type="http://schemas.openxmlformats.org/officeDocument/2006/relationships/hyperlink" Id="rId41" Target="http://lawschool.westlaw.com/shared/westlawRedirect.aspx?task=find&amp;cite=741f2d896&amp;appflag=67.12" TargetMode="External" /><Relationship Type="http://schemas.openxmlformats.org/officeDocument/2006/relationships/hyperlink" Id="rId57" Target="http://lawschool.westlaw.com/shared/westlawRedirect.aspx?task=find&amp;cite=820+F.+Supp.+722&amp;appflag=67.12" TargetMode="External" /><Relationship Type="http://schemas.openxmlformats.org/officeDocument/2006/relationships/hyperlink" Id="rId68" Target="http://scholar.google.com/scholar_case?about=14278387849317213525" TargetMode="External" /><Relationship Type="http://schemas.openxmlformats.org/officeDocument/2006/relationships/hyperlink" Id="rId115" Target="http://scholar.google.com/scholar_case?about=4495747226837550380" TargetMode="External" /><Relationship Type="http://schemas.openxmlformats.org/officeDocument/2006/relationships/hyperlink" Id="rId56"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2" Target="http://scholar.google.com/scholar_case?case=11184341880970931909" TargetMode="External" /><Relationship Type="http://schemas.openxmlformats.org/officeDocument/2006/relationships/hyperlink" Id="rId81" Target="http://scholar.google.com/scholar_case?case=11311670671390043431" TargetMode="External" /><Relationship Type="http://schemas.openxmlformats.org/officeDocument/2006/relationships/hyperlink" Id="rId43" Target="http://scholar.google.com/scholar_case?case=11567908603789103293" TargetMode="External" /><Relationship Type="http://schemas.openxmlformats.org/officeDocument/2006/relationships/hyperlink" Id="rId25" Target="http://scholar.google.com/scholar_case?case=1195336269698056315" TargetMode="External" /><Relationship Type="http://schemas.openxmlformats.org/officeDocument/2006/relationships/hyperlink" Id="rId82" Target="http://scholar.google.com/scholar_case?case=12110552630017561844" TargetMode="External" /><Relationship Type="http://schemas.openxmlformats.org/officeDocument/2006/relationships/hyperlink" Id="rId89" Target="http://scholar.google.com/scholar_case?case=12221231553971530035" TargetMode="External" /><Relationship Type="http://schemas.openxmlformats.org/officeDocument/2006/relationships/hyperlink" Id="rId67" Target="http://scholar.google.com/scholar_case?case=12415086356592717983" TargetMode="External" /><Relationship Type="http://schemas.openxmlformats.org/officeDocument/2006/relationships/hyperlink" Id="rId100" Target="http://scholar.google.com/scholar_case?case=12801604581154452950" TargetMode="External" /><Relationship Type="http://schemas.openxmlformats.org/officeDocument/2006/relationships/hyperlink" Id="rId49" Target="http://scholar.google.com/scholar_case?case=13045021094752392802" TargetMode="External" /><Relationship Type="http://schemas.openxmlformats.org/officeDocument/2006/relationships/hyperlink" Id="rId74" Target="http://scholar.google.com/scholar_case?case=13241423897271288276" TargetMode="External" /><Relationship Type="http://schemas.openxmlformats.org/officeDocument/2006/relationships/hyperlink" Id="rId77" Target="http://scholar.google.com/scholar_case?case=14363671654333117332" TargetMode="External" /><Relationship Type="http://schemas.openxmlformats.org/officeDocument/2006/relationships/hyperlink" Id="rId83" Target="http://scholar.google.com/scholar_case?case=14520876886135816173"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3" Target="http://scholar.google.com/scholar_case?case=14991934121439658064" TargetMode="External" /><Relationship Type="http://schemas.openxmlformats.org/officeDocument/2006/relationships/hyperlink" Id="rId29" Target="http://scholar.google.com/scholar_case?case=15134673856711698951" TargetMode="External" /><Relationship Type="http://schemas.openxmlformats.org/officeDocument/2006/relationships/hyperlink" Id="rId66" Target="http://scholar.google.com/scholar_case?case=16443246039845209842" TargetMode="External" /><Relationship Type="http://schemas.openxmlformats.org/officeDocument/2006/relationships/hyperlink" Id="rId107" Target="http://scholar.google.com/scholar_case?case=16686162998040575773" TargetMode="External" /><Relationship Type="http://schemas.openxmlformats.org/officeDocument/2006/relationships/hyperlink" Id="rId122" Target="http://scholar.google.com/scholar_case?case=16874877052780018691" TargetMode="External" /><Relationship Type="http://schemas.openxmlformats.org/officeDocument/2006/relationships/hyperlink" Id="rId84" Target="http://scholar.google.com/scholar_case?case=17145440476223557523" TargetMode="External" /><Relationship Type="http://schemas.openxmlformats.org/officeDocument/2006/relationships/hyperlink" Id="rId121" Target="http://scholar.google.com/scholar_case?case=17685233474069050250" TargetMode="External" /><Relationship Type="http://schemas.openxmlformats.org/officeDocument/2006/relationships/hyperlink" Id="rId85" Target="http://scholar.google.com/scholar_case?case=2651925426692695886" TargetMode="External" /><Relationship Type="http://schemas.openxmlformats.org/officeDocument/2006/relationships/hyperlink" Id="rId118" Target="http://scholar.google.com/scholar_case?case=3277054592305773876" TargetMode="External" /><Relationship Type="http://schemas.openxmlformats.org/officeDocument/2006/relationships/hyperlink" Id="rId91" Target="http://scholar.google.com/scholar_case?case=5495147661516410669" TargetMode="External" /><Relationship Type="http://schemas.openxmlformats.org/officeDocument/2006/relationships/hyperlink" Id="rId113" Target="http://scholar.google.com/scholar_case?case=5876335373788447272" TargetMode="External" /><Relationship Type="http://schemas.openxmlformats.org/officeDocument/2006/relationships/hyperlink" Id="rId116" Target="http://scholar.google.com/scholar_case?case=6610856779804662857" TargetMode="External" /><Relationship Type="http://schemas.openxmlformats.org/officeDocument/2006/relationships/hyperlink" Id="rId87" Target="http://scholar.google.com/scholar_case?case=6780333182212903082" TargetMode="External" /><Relationship Type="http://schemas.openxmlformats.org/officeDocument/2006/relationships/hyperlink" Id="rId32" Target="http://scholar.google.com/scholar_case?case=7721050309378220492" TargetMode="External" /><Relationship Type="http://schemas.openxmlformats.org/officeDocument/2006/relationships/hyperlink" Id="rId92" Target="http://scholar.google.com/scholar_case?case=774572446857633137" TargetMode="External" /><Relationship Type="http://schemas.openxmlformats.org/officeDocument/2006/relationships/hyperlink" Id="rId142" Target="http://www.americanbar.org/groups/young_lawyers/publications/the_101_201_practice_series/elements_of_a_copyright.html" TargetMode="External" /><Relationship Type="http://schemas.openxmlformats.org/officeDocument/2006/relationships/hyperlink" Id="rId149" Target="http://www.cmsimpact.org/sites/default/files/fair_use_final.pdf" TargetMode="External" /><Relationship Type="http://schemas.openxmlformats.org/officeDocument/2006/relationships/hyperlink" Id="rId150" Target="http://www.cmsimpact.org/sites/default/files/online_best_practices_in_fair_use.pdf" TargetMode="External" /><Relationship Type="http://schemas.openxmlformats.org/officeDocument/2006/relationships/hyperlink" Id="rId95" Target="http://www.copyright.gov/fls/fl102.html" TargetMode="External" /><Relationship Type="http://schemas.openxmlformats.org/officeDocument/2006/relationships/hyperlink" Id="rId124" Target="http://www.copyright.gov/title17/92chap1.html#106" TargetMode="External" /><Relationship Type="http://schemas.openxmlformats.org/officeDocument/2006/relationships/hyperlink" Id="rId103" Target="http://www.copyright.gov/title17/92chap1.html#107" TargetMode="External" /><Relationship Type="http://schemas.openxmlformats.org/officeDocument/2006/relationships/hyperlink" Id="rId139" Target="http://www.copyrightwebsite.com/Visual/Monkeys/Monkeys.aspx" TargetMode="External" /><Relationship Type="http://schemas.openxmlformats.org/officeDocument/2006/relationships/hyperlink" Id="rId145" Target="http://www.hollywoodreporter.com/thr-esq/lawrence-lessig-sues-takedown-youtube-613549" TargetMode="External" /><Relationship Type="http://schemas.openxmlformats.org/officeDocument/2006/relationships/hyperlink" Id="rId148" Target="http://www.hollywoodreporter.com/thr-esq/marvin-gayes-children-use-audio-731178" TargetMode="External" /><Relationship Type="http://schemas.openxmlformats.org/officeDocument/2006/relationships/hyperlink" Id="rId138" Target="http://www.leagle.com/decision/1996982920FSupp62_1966.xml/WOODS%20v.%20UNIVERSAL%20CITY%20STUDIOS,%20INC." TargetMode="External" /><Relationship Type="http://schemas.openxmlformats.org/officeDocument/2006/relationships/hyperlink" Id="rId151" Target="http://www.newmediarights.org/fairuse/" TargetMode="External" /><Relationship Type="http://schemas.openxmlformats.org/officeDocument/2006/relationships/hyperlink" Id="rId136" Target="http://www.newyorker.com/online/blogs/currency/2014/02/who-owns-this-image.html" TargetMode="External" /><Relationship Type="http://schemas.openxmlformats.org/officeDocument/2006/relationships/hyperlink" Id="rId70" Target="http://www.nytimes.com/1992/12/10/style/chronicle-352892.html" TargetMode="External" /><Relationship Type="http://schemas.openxmlformats.org/officeDocument/2006/relationships/hyperlink" Id="rId147" Target="http://www.nytimes.com/2013/11/20/nyregion/5pointz-a-graffiti-mecca-in-queens-is-wiped-clean-overnight.html" TargetMode="External" /><Relationship Type="http://schemas.openxmlformats.org/officeDocument/2006/relationships/hyperlink" Id="rId135" Target="http://www.politico.com/story/2015/06/shepard-fairey-arrest-warrant-graffiti-119413.html" TargetMode="External" /><Relationship Type="http://schemas.openxmlformats.org/officeDocument/2006/relationships/hyperlink" Id="rId140" Target="http://www.rollingstone.com/music/news/led-zeppelin-prevail-in-stairway-to-heaven-lawsuit-20160623" TargetMode="External" /><Relationship Type="http://schemas.openxmlformats.org/officeDocument/2006/relationships/hyperlink" Id="rId144" Target="http://www.ted.com/talks/larry_lessig_says_the_law_is_strangling_creativity.html" TargetMode="External" /><Relationship Type="http://schemas.openxmlformats.org/officeDocument/2006/relationships/hyperlink" Id="rId137" Target="http://www.theguardian.com/film/2013/jul/19/midnight-in-paris-copyright-william-faulkner" TargetMode="External" /><Relationship Type="http://schemas.openxmlformats.org/officeDocument/2006/relationships/hyperlink" Id="rId27" Target="http://www3.ce9.uscourts.gov/jury-instructions/node/272"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6" Target="https://www.youtube.com/watch?v=0kNGnIKUdMI&amp;feature=kp" TargetMode="External" /><Relationship Type="http://schemas.openxmlformats.org/officeDocument/2006/relationships/hyperlink" Id="rId111" Target="https://www.youtube.com/watch?v=65GQ70Rf_8Y" TargetMode="External" /><Relationship Type="http://schemas.openxmlformats.org/officeDocument/2006/relationships/hyperlink" Id="rId35" Target="https://www.youtube.com/watch?v=JU5qP20iJl0&amp;feature=kp" TargetMode="External" /><Relationship Type="http://schemas.openxmlformats.org/officeDocument/2006/relationships/hyperlink" Id="rId110"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2018-09-29T04:16:47Z</dcterms:created>
  <dcterms:modified xsi:type="dcterms:W3CDTF">2018-09-29T04:16:47Z</dcterms:modified>
</cp:coreProperties>
</file>