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w:t>
      </w:r>
      <w:bookmarkEnd w:id="22"/>
    </w:p>
    <w:p>
      <w:pPr>
        <w:pStyle w:val="Heading2"/>
      </w:pPr>
      <w:bookmarkStart w:id="23" w:name="copyright-ownership"/>
      <w:r>
        <w:t xml:space="preserve">Copyright Ownership</w:t>
      </w:r>
      <w:bookmarkEnd w:id="23"/>
    </w:p>
    <w:p>
      <w:pPr>
        <w:pStyle w:val="FirstParagraph"/>
      </w:pPr>
      <w:r>
        <w:t xml:space="preserve">Who owns the rights?</w:t>
      </w:r>
    </w:p>
    <w:p>
      <w:pPr>
        <w:pStyle w:val="Heading4"/>
      </w:pPr>
      <w:bookmarkStart w:id="24" w:name="ownership-of-copyright"/>
      <w:r>
        <w:t xml:space="preserve">§ 201 . Ownership of copyright</w:t>
      </w:r>
      <w:bookmarkEnd w:id="24"/>
    </w:p>
    <w:p>
      <w:pPr>
        <w:numPr>
          <w:numId w:val="1001"/>
          <w:ilvl w:val="0"/>
        </w:numPr>
      </w:pPr>
      <w:r>
        <w:t xml:space="preserve">Initial Ownership. —</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numId w:val="1001"/>
          <w:ilvl w:val="0"/>
        </w:numPr>
      </w:pPr>
      <w:r>
        <w:t xml:space="preserve">Works Made for Hire. —</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FirstParagraph"/>
      </w:pPr>
      <w:hyperlink r:id="rId25">
        <w:r>
          <w:rPr>
            <w:rStyle w:val="Hyperlink"/>
          </w:rPr>
          <w:t xml:space="preserve">Copyright Act § 201</w:t>
        </w:r>
      </w:hyperlink>
    </w:p>
    <w:p>
      <w:pPr>
        <w:pStyle w:val="Heading2"/>
      </w:pPr>
      <w:bookmarkStart w:id="26" w:name="joint-authorship"/>
      <w:r>
        <w:t xml:space="preserve">Joint Authorship</w:t>
      </w:r>
      <w:bookmarkEnd w:id="26"/>
    </w:p>
    <w:p>
      <w:pPr>
        <w:pStyle w:val="FirstParagraph"/>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7">
        <w:r>
          <w:rPr>
            <w:rStyle w:val="Hyperlink"/>
          </w:rPr>
          <w:t xml:space="preserve">§ 101 - Definitions</w:t>
        </w:r>
      </w:hyperlink>
    </w:p>
    <w:p>
      <w:pPr>
        <w:pStyle w:val="Heading3"/>
      </w:pPr>
      <w:bookmarkStart w:id="28" w:name="who-controls-the-copyright"/>
      <w:r>
        <w:t xml:space="preserve">Who Controls the Copyright?</w:t>
      </w:r>
      <w:bookmarkEnd w:id="28"/>
    </w:p>
    <w:p>
      <w:pPr>
        <w:pStyle w:val="FirstParagraph"/>
      </w:pPr>
      <w:r>
        <w:t xml:space="preserve">In</w:t>
      </w:r>
      <w:r>
        <w:t xml:space="preserve"> </w:t>
      </w:r>
      <w:hyperlink r:id="rId2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r>
        <w:t xml:space="preserve">Copyrightable Contributions</w:t>
      </w:r>
      <w:bookmarkEnd w:id="30"/>
    </w:p>
    <w:p>
      <w:pPr>
        <w:pStyle w:val="FirstParagraph"/>
      </w:pPr>
      <w:r>
        <w:t xml:space="preserve">To be considered joint authors, each author must:</w:t>
      </w:r>
    </w:p>
    <w:p>
      <w:pPr>
        <w:pStyle w:val="Compact"/>
        <w:numPr>
          <w:numId w:val="1002"/>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2"/>
          <w:ilvl w:val="0"/>
        </w:numPr>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r>
        <w:rPr>
          <w:i/>
        </w:rPr>
        <w:t xml:space="preserve">Childress v. Taylor</w:t>
      </w:r>
      <w:bookmarkEnd w:id="31"/>
    </w:p>
    <w:p>
      <w:pPr>
        <w:pStyle w:val="Heading6"/>
      </w:pPr>
      <w:bookmarkStart w:id="32" w:name="united-states-court-of-appeals-for-the-second-circuit-1991"/>
      <w:r>
        <w:t xml:space="preserve">United States Court of Appeals For The Second Circuit (1991)</w:t>
      </w:r>
      <w:bookmarkEnd w:id="32"/>
    </w:p>
    <w:p>
      <w:pPr>
        <w:pStyle w:val="Compact"/>
        <w:numPr>
          <w:numId w:val="1003"/>
          <w:ilvl w:val="0"/>
        </w:numPr>
      </w:pPr>
      <w:hyperlink r:id="rId33">
        <w:r>
          <w:rPr>
            <w:rStyle w:val="Hyperlink"/>
          </w:rPr>
          <w:t xml:space="preserve">case on Google Scholar</w:t>
        </w:r>
      </w:hyperlink>
    </w:p>
    <w:p>
      <w:pPr>
        <w:pStyle w:val="Heading4"/>
      </w:pPr>
      <w:bookmarkStart w:id="34" w:name="case-summary"/>
      <w:r>
        <w:t xml:space="preserve">Case summary</w:t>
      </w:r>
      <w:bookmarkEnd w:id="34"/>
    </w:p>
    <w:p>
      <w:pPr>
        <w:pStyle w:val="FirstParagraph"/>
      </w:pPr>
      <w:r>
        <w:t xml:space="preserve">Clarice Taylor, an actress,</w:t>
      </w:r>
      <w:r>
        <w:t xml:space="preserve"> </w:t>
      </w:r>
      <w:r>
        <w:t xml:space="preserve">wanted to develop a play about the life of</w:t>
      </w:r>
      <w:r>
        <w:t xml:space="preserve"> </w:t>
      </w:r>
      <w:hyperlink r:id="rId35">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6">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pStyle w:val="Compact"/>
        <w:numPr>
          <w:numId w:val="1004"/>
          <w:ilvl w:val="0"/>
        </w:numPr>
      </w:pPr>
      <w:r>
        <w:t xml:space="preserve">Taylor sifted facts and helped select key pivotal elements to include in the play about Moms.</w:t>
      </w:r>
    </w:p>
    <w:p>
      <w:pPr>
        <w:pStyle w:val="Compact"/>
        <w:numPr>
          <w:numId w:val="1004"/>
          <w:ilvl w:val="0"/>
        </w:numPr>
      </w:pPr>
      <w:r>
        <w:t xml:space="preserve">Taylor also discussed general scenes and characters with Childress and whether they should be included in the play.</w:t>
      </w:r>
    </w:p>
    <w:p>
      <w:pPr>
        <w:pStyle w:val="Compact"/>
        <w:numPr>
          <w:numId w:val="1004"/>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7" w:name="excerpts-from-childress-opinion"/>
      <w:r>
        <w:t xml:space="preserve">Excerpts From</w:t>
      </w:r>
      <w:r>
        <w:t xml:space="preserve"> </w:t>
      </w:r>
      <w:r>
        <w:rPr>
          <w:i/>
        </w:rPr>
        <w:t xml:space="preserve">Childress</w:t>
      </w:r>
      <w:r>
        <w:t xml:space="preserve"> </w:t>
      </w:r>
      <w:r>
        <w:t xml:space="preserve">opinion</w:t>
      </w:r>
      <w:bookmarkEnd w:id="37"/>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7">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8" w:name="commentary-on-childress"/>
      <w:r>
        <w:t xml:space="preserve">Commentary on</w:t>
      </w:r>
      <w:r>
        <w:t xml:space="preserve"> </w:t>
      </w:r>
      <w:r>
        <w:rPr>
          <w:i/>
        </w:rPr>
        <w:t xml:space="preserve">Childress</w:t>
      </w:r>
      <w:bookmarkEnd w:id="38"/>
    </w:p>
    <w:p>
      <w:pPr>
        <w:pStyle w:val="Compact"/>
        <w:numPr>
          <w:numId w:val="1005"/>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r>
        <w:t xml:space="preserve">Works Made For Hire</w:t>
      </w:r>
      <w:bookmarkEnd w:id="40"/>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w:t>
      </w:r>
      <w:r>
        <w:t xml:space="preserve"> </w:t>
      </w:r>
      <w:r>
        <w:t xml:space="preserve">“</w:t>
      </w:r>
      <w:r>
        <w:t xml:space="preserve">work made for hire,</w:t>
      </w:r>
      <w:r>
        <w:t xml:space="preserve">”</w:t>
      </w:r>
      <w:r>
        <w:t xml:space="preserve"> </w:t>
      </w:r>
      <w:r>
        <w:t xml:space="preserve">and says that</w:t>
      </w:r>
      <w:r>
        <w:t xml:space="preserve"> </w:t>
      </w:r>
      <w:hyperlink r:id="rId25">
        <w:r>
          <w:rPr>
            <w:rStyle w:val="Hyperlink"/>
          </w:rPr>
          <w:t xml:space="preserve">“</w:t>
        </w:r>
        <w:r>
          <w:rPr>
            <w:rStyle w:val="Hyperlink"/>
          </w:rPr>
          <w:t xml:space="preserve">the employer or other person for whom the work was prepared</w:t>
        </w:r>
        <w:r>
          <w:rPr>
            <w:rStyle w:val="Hyperlink"/>
          </w:rPr>
          <w:t xml:space="preserve">”</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w:t>
      </w:r>
      <w:r>
        <w:t xml:space="preserve"> </w:t>
      </w:r>
      <w:r>
        <w:t xml:space="preserve">“</w:t>
      </w:r>
      <w:r>
        <w:t xml:space="preserve">work made for hire</w:t>
      </w:r>
      <w:r>
        <w:t xml:space="preserv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numId w:val="1006"/>
          <w:ilvl w:val="0"/>
        </w:numPr>
      </w:pPr>
      <w:r>
        <w:t xml:space="preserve">a work prepared by an employee within the scope of his or her employment; or</w:t>
      </w:r>
    </w:p>
    <w:p>
      <w:pPr>
        <w:pStyle w:val="Compact"/>
        <w:numPr>
          <w:numId w:val="1006"/>
          <w:ilvl w:val="0"/>
        </w:numPr>
      </w:pPr>
      <w:r>
        <w:t xml:space="preserve">a work specially ordered or commissioned for use</w:t>
      </w:r>
    </w:p>
    <w:p>
      <w:pPr>
        <w:pStyle w:val="Compact"/>
        <w:numPr>
          <w:numId w:val="1007"/>
          <w:ilvl w:val="1"/>
        </w:numPr>
      </w:pPr>
      <w:r>
        <w:t xml:space="preserve">as a contribution to a collective work,</w:t>
      </w:r>
    </w:p>
    <w:p>
      <w:pPr>
        <w:pStyle w:val="Compact"/>
        <w:numPr>
          <w:numId w:val="1007"/>
          <w:ilvl w:val="1"/>
        </w:numPr>
      </w:pPr>
      <w:r>
        <w:t xml:space="preserve">as a part of a motion picture or other audiovisual work,</w:t>
      </w:r>
    </w:p>
    <w:p>
      <w:pPr>
        <w:pStyle w:val="Compact"/>
        <w:numPr>
          <w:numId w:val="1007"/>
          <w:ilvl w:val="1"/>
        </w:numPr>
      </w:pPr>
      <w:r>
        <w:t xml:space="preserve">as a translation,</w:t>
      </w:r>
    </w:p>
    <w:p>
      <w:pPr>
        <w:pStyle w:val="Compact"/>
        <w:numPr>
          <w:numId w:val="1007"/>
          <w:ilvl w:val="1"/>
        </w:numPr>
      </w:pPr>
      <w:r>
        <w:t xml:space="preserve">as a supplementary work,</w:t>
      </w:r>
    </w:p>
    <w:p>
      <w:pPr>
        <w:pStyle w:val="Compact"/>
        <w:numPr>
          <w:numId w:val="1007"/>
          <w:ilvl w:val="1"/>
        </w:numPr>
      </w:pPr>
      <w:r>
        <w:t xml:space="preserve">as a compilation,</w:t>
      </w:r>
    </w:p>
    <w:p>
      <w:pPr>
        <w:pStyle w:val="Compact"/>
        <w:numPr>
          <w:numId w:val="1007"/>
          <w:ilvl w:val="1"/>
        </w:numPr>
      </w:pPr>
      <w:r>
        <w:t xml:space="preserve">as an instructional text,</w:t>
      </w:r>
    </w:p>
    <w:p>
      <w:pPr>
        <w:pStyle w:val="Compact"/>
        <w:numPr>
          <w:numId w:val="1007"/>
          <w:ilvl w:val="1"/>
        </w:numPr>
      </w:pPr>
      <w:r>
        <w:t xml:space="preserve">as a test,</w:t>
      </w:r>
    </w:p>
    <w:p>
      <w:pPr>
        <w:pStyle w:val="Compact"/>
        <w:numPr>
          <w:numId w:val="1007"/>
          <w:ilvl w:val="1"/>
        </w:numPr>
      </w:pPr>
      <w:r>
        <w:t xml:space="preserve">as answer material for a test,</w:t>
      </w:r>
    </w:p>
    <w:p>
      <w:pPr>
        <w:pStyle w:val="Compact"/>
        <w:numPr>
          <w:numId w:val="1007"/>
          <w:ilvl w:val="1"/>
        </w:numPr>
      </w:pPr>
      <w:r>
        <w:t xml:space="preserve">or as an atlas,</w:t>
      </w:r>
    </w:p>
    <w:p>
      <w:pPr>
        <w:pStyle w:val="Compact"/>
        <w:numPr>
          <w:numId w:val="1007"/>
          <w:ilvl w:val="1"/>
        </w:numPr>
      </w:pPr>
      <w:r>
        <w:rPr>
          <w:i/>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r>
        <w:rPr>
          <w:i/>
        </w:rPr>
        <w:t xml:space="preserve">Community For Creative Non-Violence v. Reid</w:t>
      </w:r>
      <w:bookmarkEnd w:id="41"/>
    </w:p>
    <w:p>
      <w:pPr>
        <w:pStyle w:val="Heading6"/>
      </w:pPr>
      <w:bookmarkStart w:id="42" w:name="united-states-supreme-court-1989."/>
      <w:r>
        <w:t xml:space="preserve">United States Supreme Court (1989).</w:t>
      </w:r>
      <w:bookmarkEnd w:id="42"/>
    </w:p>
    <w:p>
      <w:pPr>
        <w:pStyle w:val="Compact"/>
        <w:numPr>
          <w:numId w:val="1008"/>
          <w:ilvl w:val="0"/>
        </w:numPr>
      </w:pPr>
      <w:hyperlink r:id="rId43">
        <w:r>
          <w:rPr>
            <w:rStyle w:val="Hyperlink"/>
          </w:rPr>
          <w:t xml:space="preserve">case on Google Scholar</w:t>
        </w:r>
      </w:hyperlink>
    </w:p>
    <w:p>
      <w:pPr>
        <w:pStyle w:val="Compact"/>
        <w:numPr>
          <w:numId w:val="1008"/>
          <w:ilvl w:val="0"/>
        </w:numPr>
      </w:pPr>
      <w:hyperlink r:id="rId44">
        <w:r>
          <w:rPr>
            <w:rStyle w:val="Hyperlink"/>
          </w:rPr>
          <w:t xml:space="preserve">case on Westlaw</w:t>
        </w:r>
      </w:hyperlink>
    </w:p>
    <w:p>
      <w:pPr>
        <w:pStyle w:val="Compact"/>
        <w:numPr>
          <w:numId w:val="1008"/>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w:t>
      </w:r>
      <w:r>
        <w:t xml:space="preserve"> </w:t>
      </w:r>
      <w:r>
        <w:t xml:space="preserve">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6" w:name="licensing"/>
      <w:r>
        <w:t xml:space="preserve">Licensing</w:t>
      </w:r>
      <w:bookmarkEnd w:id="46"/>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r>
        <w:rPr>
          <w:i/>
        </w:rPr>
        <w:t xml:space="preserve">Cohen v. Paramount Pictures Corp.</w:t>
      </w:r>
      <w:bookmarkEnd w:id="47"/>
    </w:p>
    <w:p>
      <w:pPr>
        <w:pStyle w:val="Heading6"/>
      </w:pPr>
      <w:bookmarkStart w:id="48" w:name="united-states-court-of-appeals-for-the-ninth-circuit-1988"/>
      <w:r>
        <w:t xml:space="preserve">United States Court of Appeals For The Ninth Circuit (1988)</w:t>
      </w:r>
      <w:bookmarkEnd w:id="48"/>
    </w:p>
    <w:p>
      <w:pPr>
        <w:pStyle w:val="Compact"/>
        <w:numPr>
          <w:numId w:val="1009"/>
          <w:ilvl w:val="0"/>
        </w:numPr>
      </w:pPr>
      <w:hyperlink r:id="rId49">
        <w:r>
          <w:rPr>
            <w:rStyle w:val="Hyperlink"/>
          </w:rPr>
          <w:t xml:space="preserve">case on Google Scholar</w:t>
        </w:r>
      </w:hyperlink>
    </w:p>
    <w:p>
      <w:pPr>
        <w:pStyle w:val="Compact"/>
        <w:numPr>
          <w:numId w:val="1009"/>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p>
      <w:pPr>
        <w:pStyle w:val="Heading4"/>
      </w:pPr>
      <w:bookmarkStart w:id="51" w:name="facts"/>
      <w:r>
        <w:t xml:space="preserve">FACTS</w:t>
      </w:r>
      <w:bookmarkEnd w:id="51"/>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2" w:name="discussion"/>
      <w:r>
        <w:t xml:space="preserve">DISCUSSION</w:t>
      </w:r>
      <w:bookmarkEnd w:id="52"/>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56">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59">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r>
        <w:t xml:space="preserve">CONCLUSION</w:t>
      </w:r>
      <w:bookmarkEnd w:id="62"/>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3" w:name="notes-on-cohen-v.-paramount-pictures-corp."/>
      <w:r>
        <w:t xml:space="preserve">Notes on</w:t>
      </w:r>
      <w:r>
        <w:t xml:space="preserve"> </w:t>
      </w:r>
      <w:r>
        <w:rPr>
          <w:i/>
        </w:rPr>
        <w:t xml:space="preserve">Cohen v. Paramount Pictures Corp.</w:t>
      </w:r>
      <w:bookmarkEnd w:id="63"/>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10"/>
          <w:ilvl w:val="0"/>
        </w:numPr>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pStyle w:val="Compact"/>
        <w:numPr>
          <w:numId w:val="1010"/>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r>
        <w:rPr>
          <w:i/>
        </w:rPr>
        <w:t xml:space="preserve">Effects Associates v. Cohen</w:t>
      </w:r>
      <w:bookmarkEnd w:id="64"/>
    </w:p>
    <w:p>
      <w:pPr>
        <w:pStyle w:val="Heading6"/>
      </w:pPr>
      <w:bookmarkStart w:id="65" w:name="united-states-court-of-appeals-for-the-ninth-circuit-1990"/>
      <w:r>
        <w:t xml:space="preserve">United States Court of Appeals for the Ninth Circuit (1990)</w:t>
      </w:r>
      <w:bookmarkEnd w:id="65"/>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Compact"/>
        <w:numPr>
          <w:numId w:val="1011"/>
          <w:ilvl w:val="0"/>
        </w:numPr>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Heading3"/>
      </w:pPr>
      <w:bookmarkStart w:id="67" w:name="casa-duse-v.-merkin"/>
      <w:r>
        <w:rPr>
          <w:i/>
        </w:rPr>
        <w:t xml:space="preserve">16 Casa Duse v. Merkin</w:t>
      </w:r>
      <w:bookmarkEnd w:id="67"/>
    </w:p>
    <w:p>
      <w:pPr>
        <w:pStyle w:val="Heading6"/>
      </w:pPr>
      <w:bookmarkStart w:id="68" w:name="united-states-court-of-appeals-for-the-second-circuit-2015"/>
      <w:r>
        <w:t xml:space="preserve">United States Court of Appeals For the Second Circuit (2015)</w:t>
      </w:r>
      <w:bookmarkEnd w:id="68"/>
    </w:p>
    <w:p>
      <w:pPr>
        <w:pStyle w:val="Compact"/>
        <w:numPr>
          <w:numId w:val="1012"/>
          <w:ilvl w:val="0"/>
        </w:numPr>
      </w:pPr>
      <w:hyperlink r:id="rId69">
        <w:r>
          <w:rPr>
            <w:rStyle w:val="Hyperlink"/>
          </w:rPr>
          <w:t xml:space="preserve">Case at Westlaw</w:t>
        </w:r>
      </w:hyperlink>
    </w:p>
    <w:p>
      <w:pPr>
        <w:pStyle w:val="FirstParagraph"/>
      </w:pPr>
      <w:r>
        <w:t xml:space="preserve">The following is excerpted from</w:t>
      </w:r>
      <w:r>
        <w:t xml:space="preserve"> </w:t>
      </w:r>
      <w:hyperlink r:id="rId70">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1">
        <w:r>
          <w:rPr>
            <w:i/>
            <w:rStyle w:val="Hyperlink"/>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pStyle w:val="Compact"/>
        <w:numPr>
          <w:numId w:val="1013"/>
          <w:ilvl w:val="0"/>
        </w:numPr>
      </w:pPr>
      <w:hyperlink r:id="rId70">
        <w:r>
          <w:rPr>
            <w:rStyle w:val="Hyperlink"/>
          </w:rPr>
          <w:t xml:space="preserve">Loeb &amp; Loeb LLP Publication and News</w:t>
        </w:r>
      </w:hyperlink>
    </w:p>
    <w:p>
      <w:pPr>
        <w:pStyle w:val="Compact"/>
        <w:numPr>
          <w:numId w:val="1013"/>
          <w:ilvl w:val="0"/>
        </w:numPr>
      </w:pPr>
      <w:hyperlink r:id="rId72">
        <w:r>
          <w:rPr>
            <w:rStyle w:val="Hyperlink"/>
          </w:rPr>
          <w:t xml:space="preserve">Appeals Court Rules Producer, Not Director, Gets Film Copyright</w:t>
        </w:r>
      </w:hyperlink>
      <w:r>
        <w:t xml:space="preserve">, 29 June 2015, by Eriq Gardner</w:t>
      </w:r>
    </w:p>
    <w:p>
      <w:pPr>
        <w:pStyle w:val="Heading2"/>
      </w:pPr>
      <w:bookmarkStart w:id="73" w:name="digital-sampling-and-imaging"/>
      <w:r>
        <w:t xml:space="preserve">Digital Sampling and Imaging</w:t>
      </w:r>
      <w:bookmarkEnd w:id="73"/>
    </w:p>
    <w:p>
      <w:pPr>
        <w:pStyle w:val="FirstParagraph"/>
      </w:pPr>
      <w:hyperlink r:id="rId74">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75" w:name="what-is-a-mechanical-license"/>
      <w:r>
        <w:t xml:space="preserve">What is a Mechanical License?</w:t>
      </w:r>
      <w:bookmarkEnd w:id="75"/>
    </w:p>
    <w:p>
      <w:pPr>
        <w:pStyle w:val="FirstParagraph"/>
      </w:pPr>
      <w:r>
        <w:t xml:space="preserve">Excerpt from</w:t>
      </w:r>
      <w:r>
        <w:t xml:space="preserve"> </w:t>
      </w:r>
      <w:hyperlink r:id="rId76">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77" w:name="include-the-song-in-a-video."/>
      <w:r>
        <w:t xml:space="preserve">Include the song in a video.</w:t>
      </w:r>
      <w:bookmarkEnd w:id="77"/>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78">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76">
        <w:r>
          <w:rPr>
            <w:rStyle w:val="Hyperlink"/>
          </w:rPr>
          <w:t xml:space="preserve">Harry Fox</w:t>
        </w:r>
      </w:hyperlink>
    </w:p>
    <w:p>
      <w:pPr>
        <w:pStyle w:val="Heading3"/>
      </w:pPr>
      <w:bookmarkStart w:id="79" w:name="newton-v.-diamond"/>
      <w:r>
        <w:rPr>
          <w:i/>
        </w:rPr>
        <w:t xml:space="preserve">Newton v. Diamond</w:t>
      </w:r>
      <w:bookmarkEnd w:id="79"/>
    </w:p>
    <w:p>
      <w:pPr>
        <w:pStyle w:val="Heading6"/>
      </w:pPr>
      <w:bookmarkStart w:id="80" w:name="united-states-court-of-appeals-ninth-circuit-2003"/>
      <w:r>
        <w:t xml:space="preserve">United States Court of Appeals Ninth Circuit (2003)</w:t>
      </w:r>
      <w:bookmarkEnd w:id="80"/>
    </w:p>
    <w:p>
      <w:pPr>
        <w:pStyle w:val="Compact"/>
        <w:numPr>
          <w:numId w:val="1014"/>
          <w:ilvl w:val="0"/>
        </w:numPr>
      </w:pPr>
      <w:hyperlink r:id="rId81">
        <w:r>
          <w:rPr>
            <w:rStyle w:val="Hyperlink"/>
          </w:rPr>
          <w:t xml:space="preserve">case on Google Scholar</w:t>
        </w:r>
      </w:hyperlink>
    </w:p>
    <w:p>
      <w:pPr>
        <w:pStyle w:val="Compact"/>
        <w:numPr>
          <w:numId w:val="1014"/>
          <w:ilvl w:val="0"/>
        </w:numPr>
      </w:pPr>
      <w:hyperlink r:id="rId82">
        <w:r>
          <w:rPr>
            <w:rStyle w:val="Hyperlink"/>
          </w:rPr>
          <w:t xml:space="preserve">James Newton: Choir</w:t>
        </w:r>
      </w:hyperlink>
    </w:p>
    <w:p>
      <w:pPr>
        <w:pStyle w:val="Compact"/>
        <w:numPr>
          <w:numId w:val="1014"/>
          <w:ilvl w:val="0"/>
        </w:numPr>
      </w:pPr>
      <w:hyperlink r:id="rId83">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84" w:name="background-and-procedural-history"/>
      <w:r>
        <w:t xml:space="preserve">Background and Procedural History</w:t>
      </w:r>
      <w:bookmarkEnd w:id="84"/>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85">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86" w:name="whether-defendants-use-was-de-minimis"/>
      <w:r>
        <w:t xml:space="preserve">Whether Defendants’ Use was De Minimis</w:t>
      </w:r>
      <w:bookmarkEnd w:id="86"/>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87">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88">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89">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90" w:name="conclusion-1"/>
      <w:r>
        <w:t xml:space="preserve">Conclusion</w:t>
      </w:r>
      <w:bookmarkEnd w:id="90"/>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88">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BodyText"/>
      </w:pPr>
      <w:r>
        <w:t xml:space="preserve">####Note on</w:t>
      </w:r>
      <w:r>
        <w:t xml:space="preserve"> </w:t>
      </w:r>
      <w:r>
        <w:rPr>
          <w:i/>
        </w:rPr>
        <w:t xml:space="preserve">Newton v. Diamond</w:t>
      </w:r>
    </w:p>
    <w:p>
      <w:pPr>
        <w:pStyle w:val="BodyText"/>
      </w:pPr>
      <w:r>
        <w:t xml:space="preserve">For anyone interested, in 2012, Bloomberg Law made a short</w:t>
      </w:r>
      <w:r>
        <w:t xml:space="preserve"> </w:t>
      </w:r>
      <w:hyperlink r:id="rId91">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92" w:name="bridgeport-music-inc.v.-dimension-films"/>
      <w:r>
        <w:t xml:space="preserve">Bridgeport Music, Inc. v. Dimension Films</w:t>
      </w:r>
      <w:bookmarkEnd w:id="92"/>
    </w:p>
    <w:p>
      <w:pPr>
        <w:pStyle w:val="Heading6"/>
      </w:pPr>
      <w:bookmarkStart w:id="93" w:name="united-states-court-of-appeals-sixth-circuit-2005"/>
      <w:r>
        <w:t xml:space="preserve">United States Court of Appeals Sixth Circuit (2005)</w:t>
      </w:r>
      <w:bookmarkEnd w:id="93"/>
    </w:p>
    <w:p>
      <w:pPr>
        <w:pStyle w:val="Compact"/>
        <w:numPr>
          <w:numId w:val="1015"/>
          <w:ilvl w:val="0"/>
        </w:numPr>
      </w:pPr>
      <w:hyperlink r:id="rId94">
        <w:r>
          <w:rPr>
            <w:rStyle w:val="Hyperlink"/>
          </w:rPr>
          <w:t xml:space="preserve">case on Google Scholar</w:t>
        </w:r>
      </w:hyperlink>
    </w:p>
    <w:p>
      <w:pPr>
        <w:pStyle w:val="Compact"/>
        <w:numPr>
          <w:numId w:val="1015"/>
          <w:ilvl w:val="0"/>
        </w:numPr>
      </w:pPr>
      <w:hyperlink r:id="rId95">
        <w:r>
          <w:rPr>
            <w:rStyle w:val="Hyperlink"/>
          </w:rPr>
          <w:t xml:space="preserve">case on Wikipedia</w:t>
        </w:r>
      </w:hyperlink>
    </w:p>
    <w:p>
      <w:pPr>
        <w:pStyle w:val="Heading4"/>
      </w:pPr>
      <w:bookmarkStart w:id="96" w:name="amended-opinion-on-rehearing"/>
      <w:r>
        <w:t xml:space="preserve">AMENDED OPINION ON REHEARING</w:t>
      </w:r>
      <w:bookmarkEnd w:id="96"/>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97">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98" w:name="digital-sampling-of-copyrighted-sound-recordings"/>
      <w:r>
        <w:t xml:space="preserve">Digital Sampling of Copyrighted Sound Recordings</w:t>
      </w:r>
      <w:bookmarkEnd w:id="98"/>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6"/>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6"/>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6"/>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6"/>
          <w:ilvl w:val="0"/>
        </w:numPr>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6"/>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6"/>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6"/>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99" w:name="analysis"/>
      <w:r>
        <w:t xml:space="preserve">Analysis</w:t>
      </w:r>
      <w:bookmarkEnd w:id="99"/>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100" w:name="future-of-sampling"/>
      <w:r>
        <w:t xml:space="preserve">Future of Sampling</w:t>
      </w:r>
      <w:bookmarkEnd w:id="100"/>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101" w:name="vmg-salsoul-v.-ciccone"/>
      <w:r>
        <w:rPr>
          <w:i/>
        </w:rPr>
        <w:t xml:space="preserve">VMG Salsoul v. Ciccone</w:t>
      </w:r>
      <w:bookmarkEnd w:id="101"/>
    </w:p>
    <w:p>
      <w:pPr>
        <w:pStyle w:val="Heading6"/>
      </w:pPr>
      <w:bookmarkStart w:id="102" w:name="court-of-appeals-for-the-ninth-circuit-2016"/>
      <w:r>
        <w:t xml:space="preserve">Court of Appeals For The Ninth Circuit (2016)</w:t>
      </w:r>
      <w:bookmarkEnd w:id="102"/>
    </w:p>
    <w:p>
      <w:pPr>
        <w:pStyle w:val="Compact"/>
        <w:numPr>
          <w:numId w:val="1017"/>
          <w:ilvl w:val="0"/>
        </w:numPr>
      </w:pPr>
      <w:hyperlink r:id="rId103">
        <w:r>
          <w:rPr>
            <w:rStyle w:val="Hyperlink"/>
          </w:rPr>
          <w:t xml:space="preserve">Case on Google Scholar</w:t>
        </w:r>
      </w:hyperlink>
    </w:p>
    <w:p>
      <w:pPr>
        <w:pStyle w:val="Compact"/>
        <w:numPr>
          <w:numId w:val="1017"/>
          <w:ilvl w:val="0"/>
        </w:numPr>
      </w:pPr>
      <w:hyperlink r:id="rId103">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04">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pStyle w:val="Compact"/>
        <w:pStyle w:val="BlockText"/>
        <w:numPr>
          <w:numId w:val="1018"/>
          <w:ilvl w:val="0"/>
        </w:numPr>
      </w:pPr>
      <w:r>
        <w:t xml:space="preserve">Composition of Love Break.</w:t>
      </w:r>
    </w:p>
    <w:p>
      <w:pPr>
        <w:pStyle w:val="Compact"/>
        <w:pStyle w:val="BlockText"/>
        <w:numPr>
          <w:numId w:val="1018"/>
          <w:ilvl w:val="0"/>
        </w:numPr>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pStyle w:val="Compact"/>
        <w:pStyle w:val="BlockText"/>
        <w:numPr>
          <w:numId w:val="1019"/>
          <w:ilvl w:val="0"/>
        </w:numPr>
      </w:pPr>
      <w:r>
        <w:t xml:space="preserve">Whether the de minimis exception applies to alleged infringement of copyrighted sound recordings.</w:t>
      </w:r>
    </w:p>
    <w:p>
      <w:pPr>
        <w:pStyle w:val="Compact"/>
        <w:pStyle w:val="BlockText"/>
        <w:numPr>
          <w:numId w:val="1019"/>
          <w:ilvl w:val="0"/>
        </w:numPr>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pStyle w:val="Compact"/>
        <w:pStyle w:val="BlockText"/>
        <w:numPr>
          <w:numId w:val="1020"/>
          <w:ilvl w:val="0"/>
        </w:numPr>
      </w:pPr>
      <w:r>
        <w:t xml:space="preserve">A sound recording owner has the exclusive right to sample its work under Section 114(b).</w:t>
      </w:r>
    </w:p>
    <w:p>
      <w:pPr>
        <w:pStyle w:val="Compact"/>
        <w:pStyle w:val="BlockText"/>
        <w:numPr>
          <w:numId w:val="1020"/>
          <w:ilvl w:val="0"/>
        </w:numPr>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pStyle w:val="Compact"/>
        <w:pStyle w:val="BlockText"/>
        <w:numPr>
          <w:numId w:val="1021"/>
          <w:ilvl w:val="0"/>
        </w:numPr>
      </w:pPr>
      <w:r>
        <w:t xml:space="preserve">Reversed the district court’s award of attorneys’ fees.</w:t>
      </w:r>
    </w:p>
    <w:p>
      <w:pPr>
        <w:pStyle w:val="Compact"/>
        <w:pStyle w:val="BlockText"/>
        <w:numPr>
          <w:numId w:val="1021"/>
          <w:ilvl w:val="0"/>
        </w:numPr>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04">
        <w:r>
          <w:rPr>
            <w:rStyle w:val="Hyperlink"/>
          </w:rPr>
          <w:t xml:space="preserve">No Infringement for Trivial Copying of Sound Recording: Ninth Circuit</w:t>
        </w:r>
      </w:hyperlink>
      <w:r>
        <w:t xml:space="preserve">, by Practical Law Intellectual Property &amp; Technology</w:t>
      </w:r>
    </w:p>
    <w:p>
      <w:pPr>
        <w:pStyle w:val="Heading3"/>
      </w:pPr>
      <w:bookmarkStart w:id="105" w:name="good-copy-bad-copy"/>
      <w:r>
        <w:t xml:space="preserve">Good Copy Bad Copy</w:t>
      </w:r>
      <w:bookmarkEnd w:id="105"/>
    </w:p>
    <w:p>
      <w:pPr>
        <w:pStyle w:val="Compact"/>
        <w:numPr>
          <w:numId w:val="1022"/>
          <w:ilvl w:val="0"/>
        </w:numPr>
      </w:pPr>
      <w:r>
        <w:t xml:space="preserve">Please watch the first 14 minutes of</w:t>
      </w:r>
      <w:r>
        <w:t xml:space="preserve"> </w:t>
      </w:r>
      <w:hyperlink r:id="rId106">
        <w:r>
          <w:rPr>
            <w:i/>
            <w:rStyle w:val="Hyperlink"/>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pStyle w:val="Compact"/>
        <w:numPr>
          <w:numId w:val="1022"/>
          <w:ilvl w:val="0"/>
        </w:numPr>
      </w:pPr>
      <w:hyperlink r:id="rId107">
        <w:r>
          <w:rPr>
            <w:rStyle w:val="Hyperlink"/>
          </w:rPr>
          <w:t xml:space="preserve">Why Hasn’t The Recording Industry Sued Girl Talk?</w:t>
        </w:r>
      </w:hyperlink>
    </w:p>
    <w:p>
      <w:pPr>
        <w:pStyle w:val="Compact"/>
        <w:numPr>
          <w:numId w:val="1022"/>
          <w:ilvl w:val="0"/>
        </w:numPr>
      </w:pPr>
      <w:hyperlink r:id="rId108">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p>
      <w:pPr>
        <w:pStyle w:val="Heading2"/>
      </w:pPr>
      <w:bookmarkStart w:id="109" w:name="how-to-acquire-music-for-films"/>
      <w:r>
        <w:t xml:space="preserve">How To Acquire Music For Films</w:t>
      </w:r>
      <w:bookmarkEnd w:id="109"/>
    </w:p>
    <w:p>
      <w:pPr>
        <w:pStyle w:val="FirstParagraph"/>
      </w:pPr>
      <w:r>
        <w:t xml:space="preserve">In general, there are 3 ways music is acquired for a film:</w:t>
      </w:r>
    </w:p>
    <w:p>
      <w:pPr>
        <w:pStyle w:val="Compact"/>
        <w:numPr>
          <w:numId w:val="1023"/>
          <w:ilvl w:val="0"/>
        </w:numPr>
      </w:pPr>
      <w:r>
        <w:t xml:space="preserve">the filmmaker licenses music that already exists prior to filming,</w:t>
      </w:r>
    </w:p>
    <w:p>
      <w:pPr>
        <w:pStyle w:val="Compact"/>
        <w:numPr>
          <w:numId w:val="1023"/>
          <w:ilvl w:val="0"/>
        </w:numPr>
      </w:pPr>
      <w:r>
        <w:t xml:space="preserve">the filmmaker hires an artist to re-record music for the film (usually used when you can’t acquire a license), or</w:t>
      </w:r>
    </w:p>
    <w:p>
      <w:pPr>
        <w:pStyle w:val="Compact"/>
        <w:numPr>
          <w:numId w:val="1023"/>
          <w:ilvl w:val="0"/>
        </w:numPr>
      </w:pPr>
      <w:r>
        <w:t xml:space="preserve">an artist or composer is hired to make new music specifically for the film being produced.</w:t>
      </w:r>
    </w:p>
    <w:p>
      <w:pPr>
        <w:pStyle w:val="FirstParagraph"/>
      </w:pPr>
      <w:hyperlink r:id="rId110">
        <w:r>
          <w:rPr>
            <w:rStyle w:val="Hyperlink"/>
          </w:rPr>
          <w:t xml:space="preserve">From ASCAP.com</w:t>
        </w:r>
      </w:hyperlink>
      <w:r>
        <w:t xml:space="preserve">:</w:t>
      </w:r>
    </w:p>
    <w:p>
      <w:pPr>
        <w:pStyle w:val="Heading3"/>
      </w:pPr>
      <w:bookmarkStart w:id="111" w:name="frequently-asked-questions-for-student-and-independent-filmmakers"/>
      <w:r>
        <w:rPr>
          <w:i/>
        </w:rPr>
        <w:t xml:space="preserve">Frequently Asked Questions For Student and Independent Filmmakers</w:t>
      </w:r>
      <w:bookmarkEnd w:id="111"/>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24"/>
          <w:ilvl w:val="0"/>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numId w:val="1024"/>
          <w:ilvl w:val="0"/>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12" w:name="find-out-who-owns-music-rights"/>
      <w:r>
        <w:t xml:space="preserve">Find Out Who Owns Music Rights</w:t>
      </w:r>
      <w:bookmarkEnd w:id="112"/>
    </w:p>
    <w:p>
      <w:pPr>
        <w:pStyle w:val="Compact"/>
        <w:numPr>
          <w:numId w:val="1025"/>
          <w:ilvl w:val="0"/>
        </w:numPr>
      </w:pPr>
      <w:hyperlink r:id="rId113">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14">
        <w:r>
          <w:rPr>
            <w:rStyle w:val="Hyperlink"/>
          </w:rPr>
          <w:t xml:space="preserve">ASCAP</w:t>
        </w:r>
      </w:hyperlink>
      <w:r>
        <w:t xml:space="preserve">) and Broadcast Music, Inc. (</w:t>
      </w:r>
      <w:hyperlink r:id="rId115">
        <w:r>
          <w:rPr>
            <w:rStyle w:val="Hyperlink"/>
          </w:rPr>
          <w:t xml:space="preserve">BMI</w:t>
        </w:r>
      </w:hyperlink>
      <w:r>
        <w:t xml:space="preserve">) also provide databases where you can search for music by title or by artist and discover the publisher for each song:</w:t>
      </w:r>
    </w:p>
    <w:p>
      <w:pPr>
        <w:pStyle w:val="Compact"/>
        <w:numPr>
          <w:numId w:val="1026"/>
          <w:ilvl w:val="1"/>
        </w:numPr>
      </w:pPr>
      <w:hyperlink r:id="rId116">
        <w:r>
          <w:rPr>
            <w:rStyle w:val="Hyperlink"/>
          </w:rPr>
          <w:t xml:space="preserve">ASCAP title search</w:t>
        </w:r>
      </w:hyperlink>
    </w:p>
    <w:p>
      <w:pPr>
        <w:pStyle w:val="Compact"/>
        <w:numPr>
          <w:numId w:val="1026"/>
          <w:ilvl w:val="1"/>
        </w:numPr>
      </w:pPr>
      <w:hyperlink r:id="rId117">
        <w:r>
          <w:rPr>
            <w:rStyle w:val="Hyperlink"/>
          </w:rPr>
          <w:t xml:space="preserve">BMI repertoire search</w:t>
        </w:r>
      </w:hyperlink>
    </w:p>
    <w:p>
      <w:pPr>
        <w:pStyle w:val="Heading4"/>
      </w:pPr>
      <w:bookmarkStart w:id="118" w:name="music-licensing-agreements"/>
      <w:r>
        <w:t xml:space="preserve">Music Licensing Agreements</w:t>
      </w:r>
      <w:bookmarkEnd w:id="118"/>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19" w:name="re-recording-and-sound-alike-recordings"/>
      <w:r>
        <w:t xml:space="preserve">Re-recording and Sound-Alike Recordings</w:t>
      </w:r>
      <w:bookmarkEnd w:id="119"/>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p>
      <w:pPr>
        <w:pStyle w:val="Heading4"/>
      </w:pPr>
      <w:bookmarkStart w:id="120" w:name="commissioning-music"/>
      <w:r>
        <w:t xml:space="preserve">Commissioning Music</w:t>
      </w:r>
      <w:bookmarkEnd w:id="120"/>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21" w:name="film-options"/>
      <w:r>
        <w:t xml:space="preserve">Film Options</w:t>
      </w:r>
      <w:bookmarkEnd w:id="121"/>
    </w:p>
    <w:p>
      <w:pPr>
        <w:pStyle w:val="Heading4"/>
      </w:pPr>
      <w:bookmarkStart w:id="122" w:name="five-stages-of-film-production"/>
      <w:r>
        <w:t xml:space="preserve">Five Stages of Film Production</w:t>
      </w:r>
      <w:bookmarkEnd w:id="122"/>
    </w:p>
    <w:p>
      <w:pPr>
        <w:pStyle w:val="Compact"/>
        <w:numPr>
          <w:numId w:val="1027"/>
          <w:ilvl w:val="0"/>
        </w:numPr>
      </w:pPr>
      <w:r>
        <w:t xml:space="preserve">Development: Script gets written and approved.</w:t>
      </w:r>
    </w:p>
    <w:p>
      <w:pPr>
        <w:pStyle w:val="Compact"/>
        <w:numPr>
          <w:numId w:val="1027"/>
          <w:ilvl w:val="0"/>
        </w:numPr>
      </w:pPr>
      <w:r>
        <w:t xml:space="preserve">Pre-production: Cast and crew are hired, locations are selected, and sets are built.</w:t>
      </w:r>
    </w:p>
    <w:p>
      <w:pPr>
        <w:pStyle w:val="Compact"/>
        <w:numPr>
          <w:numId w:val="1027"/>
          <w:ilvl w:val="0"/>
        </w:numPr>
      </w:pPr>
      <w:r>
        <w:t xml:space="preserve">Production: The raw elements for the finished film are recorded. (First Day of Principal Photography! Payday for many!)</w:t>
      </w:r>
    </w:p>
    <w:p>
      <w:pPr>
        <w:pStyle w:val="Compact"/>
        <w:numPr>
          <w:numId w:val="1027"/>
          <w:ilvl w:val="0"/>
        </w:numPr>
      </w:pPr>
      <w:r>
        <w:t xml:space="preserve">Post-Production: The film is edited; music composed, performed, and recorded.</w:t>
      </w:r>
    </w:p>
    <w:p>
      <w:pPr>
        <w:pStyle w:val="Compact"/>
        <w:numPr>
          <w:numId w:val="1027"/>
          <w:ilvl w:val="0"/>
        </w:numPr>
      </w:pPr>
      <w:r>
        <w:t xml:space="preserve">Sales and distribution: The film is screened for potential buyers (distributors), who then distribute the film to its cinema and/or home media audience.</w:t>
      </w:r>
    </w:p>
    <w:p>
      <w:pPr>
        <w:pStyle w:val="Heading4"/>
      </w:pPr>
      <w:bookmarkStart w:id="123" w:name="why-option"/>
      <w:r>
        <w:t xml:space="preserve">Why Option?</w:t>
      </w:r>
      <w:bookmarkEnd w:id="123"/>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24" w:name="the-movie-option-3-essential-terms"/>
      <w:r>
        <w:t xml:space="preserve">The Movie Option 3 Essential Terms</w:t>
      </w:r>
      <w:bookmarkEnd w:id="124"/>
    </w:p>
    <w:p>
      <w:pPr>
        <w:pStyle w:val="Compact"/>
        <w:numPr>
          <w:numId w:val="1028"/>
          <w:ilvl w:val="0"/>
        </w:numPr>
      </w:pPr>
      <w:r>
        <w:t xml:space="preserve">The option period</w:t>
      </w:r>
    </w:p>
    <w:p>
      <w:pPr>
        <w:pStyle w:val="Compact"/>
        <w:numPr>
          <w:numId w:val="1028"/>
          <w:ilvl w:val="0"/>
        </w:numPr>
      </w:pPr>
      <w:r>
        <w:t xml:space="preserve">The option payment</w:t>
      </w:r>
    </w:p>
    <w:p>
      <w:pPr>
        <w:pStyle w:val="Compact"/>
        <w:numPr>
          <w:numId w:val="1028"/>
          <w:ilvl w:val="0"/>
        </w:numPr>
      </w:pPr>
      <w:r>
        <w:t xml:space="preserve">The purchase price</w:t>
      </w:r>
    </w:p>
    <w:p>
      <w:pPr>
        <w:pStyle w:val="Heading5"/>
      </w:pPr>
      <w:bookmarkStart w:id="125" w:name="the-option-period"/>
      <w:r>
        <w:t xml:space="preserve">1. The Option Period</w:t>
      </w:r>
      <w:bookmarkEnd w:id="125"/>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29"/>
          <w:ilvl w:val="0"/>
        </w:numPr>
      </w:pPr>
      <w:r>
        <w:t xml:space="preserve">Usually 6, 12, 18 months, sometimes two years.</w:t>
      </w:r>
    </w:p>
    <w:p>
      <w:pPr>
        <w:pStyle w:val="Compact"/>
        <w:numPr>
          <w:numId w:val="1029"/>
          <w:ilvl w:val="0"/>
        </w:numPr>
      </w:pPr>
      <w:r>
        <w:t xml:space="preserve">Often includes an option to renew.</w:t>
      </w:r>
    </w:p>
    <w:p>
      <w:pPr>
        <w:pStyle w:val="Heading5"/>
      </w:pPr>
      <w:bookmarkStart w:id="126" w:name="the-option-payment"/>
      <w:r>
        <w:t xml:space="preserve">2. The Option Payment</w:t>
      </w:r>
      <w:bookmarkEnd w:id="126"/>
    </w:p>
    <w:p>
      <w:pPr>
        <w:pStyle w:val="Compact"/>
        <w:numPr>
          <w:numId w:val="1030"/>
          <w:ilvl w:val="0"/>
        </w:numPr>
      </w:pPr>
      <w:r>
        <w:t xml:space="preserve">How Much Does the Option Cost? The price varies greatly.</w:t>
      </w:r>
    </w:p>
    <w:p>
      <w:pPr>
        <w:pStyle w:val="Compact"/>
        <w:numPr>
          <w:numId w:val="1030"/>
          <w:ilvl w:val="0"/>
        </w:numPr>
      </w:pPr>
      <w:r>
        <w:t xml:space="preserve">Rule of thumb: 10% of purchase price.</w:t>
      </w:r>
    </w:p>
    <w:p>
      <w:pPr>
        <w:pStyle w:val="Compact"/>
        <w:numPr>
          <w:numId w:val="1030"/>
          <w:ilvl w:val="0"/>
        </w:numPr>
      </w:pPr>
      <w:r>
        <w:t xml:space="preserve">AKA: The</w:t>
      </w:r>
      <w:r>
        <w:t xml:space="preserve"> </w:t>
      </w:r>
      <w:r>
        <w:t xml:space="preserve">“</w:t>
      </w:r>
      <w:r>
        <w:t xml:space="preserve">small</w:t>
      </w:r>
      <w:r>
        <w:t xml:space="preserve">”</w:t>
      </w:r>
      <w:r>
        <w:t xml:space="preserve"> </w:t>
      </w:r>
      <w:r>
        <w:t xml:space="preserve">money.</w:t>
      </w:r>
    </w:p>
    <w:p>
      <w:pPr>
        <w:pStyle w:val="Heading5"/>
      </w:pPr>
      <w:bookmarkStart w:id="127" w:name="the-purchase-price"/>
      <w:r>
        <w:t xml:space="preserve">3. The Purchase Price</w:t>
      </w:r>
      <w:bookmarkEnd w:id="127"/>
    </w:p>
    <w:p>
      <w:pPr>
        <w:pStyle w:val="FirstParagraph"/>
      </w:pPr>
      <w:r>
        <w:t xml:space="preserve">What will happen if the buyer EXERCISES the option to buy?</w:t>
      </w:r>
      <w:r>
        <w:t xml:space="preserve"> </w:t>
      </w:r>
      <w:r>
        <w:t xml:space="preserve">Mainly how much? $50k, $100k, usually more.</w:t>
      </w:r>
    </w:p>
    <w:p>
      <w:pPr>
        <w:pStyle w:val="Compact"/>
        <w:numPr>
          <w:numId w:val="1031"/>
          <w:ilvl w:val="0"/>
        </w:numPr>
      </w:pPr>
      <w:r>
        <w:t xml:space="preserve">Often a percentage of the total movie budget.</w:t>
      </w:r>
    </w:p>
    <w:p>
      <w:pPr>
        <w:pStyle w:val="Compact"/>
        <w:numPr>
          <w:numId w:val="1031"/>
          <w:ilvl w:val="0"/>
        </w:numPr>
      </w:pPr>
      <w:r>
        <w:t xml:space="preserve">1-3%, with a cap.</w:t>
      </w:r>
    </w:p>
    <w:p>
      <w:pPr>
        <w:pStyle w:val="Compact"/>
        <w:numPr>
          <w:numId w:val="1031"/>
          <w:ilvl w:val="0"/>
        </w:numPr>
      </w:pPr>
      <w:r>
        <w:t xml:space="preserve">The</w:t>
      </w:r>
      <w:r>
        <w:t xml:space="preserve"> </w:t>
      </w:r>
      <w:r>
        <w:t xml:space="preserve">“</w:t>
      </w:r>
      <w:r>
        <w:t xml:space="preserve">big</w:t>
      </w:r>
      <w:r>
        <w:t xml:space="preserve">”</w:t>
      </w:r>
      <w:r>
        <w:t xml:space="preserve"> </w:t>
      </w:r>
      <w:r>
        <w:t xml:space="preserve">money.</w:t>
      </w:r>
    </w:p>
    <w:p>
      <w:pPr>
        <w:pStyle w:val="Heading4"/>
      </w:pPr>
      <w:bookmarkStart w:id="128" w:name="totally-optional-reading-viewing"/>
      <w:r>
        <w:t xml:space="preserve">Totally Optional Reading &amp; Viewing</w:t>
      </w:r>
      <w:bookmarkEnd w:id="128"/>
    </w:p>
    <w:p>
      <w:pPr>
        <w:pStyle w:val="Compact"/>
        <w:numPr>
          <w:numId w:val="1032"/>
          <w:ilvl w:val="0"/>
        </w:numPr>
      </w:pPr>
      <w:hyperlink r:id="rId106">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32"/>
          <w:ilvl w:val="0"/>
        </w:numPr>
      </w:pPr>
      <w:hyperlink r:id="rId129">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32"/>
          <w:ilvl w:val="0"/>
        </w:numPr>
      </w:pPr>
      <w:hyperlink r:id="rId130">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pStyle w:val="Compact"/>
        <w:numPr>
          <w:numId w:val="1032"/>
          <w:ilvl w:val="0"/>
        </w:numPr>
      </w:pPr>
      <w:hyperlink r:id="rId131">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pStyle w:val="Compact"/>
        <w:numPr>
          <w:numId w:val="1032"/>
          <w:ilvl w:val="0"/>
        </w:numPr>
      </w:pPr>
      <w:r>
        <w:t xml:space="preserve">Lawsuit alleges Jay Z hit</w:t>
      </w:r>
      <w:r>
        <w:t xml:space="preserve"> </w:t>
      </w:r>
      <w:r>
        <w:t xml:space="preserve">‘</w:t>
      </w:r>
      <w:r>
        <w:t xml:space="preserve">Run This Town</w:t>
      </w:r>
      <w:r>
        <w:t xml:space="preserve">’</w:t>
      </w:r>
      <w:r>
        <w:t xml:space="preserve"> </w:t>
      </w:r>
      <w:hyperlink r:id="rId132">
        <w:r>
          <w:rPr>
            <w:rStyle w:val="Hyperlink"/>
          </w:rPr>
          <w:t xml:space="preserve">illegally sampled 1960s funk song</w:t>
        </w:r>
      </w:hyperlink>
    </w:p>
    <w:p>
      <w:pPr>
        <w:pStyle w:val="Compact"/>
        <w:numPr>
          <w:numId w:val="1032"/>
          <w:ilvl w:val="0"/>
        </w:numPr>
      </w:pPr>
      <w:hyperlink r:id="rId133">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pStyle w:val="Compact"/>
        <w:numPr>
          <w:numId w:val="1032"/>
          <w:ilvl w:val="0"/>
        </w:numPr>
      </w:pPr>
      <w:hyperlink r:id="rId134">
        <w:r>
          <w:rPr>
            <w:rStyle w:val="Hyperlink"/>
          </w:rPr>
          <w:t xml:space="preserve">Wikipedia Defends the Monkey Selfie</w:t>
        </w:r>
      </w:hyperlink>
    </w:p>
    <w:p>
      <w:pPr>
        <w:pStyle w:val="Heading5"/>
      </w:pPr>
      <w:bookmarkStart w:id="135" w:name="totally-optional-for-musicians-recording-artists"/>
      <w:r>
        <w:t xml:space="preserve">Totally Optional: For Musicians &amp; Recording Artists</w:t>
      </w:r>
      <w:bookmarkEnd w:id="135"/>
    </w:p>
    <w:p>
      <w:pPr>
        <w:pStyle w:val="Compact"/>
        <w:numPr>
          <w:numId w:val="1033"/>
          <w:ilvl w:val="0"/>
        </w:numPr>
      </w:pPr>
      <w:hyperlink r:id="rId136">
        <w:r>
          <w:rPr>
            <w:rStyle w:val="Hyperlink"/>
          </w:rPr>
          <w:t xml:space="preserve">Harvard Law School Recording Artists Project: Copyright Basics</w:t>
        </w:r>
      </w:hyperlink>
      <w:r>
        <w:t xml:space="preserve">.</w:t>
      </w:r>
    </w:p>
    <w:p>
      <w:pPr>
        <w:pStyle w:val="Compact"/>
        <w:numPr>
          <w:numId w:val="1033"/>
          <w:ilvl w:val="0"/>
        </w:numPr>
      </w:pPr>
      <w:hyperlink r:id="rId137">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33"/>
          <w:ilvl w:val="0"/>
        </w:numPr>
      </w:pPr>
      <w:hyperlink r:id="rId138">
        <w:r>
          <w:rPr>
            <w:rStyle w:val="Hyperlink"/>
          </w:rPr>
          <w:t xml:space="preserve">The Song Machine: Inside the Hit Factory Hardcover – October 5, 2015 by John Seabrook</w:t>
        </w:r>
      </w:hyperlink>
      <w:r>
        <w:t xml:space="preserve">.</w:t>
      </w:r>
    </w:p>
    <w:p>
      <w:pPr>
        <w:pStyle w:val="Heading5"/>
      </w:pPr>
      <w:bookmarkStart w:id="139" w:name="joint-authorship-1"/>
      <w:r>
        <w:t xml:space="preserve">Joint Authorship</w:t>
      </w:r>
      <w:bookmarkEnd w:id="139"/>
    </w:p>
    <w:p>
      <w:pPr>
        <w:pStyle w:val="Compact"/>
        <w:numPr>
          <w:numId w:val="1034"/>
          <w:ilvl w:val="0"/>
        </w:numPr>
      </w:pPr>
      <w:hyperlink r:id="rId140">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pStyle w:val="Compact"/>
        <w:numPr>
          <w:numId w:val="1034"/>
          <w:ilvl w:val="0"/>
        </w:numPr>
      </w:pPr>
      <w:hyperlink r:id="rId141">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d97f0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48f5cc4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de8b7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c5a4ae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allmusic.com" TargetMode="External" /><Relationship Type="http://schemas.openxmlformats.org/officeDocument/2006/relationships/hyperlink" Id="rId74" Target="http://copyright.gov/circs/circ56a.pdf" TargetMode="External" /><Relationship Type="http://schemas.openxmlformats.org/officeDocument/2006/relationships/hyperlink" Id="rId114" Target="http://en.wikipedia.org/wiki/American_Society_of_Composers,_Authors_and_Publishers" TargetMode="External" /><Relationship Type="http://schemas.openxmlformats.org/officeDocument/2006/relationships/hyperlink" Id="rId95" Target="http://en.wikipedia.org/wiki/Bridgeport_Music,_Inc._v._Dimension_Films" TargetMode="External" /><Relationship Type="http://schemas.openxmlformats.org/officeDocument/2006/relationships/hyperlink" Id="rId115"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69" Target="http://lawschool.westlaw.com/shared/westlawRedirect.aspx?task=find&amp;cite=791+F.3d+247&amp;appflag=67.12" TargetMode="External" /><Relationship Type="http://schemas.openxmlformats.org/officeDocument/2006/relationships/hyperlink" Id="rId103" Target="http://lawschool.westlaw.com/shared/westlawRedirect.aspx?task=find&amp;cite=824+F.3d+871&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17" Target="http://repertoire.bmi.com/startpage.asp" TargetMode="External" /><Relationship Type="http://schemas.openxmlformats.org/officeDocument/2006/relationships/hyperlink" Id="rId87"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8" Target="http://scholar.google.com/scholar_case?case=16874877052780018691" TargetMode="External" /><Relationship Type="http://schemas.openxmlformats.org/officeDocument/2006/relationships/hyperlink" Id="rId9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9" Target="http://scholar.google.com/scholar_case?case=4721801243812962515" TargetMode="External" /><Relationship Type="http://schemas.openxmlformats.org/officeDocument/2006/relationships/hyperlink" Id="rId81"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9"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38" Target="http://www.amazon.com/The-Song-Machine-Inside-Factory/dp/0393241920" TargetMode="External" /><Relationship Type="http://schemas.openxmlformats.org/officeDocument/2006/relationships/hyperlink" Id="rId110"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85"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2" Target="http://www.dailymotion.com/video/x7vqs7_james-newton-choir_music" TargetMode="External" /><Relationship Type="http://schemas.openxmlformats.org/officeDocument/2006/relationships/hyperlink" Id="rId72" Target="http://www.hollywoodreporter.com/thr-esq/appeals-court-rules-producer-not-805650" TargetMode="External" /><Relationship Type="http://schemas.openxmlformats.org/officeDocument/2006/relationships/hyperlink" Id="rId130" Target="http://www.hollywoodreporter.com/thr-esq/google-warns-muslims-ruling-will-684425" TargetMode="External" /><Relationship Type="http://schemas.openxmlformats.org/officeDocument/2006/relationships/hyperlink" Id="rId140" Target="http://www.hollywoodreporter.com/thr-esq/judge-tests-boundaries-authorship-nods-star-wars-spike-lee-love-actually-1004811" TargetMode="External" /><Relationship Type="http://schemas.openxmlformats.org/officeDocument/2006/relationships/hyperlink" Id="rId141" Target="http://www.hollywoodreporter.com/thr-esq/sully-producers-face-airplane-consultants-authorship-claim-1008439" TargetMode="External" /><Relationship Type="http://schemas.openxmlformats.org/officeDocument/2006/relationships/hyperlink" Id="rId136" Target="http://www.law.harvard.edu/academics/clinical/tlc/rap/rap-for-clients/copyright.html" TargetMode="External" /><Relationship Type="http://schemas.openxmlformats.org/officeDocument/2006/relationships/hyperlink" Id="rId134" Target="http://www.newyorker.com/news/daily-comment/monkey-see-monkey-click" TargetMode="External" /><Relationship Type="http://schemas.openxmlformats.org/officeDocument/2006/relationships/hyperlink" Id="rId131" Target="http://www.newyorker.com/online/blogs/elements/2014/03/a-controversial-youtube-video-haunts-free-speech-again.html" TargetMode="External" /><Relationship Type="http://schemas.openxmlformats.org/officeDocument/2006/relationships/hyperlink" Id="rId132" Target="http://www.nydailynews.com/entertainment/gossip/jay-z-hit-run-town-illegally-sampled-60s-song-suit-article-1.1509052#ixzz2jw9zmZfb" TargetMode="External" /><Relationship Type="http://schemas.openxmlformats.org/officeDocument/2006/relationships/hyperlink" Id="rId133" Target="http://www.rollingstone.com/music/news/frank-oceans-super-rich-kids-named-in-copyright-lawsuit-20140211#ixzz2t3iDZnRQ" TargetMode="External" /><Relationship Type="http://schemas.openxmlformats.org/officeDocument/2006/relationships/hyperlink" Id="rId137"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108" Target="https://gigaom.com/2010/11/16/419-why-the-music-industry-isnt-suing-mashup-star-girl-talk/" TargetMode="External" /><Relationship Type="http://schemas.openxmlformats.org/officeDocument/2006/relationships/hyperlink" Id="rId71" Target="https://scholar.google.com/scholar_case?case=11401250652439780302" TargetMode="External" /><Relationship Type="http://schemas.openxmlformats.org/officeDocument/2006/relationships/hyperlink" Id="rId116" Target="https://www.ascap.com/home/ace-title-search/index.aspx" TargetMode="External" /><Relationship Type="http://schemas.openxmlformats.org/officeDocument/2006/relationships/hyperlink" Id="rId76" Target="https://www.harryfox.com/license_music/what_is_mechanical_license.html" TargetMode="External" /><Relationship Type="http://schemas.openxmlformats.org/officeDocument/2006/relationships/hyperlink" Id="rId78" Target="https://www.harryfox.com/license_music/youtube_license.html" TargetMode="External" /><Relationship Type="http://schemas.openxmlformats.org/officeDocument/2006/relationships/hyperlink" Id="rId70" Target="https://www.loeb.com/articles-ipentertainmentcaselawupdates-20150709-16casadusellcvmerkin" TargetMode="External" /><Relationship Type="http://schemas.openxmlformats.org/officeDocument/2006/relationships/hyperlink" Id="rId107" Target="https://www.techdirt.com/articles/20090707/0237205466.shtml" TargetMode="External" /><Relationship Type="http://schemas.openxmlformats.org/officeDocument/2006/relationships/hyperlink" Id="rId104" Target="https://www.westlaw.com/w-002-5454?transitionType=Default&amp;contextData=(sc.Default)&amp;VR=3.0&amp;RS=cblt1.0" TargetMode="External" /><Relationship Type="http://schemas.openxmlformats.org/officeDocument/2006/relationships/hyperlink" Id="rId91" Target="https://www.youtube.com/watch?v=KARQOgivaGA" TargetMode="External" /><Relationship Type="http://schemas.openxmlformats.org/officeDocument/2006/relationships/hyperlink" Id="rId83" Target="https://www.youtube.com/watch?v=NpsvBvwRuf0" TargetMode="External" /><Relationship Type="http://schemas.openxmlformats.org/officeDocument/2006/relationships/hyperlink" Id="rId106"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13" Target="http://allmusic.com" TargetMode="External" /><Relationship Type="http://schemas.openxmlformats.org/officeDocument/2006/relationships/hyperlink" Id="rId74" Target="http://copyright.gov/circs/circ56a.pdf" TargetMode="External" /><Relationship Type="http://schemas.openxmlformats.org/officeDocument/2006/relationships/hyperlink" Id="rId114" Target="http://en.wikipedia.org/wiki/American_Society_of_Composers,_Authors_and_Publishers" TargetMode="External" /><Relationship Type="http://schemas.openxmlformats.org/officeDocument/2006/relationships/hyperlink" Id="rId95" Target="http://en.wikipedia.org/wiki/Bridgeport_Music,_Inc._v._Dimension_Films" TargetMode="External" /><Relationship Type="http://schemas.openxmlformats.org/officeDocument/2006/relationships/hyperlink" Id="rId115"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69" Target="http://lawschool.westlaw.com/shared/westlawRedirect.aspx?task=find&amp;cite=791+F.3d+247&amp;appflag=67.12" TargetMode="External" /><Relationship Type="http://schemas.openxmlformats.org/officeDocument/2006/relationships/hyperlink" Id="rId103" Target="http://lawschool.westlaw.com/shared/westlawRedirect.aspx?task=find&amp;cite=824+F.3d+871&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17" Target="http://repertoire.bmi.com/startpage.asp" TargetMode="External" /><Relationship Type="http://schemas.openxmlformats.org/officeDocument/2006/relationships/hyperlink" Id="rId87"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8" Target="http://scholar.google.com/scholar_case?case=16874877052780018691" TargetMode="External" /><Relationship Type="http://schemas.openxmlformats.org/officeDocument/2006/relationships/hyperlink" Id="rId9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9" Target="http://scholar.google.com/scholar_case?case=4721801243812962515" TargetMode="External" /><Relationship Type="http://schemas.openxmlformats.org/officeDocument/2006/relationships/hyperlink" Id="rId81"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9"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38" Target="http://www.amazon.com/The-Song-Machine-Inside-Factory/dp/0393241920" TargetMode="External" /><Relationship Type="http://schemas.openxmlformats.org/officeDocument/2006/relationships/hyperlink" Id="rId110"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85"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2" Target="http://www.dailymotion.com/video/x7vqs7_james-newton-choir_music" TargetMode="External" /><Relationship Type="http://schemas.openxmlformats.org/officeDocument/2006/relationships/hyperlink" Id="rId72" Target="http://www.hollywoodreporter.com/thr-esq/appeals-court-rules-producer-not-805650" TargetMode="External" /><Relationship Type="http://schemas.openxmlformats.org/officeDocument/2006/relationships/hyperlink" Id="rId130" Target="http://www.hollywoodreporter.com/thr-esq/google-warns-muslims-ruling-will-684425" TargetMode="External" /><Relationship Type="http://schemas.openxmlformats.org/officeDocument/2006/relationships/hyperlink" Id="rId140" Target="http://www.hollywoodreporter.com/thr-esq/judge-tests-boundaries-authorship-nods-star-wars-spike-lee-love-actually-1004811" TargetMode="External" /><Relationship Type="http://schemas.openxmlformats.org/officeDocument/2006/relationships/hyperlink" Id="rId141" Target="http://www.hollywoodreporter.com/thr-esq/sully-producers-face-airplane-consultants-authorship-claim-1008439" TargetMode="External" /><Relationship Type="http://schemas.openxmlformats.org/officeDocument/2006/relationships/hyperlink" Id="rId136" Target="http://www.law.harvard.edu/academics/clinical/tlc/rap/rap-for-clients/copyright.html" TargetMode="External" /><Relationship Type="http://schemas.openxmlformats.org/officeDocument/2006/relationships/hyperlink" Id="rId134" Target="http://www.newyorker.com/news/daily-comment/monkey-see-monkey-click" TargetMode="External" /><Relationship Type="http://schemas.openxmlformats.org/officeDocument/2006/relationships/hyperlink" Id="rId131" Target="http://www.newyorker.com/online/blogs/elements/2014/03/a-controversial-youtube-video-haunts-free-speech-again.html" TargetMode="External" /><Relationship Type="http://schemas.openxmlformats.org/officeDocument/2006/relationships/hyperlink" Id="rId132" Target="http://www.nydailynews.com/entertainment/gossip/jay-z-hit-run-town-illegally-sampled-60s-song-suit-article-1.1509052#ixzz2jw9zmZfb" TargetMode="External" /><Relationship Type="http://schemas.openxmlformats.org/officeDocument/2006/relationships/hyperlink" Id="rId133" Target="http://www.rollingstone.com/music/news/frank-oceans-super-rich-kids-named-in-copyright-lawsuit-20140211#ixzz2t3iDZnRQ" TargetMode="External" /><Relationship Type="http://schemas.openxmlformats.org/officeDocument/2006/relationships/hyperlink" Id="rId137"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108" Target="https://gigaom.com/2010/11/16/419-why-the-music-industry-isnt-suing-mashup-star-girl-talk/" TargetMode="External" /><Relationship Type="http://schemas.openxmlformats.org/officeDocument/2006/relationships/hyperlink" Id="rId71" Target="https://scholar.google.com/scholar_case?case=11401250652439780302" TargetMode="External" /><Relationship Type="http://schemas.openxmlformats.org/officeDocument/2006/relationships/hyperlink" Id="rId116" Target="https://www.ascap.com/home/ace-title-search/index.aspx" TargetMode="External" /><Relationship Type="http://schemas.openxmlformats.org/officeDocument/2006/relationships/hyperlink" Id="rId76" Target="https://www.harryfox.com/license_music/what_is_mechanical_license.html" TargetMode="External" /><Relationship Type="http://schemas.openxmlformats.org/officeDocument/2006/relationships/hyperlink" Id="rId78" Target="https://www.harryfox.com/license_music/youtube_license.html" TargetMode="External" /><Relationship Type="http://schemas.openxmlformats.org/officeDocument/2006/relationships/hyperlink" Id="rId70" Target="https://www.loeb.com/articles-ipentertainmentcaselawupdates-20150709-16casadusellcvmerkin" TargetMode="External" /><Relationship Type="http://schemas.openxmlformats.org/officeDocument/2006/relationships/hyperlink" Id="rId107" Target="https://www.techdirt.com/articles/20090707/0237205466.shtml" TargetMode="External" /><Relationship Type="http://schemas.openxmlformats.org/officeDocument/2006/relationships/hyperlink" Id="rId104" Target="https://www.westlaw.com/w-002-5454?transitionType=Default&amp;contextData=(sc.Default)&amp;VR=3.0&amp;RS=cblt1.0" TargetMode="External" /><Relationship Type="http://schemas.openxmlformats.org/officeDocument/2006/relationships/hyperlink" Id="rId91" Target="https://www.youtube.com/watch?v=KARQOgivaGA" TargetMode="External" /><Relationship Type="http://schemas.openxmlformats.org/officeDocument/2006/relationships/hyperlink" Id="rId83" Target="https://www.youtube.com/watch?v=NpsvBvwRuf0" TargetMode="External" /><Relationship Type="http://schemas.openxmlformats.org/officeDocument/2006/relationships/hyperlink" Id="rId106"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2018-02-28T14:50:12Z</dcterms:created>
  <dcterms:modified xsi:type="dcterms:W3CDTF">2018-02-28T14:50:12Z</dcterms:modified>
</cp:coreProperties>
</file>