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w:t>
      </w:r>
      <w:r>
        <w:t xml:space="preserve"> </w:t>
      </w:r>
      <w:r>
        <w:t xml:space="preserve">such as we have here, there must be, on the part of the actress, a willful act or willful misconduct,</w:t>
      </w:r>
      <w:r>
        <w:t xml:space="preserve"> </w:t>
      </w:r>
      <w:r>
        <w:t xml:space="preserve">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 …</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2"/>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In 2015, Bryan Cranston starred in</w:t>
      </w:r>
      <w:r>
        <w:t xml:space="preserve"> </w:t>
      </w:r>
      <w:r>
        <w:rPr>
          <w:i/>
        </w:rPr>
        <w:t xml:space="preserve">Trumbo</w:t>
      </w:r>
      <w:r>
        <w:t xml:space="preserve">, a movie about</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who,</w:t>
      </w:r>
      <w:r>
        <w:t xml:space="preserve"> </w:t>
      </w:r>
      <w:r>
        <w:t xml:space="preserve">like Trumbo, was one of the infamous Hollywood Ten.</w:t>
      </w:r>
    </w:p>
    <w:p>
      <w:pPr>
        <w:pStyle w:val="Heading3"/>
      </w:pPr>
      <w:bookmarkStart w:id="51" w:name="loews-inc.-v.-cole"/>
      <w:r>
        <w:rPr>
          <w:i/>
        </w:rPr>
        <w:t xml:space="preserve">Loew’s, Inc. v. Cole</w:t>
      </w:r>
      <w:bookmarkEnd w:id="51"/>
    </w:p>
    <w:p>
      <w:pPr>
        <w:pStyle w:val="Heading6"/>
      </w:pPr>
      <w:bookmarkStart w:id="52" w:name="X799b450c72c3ee0aa664541a06329e7ff612764"/>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The Red Scare and the witch hunts conducted by the House Un-American Activities Committee (HUAC)</w:t>
      </w:r>
      <w:r>
        <w:t xml:space="preserve"> </w:t>
      </w:r>
      <w:r>
        <w:t xml:space="preserve">were shameful, dark, and fearful,</w:t>
      </w:r>
      <w:r>
        <w:t xml:space="preserve"> </w:t>
      </w:r>
      <w:r>
        <w:t xml:space="preserve">blots on our nation’s history.</w:t>
      </w:r>
      <w:r>
        <w:t xml:space="preserve"> </w:t>
      </w:r>
      <w:r>
        <w:t xml:space="preserve">The entertainment industry embarrassed itself for all time</w:t>
      </w:r>
      <w:r>
        <w:t xml:space="preserve"> </w:t>
      </w:r>
      <w:r>
        <w:t xml:space="preserve">by showing spineless deference to what amounted to government censorship of the arts.</w:t>
      </w:r>
      <w:r>
        <w:t xml:space="preserve"> </w:t>
      </w:r>
      <w:r>
        <w:t xml:space="preserve">These were not fringe activities.</w:t>
      </w:r>
      <w:r>
        <w:t xml:space="preserve"> </w:t>
      </w:r>
      <w:r>
        <w:t xml:space="preserve">Senator Robert</w:t>
      </w:r>
      <w:r>
        <w:t xml:space="preserve"> </w:t>
      </w:r>
      <w:r>
        <w:t xml:space="preserve">“</w:t>
      </w:r>
      <w:r>
        <w:t xml:space="preserve">Bobby</w:t>
      </w:r>
      <w:r>
        <w:t xml:space="preserve">”</w:t>
      </w:r>
      <w:r>
        <w:t xml:space="preserve"> </w:t>
      </w:r>
      <w:r>
        <w:t xml:space="preserve">Kennedy worked for Senator Joe McCarthy early on,</w:t>
      </w:r>
      <w:r>
        <w:t xml:space="preserve"> </w:t>
      </w:r>
      <w:r>
        <w:t xml:space="preserve">and another newly elected congressman at the time, Richard Nixon, was a member of HUAC.</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Hollywood Screen Actors Guild (both of which he was at the time).</w:t>
      </w:r>
    </w:p>
    <w:p>
      <w:pPr>
        <w:pStyle w:val="BodyText"/>
      </w:pPr>
      <w:r>
        <w:t xml:space="preserve">At first the studios stood up to Senator Joseph McCarthy and his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boycotts by the American Legion</w:t>
      </w:r>
      <w:r>
        <w:t xml:space="preserve"> </w:t>
      </w:r>
      <w:r>
        <w:t xml:space="preserve">and other politically powerful groups threatened the box office,</w:t>
      </w:r>
      <w:r>
        <w:t xml:space="preserve"> </w:t>
      </w:r>
      <w:r>
        <w:t xml:space="preserve">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4"/>
      </w:pPr>
      <w:bookmarkStart w:id="58" w:name="metoo-hits-movie-deals"/>
      <w:r>
        <w:t xml:space="preserve">#MeToo Hits Movie Deals</w:t>
      </w:r>
      <w:bookmarkEnd w:id="58"/>
    </w:p>
    <w:p>
      <w:pPr>
        <w:pStyle w:val="FirstParagraph"/>
      </w:pPr>
      <w:r>
        <w:t xml:space="preserve">Sex abuse insurance? It could happen.</w:t>
      </w:r>
      <w:r>
        <w:t xml:space="preserve"> </w:t>
      </w:r>
      <w:r>
        <w:t xml:space="preserve">Broad language allowing stars and distributors to be dropped if accused of misconduct</w:t>
      </w:r>
      <w:r>
        <w:t xml:space="preserve"> </w:t>
      </w:r>
      <w:r>
        <w:t xml:space="preserve">is beginning to be included in negotiations</w:t>
      </w:r>
      <w:r>
        <w:t xml:space="preserve"> </w:t>
      </w:r>
      <w:r>
        <w:t xml:space="preserve">in the wake of the Harvey Weinstein and Kevin Spacey situations.</w:t>
      </w:r>
    </w:p>
    <w:p>
      <w:pPr>
        <w:pStyle w:val="BodyText"/>
      </w:pPr>
      <w:hyperlink r:id="rId59">
        <w:r>
          <w:rPr>
            <w:rStyle w:val="Hyperlink"/>
          </w:rPr>
          <w:t xml:space="preserve">Studios Race to Add</w:t>
        </w:r>
        <w:r>
          <w:rPr>
            <w:rStyle w:val="Hyperlink"/>
          </w:rPr>
          <w:t xml:space="preserve"> </w:t>
        </w:r>
        <w:r>
          <w:rPr>
            <w:rStyle w:val="Hyperlink"/>
          </w:rPr>
          <w:t xml:space="preserve">‘</w:t>
        </w:r>
        <w:r>
          <w:rPr>
            <w:rStyle w:val="Hyperlink"/>
          </w:rPr>
          <w:t xml:space="preserve">Morality Clauses</w:t>
        </w:r>
        <w:r>
          <w:rPr>
            <w:rStyle w:val="Hyperlink"/>
          </w:rPr>
          <w:t xml:space="preserve">’</w:t>
        </w:r>
        <w:r>
          <w:rPr>
            <w:rStyle w:val="Hyperlink"/>
          </w:rPr>
          <w:t xml:space="preserve"> </w:t>
        </w:r>
        <w:r>
          <w:rPr>
            <w:rStyle w:val="Hyperlink"/>
          </w:rPr>
          <w:t xml:space="preserve">to Contracts</w:t>
        </w:r>
      </w:hyperlink>
    </w:p>
    <w:p>
      <w:pPr>
        <w:pStyle w:val="Heading4"/>
      </w:pPr>
      <w:bookmarkStart w:id="60" w:name="morals-clauses-and-publishing-deals"/>
      <w:r>
        <w:t xml:space="preserve">Morals Clauses and Publishing Deals</w:t>
      </w:r>
      <w:bookmarkEnd w:id="60"/>
    </w:p>
    <w:p>
      <w:pPr>
        <w:pStyle w:val="FirstParagraph"/>
      </w:pPr>
      <w:r>
        <w:t xml:space="preserve">Even publishing is not immune to the latest craze for morals clauses.</w:t>
      </w:r>
      <w:r>
        <w:t xml:space="preserve"> </w:t>
      </w:r>
      <w:r>
        <w:t xml:space="preserve">Publishers have entertained the idea ever since author Michael Moore’s book,</w:t>
      </w:r>
      <w:r>
        <w:t xml:space="preserve"> </w:t>
      </w:r>
      <w:r>
        <w:rPr>
          <w:i/>
        </w:rPr>
        <w:t xml:space="preserve">Stupid White Men</w:t>
      </w:r>
      <w:r>
        <w:t xml:space="preserve">, was scheduled to be published</w:t>
      </w:r>
      <w:r>
        <w:t xml:space="preserve"> </w:t>
      </w:r>
      <w:r>
        <w:rPr>
          <w:i/>
        </w:rPr>
        <w:t xml:space="preserve">one day</w:t>
      </w:r>
      <w:r>
        <w:t xml:space="preserve"> </w:t>
      </w:r>
      <w:r>
        <w:t xml:space="preserve">after 9/11.</w:t>
      </w:r>
      <w:r>
        <w:t xml:space="preserve"> </w:t>
      </w:r>
      <w:r>
        <w:rPr>
          <w:i/>
        </w:rPr>
        <w:t xml:space="preserve">Stupid White Men</w:t>
      </w:r>
      <w:r>
        <w:t xml:space="preserve"> </w:t>
      </w:r>
      <w:r>
        <w:t xml:space="preserve">harshly criticized President Bush.</w:t>
      </w:r>
      <w:r>
        <w:t xml:space="preserve"> </w:t>
      </w:r>
      <w:r>
        <w:t xml:space="preserve">The publisher, HarperCollins, tried to back out,</w:t>
      </w:r>
      <w:r>
        <w:t xml:space="preserve"> </w:t>
      </w:r>
      <w:r>
        <w:t xml:space="preserve">or wanted Moore to rewrite the parts about the President.</w:t>
      </w:r>
      <w:r>
        <w:t xml:space="preserve"> </w:t>
      </w:r>
      <w:r>
        <w:t xml:space="preserve">Moore successfully got the nations librarians behind him,</w:t>
      </w:r>
      <w:r>
        <w:t xml:space="preserve"> </w:t>
      </w:r>
      <w:r>
        <w:t xml:space="preserve">and they petitioned the publisher on behalf of Moore’s book.</w:t>
      </w:r>
    </w:p>
    <w:p>
      <w:pPr>
        <w:pStyle w:val="BodyText"/>
      </w:pPr>
      <w:hyperlink r:id="rId61">
        <w:r>
          <w:rPr>
            <w:i/>
            <w:rStyle w:val="Hyperlink"/>
          </w:rPr>
          <w:t xml:space="preserve">Stupid White Men</w:t>
        </w:r>
        <w:r>
          <w:rPr>
            <w:rStyle w:val="Hyperlink"/>
          </w:rPr>
          <w:t xml:space="preserve"> </w:t>
        </w:r>
        <w:r>
          <w:rPr>
            <w:rStyle w:val="Hyperlink"/>
          </w:rPr>
          <w:t xml:space="preserve">at Wikipedia</w:t>
        </w:r>
      </w:hyperlink>
    </w:p>
    <w:p>
      <w:pPr>
        <w:pStyle w:val="BodyText"/>
      </w:pPr>
      <w:r>
        <w:t xml:space="preserve">Scott H. Greenfield described the latest morals clauses to pop up in the publishing industry in</w:t>
      </w:r>
      <w:r>
        <w:t xml:space="preserve"> </w:t>
      </w:r>
      <w:r>
        <w:t xml:space="preserve">“</w:t>
      </w:r>
      <w:r>
        <w:t xml:space="preserve">The Moral Hole,</w:t>
      </w:r>
      <w:r>
        <w:t xml:space="preserve">”</w:t>
      </w:r>
      <w:r>
        <w:t xml:space="preserve"> </w:t>
      </w:r>
      <w:r>
        <w:t xml:space="preserve">a</w:t>
      </w:r>
      <w:r>
        <w:t xml:space="preserve"> </w:t>
      </w:r>
      <w:hyperlink r:id="rId62">
        <w:r>
          <w:rPr>
            <w:rStyle w:val="Hyperlink"/>
          </w:rPr>
          <w:t xml:space="preserve">post at his</w:t>
        </w:r>
        <w:r>
          <w:rPr>
            <w:rStyle w:val="Hyperlink"/>
          </w:rPr>
          <w:t xml:space="preserve"> </w:t>
        </w:r>
        <w:r>
          <w:rPr>
            <w:i/>
            <w:rStyle w:val="Hyperlink"/>
          </w:rPr>
          <w:t xml:space="preserve">Simple Justice</w:t>
        </w:r>
        <w:r>
          <w:rPr>
            <w:rStyle w:val="Hyperlink"/>
          </w:rPr>
          <w:t xml:space="preserve"> </w:t>
        </w:r>
        <w:r>
          <w:rPr>
            <w:rStyle w:val="Hyperlink"/>
          </w:rPr>
          <w:t xml:space="preserve">blog</w:t>
        </w:r>
      </w:hyperlink>
      <w:r>
        <w:t xml:space="preserve"> </w:t>
      </w:r>
      <w:r>
        <w:t xml:space="preserve">:</w:t>
      </w:r>
    </w:p>
    <w:p>
      <w:pPr>
        <w:pStyle w:val="BlockText"/>
      </w:pPr>
      <w:r>
        <w:t xml:space="preserve">Over the past few years, Simon &amp; Schuster, HarperCollins and Penguin Random House have added such clauses to their standard book contracts. I’ve heard that Hachette Book Group is debating putting one in its trade book contracts, though the publisher wouldn’t confirm it. These clauses release a company from the obligation to publish a book if, in the words of Penguin Random House,</w:t>
      </w:r>
      <w:r>
        <w:t xml:space="preserve"> </w:t>
      </w:r>
      <w:r>
        <w:t xml:space="preserve">“</w:t>
      </w:r>
      <w:r>
        <w:t xml:space="preserve">past or future conduct of the author inconsistent with the author’s reputation at the time this agreement is executed comes to light and results in sustained, widespread public condemnation of the author that materially diminishes the sales potential of the work.</w:t>
      </w:r>
      <w:r>
        <w:t xml:space="preserve">”</w:t>
      </w:r>
    </w:p>
    <w:p>
      <w:pPr>
        <w:pStyle w:val="FirstParagraph"/>
      </w:pPr>
      <w:r>
        <w:t xml:space="preserve">Greenfield describes another clause, from publisher Conde Nast,</w:t>
      </w:r>
      <w:r>
        <w:t xml:space="preserve"> </w:t>
      </w:r>
      <w:r>
        <w:t xml:space="preserve">which is even more problematic for authors:</w:t>
      </w:r>
    </w:p>
    <w:p>
      <w:pPr>
        <w:pStyle w:val="BlockText"/>
      </w:pPr>
      <w:r>
        <w:t xml:space="preserve">If, in the company’s</w:t>
      </w:r>
      <w:r>
        <w:t xml:space="preserve"> </w:t>
      </w:r>
      <w:r>
        <w:t xml:space="preserve">“</w:t>
      </w:r>
      <w:r>
        <w:t xml:space="preserve">sole judgment,</w:t>
      </w:r>
      <w:r>
        <w:t xml:space="preserve">”</w:t>
      </w:r>
      <w:r>
        <w:t xml:space="preserve"> </w:t>
      </w:r>
      <w:r>
        <w:t xml:space="preserve">the clause states, the writer</w:t>
      </w:r>
      <w:r>
        <w:t xml:space="preserve"> </w:t>
      </w:r>
      <w:r>
        <w:t xml:space="preserve">“</w:t>
      </w:r>
      <w:r>
        <w:t xml:space="preserve">becomes the subject of public disrepute, contempt, complaints or scandals,</w:t>
      </w:r>
      <w:r>
        <w:t xml:space="preserve">”</w:t>
      </w:r>
      <w:r>
        <w:t xml:space="preserve"> </w:t>
      </w:r>
      <w:r>
        <w:t xml:space="preserve">Condé Nast can terminate the agreement. In other words, a writer need not have done anything wrong; she need only become scandalous. In the age of the Twitter mob, that could mean simply writing or saying something that offends some group of strident tweeters.</w:t>
      </w:r>
    </w:p>
    <w:p>
      <w:pPr>
        <w:pStyle w:val="Heading2"/>
      </w:pPr>
      <w:bookmarkStart w:id="63" w:name="studio-publisher-obligations"/>
      <w:r>
        <w:t xml:space="preserve">Studio-Publisher Obligations</w:t>
      </w:r>
      <w:bookmarkEnd w:id="63"/>
    </w:p>
    <w:p>
      <w:pPr>
        <w:pStyle w:val="Heading3"/>
      </w:pPr>
      <w:bookmarkStart w:id="64" w:name="Xb355c73dcfcaf02ec1dcf9e911d87d6786f127a"/>
      <w:r>
        <w:t xml:space="preserve">Satisfactory Work Product &amp; The Recording Industry</w:t>
      </w:r>
      <w:bookmarkEnd w:id="64"/>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5">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6">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7">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w:t>
      </w:r>
      <w:r>
        <w:t xml:space="preserve"> </w:t>
      </w:r>
      <w:r>
        <w:t xml:space="preserve">and record more</w:t>
      </w:r>
      <w:r>
        <w:t xml:space="preserve"> </w:t>
      </w:r>
      <w:r>
        <w:t xml:space="preserve">“</w:t>
      </w:r>
      <w:r>
        <w:t xml:space="preserve">mature</w:t>
      </w:r>
      <w:r>
        <w:t xml:space="preserve">”</w:t>
      </w:r>
      <w:r>
        <w:t xml:space="preserve"> </w:t>
      </w:r>
      <w:r>
        <w:t xml:space="preserve">perhaps more difficult music.</w:t>
      </w:r>
      <w:r>
        <w:t xml:space="preserve"> </w:t>
      </w:r>
      <w:r>
        <w:t xml:space="preserve">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68" w:name="X7bb8c60c41e00a2cd323cd998f99e4a533c217c"/>
      <w:r>
        <w:t xml:space="preserve">Satisfactory Work Product In The Publishing Industry</w:t>
      </w:r>
      <w:bookmarkEnd w:id="68"/>
    </w:p>
    <w:p>
      <w:pPr>
        <w:pStyle w:val="Heading4"/>
      </w:pPr>
      <w:bookmarkStart w:id="69" w:name="how-book-advances-work"/>
      <w:r>
        <w:t xml:space="preserve">How Book Advances Work</w:t>
      </w:r>
      <w:bookmarkEnd w:id="69"/>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70" w:name="X10e8a5277757ee77526f8703444eb3037a92bf6"/>
      <w:r>
        <w:rPr>
          <w:i/>
        </w:rPr>
        <w:t xml:space="preserve">Harcourt Brace Jovanovich, Inc. v. Goldwater &amp; Shadegg</w:t>
      </w:r>
      <w:bookmarkEnd w:id="70"/>
    </w:p>
    <w:p>
      <w:pPr>
        <w:pStyle w:val="Heading6"/>
      </w:pPr>
      <w:bookmarkStart w:id="71" w:name="united-states-district-court-sdny-1982"/>
      <w:r>
        <w:t xml:space="preserve">United States District Court (SDNY 1982)</w:t>
      </w:r>
      <w:bookmarkEnd w:id="71"/>
    </w:p>
    <w:p>
      <w:pPr>
        <w:pStyle w:val="Compact"/>
        <w:numPr>
          <w:numId w:val="1009"/>
          <w:ilvl w:val="0"/>
        </w:numPr>
      </w:pPr>
      <w:hyperlink r:id="rId72">
        <w:r>
          <w:rPr>
            <w:rStyle w:val="Hyperlink"/>
          </w:rPr>
          <w:t xml:space="preserve">Case on Google Scholar</w:t>
        </w:r>
      </w:hyperlink>
    </w:p>
    <w:p>
      <w:pPr>
        <w:pStyle w:val="Compact"/>
        <w:numPr>
          <w:numId w:val="1009"/>
          <w:ilvl w:val="0"/>
        </w:numPr>
      </w:pPr>
      <w:hyperlink r:id="rId73">
        <w:r>
          <w:rPr>
            <w:rStyle w:val="Hyperlink"/>
          </w:rPr>
          <w:t xml:space="preserve">Case on Westlaw</w:t>
        </w:r>
      </w:hyperlink>
    </w:p>
    <w:p>
      <w:pPr>
        <w:pStyle w:val="Compact"/>
        <w:numPr>
          <w:numId w:val="1009"/>
          <w:ilvl w:val="0"/>
        </w:numPr>
      </w:pPr>
      <w:hyperlink r:id="rId74">
        <w:r>
          <w:rPr>
            <w:rStyle w:val="Hyperlink"/>
          </w:rPr>
          <w:t xml:space="preserve">Read about it at NYTimes</w:t>
        </w:r>
      </w:hyperlink>
    </w:p>
    <w:p>
      <w:pPr>
        <w:pStyle w:val="Heading4"/>
      </w:pPr>
      <w:bookmarkStart w:id="75" w:name="opinion"/>
      <w:r>
        <w:t xml:space="preserve">OPINION</w:t>
      </w:r>
      <w:bookmarkEnd w:id="75"/>
    </w:p>
    <w:p>
      <w:pPr>
        <w:pStyle w:val="FirstParagraph"/>
      </w:pPr>
      <w:r>
        <w:t xml:space="preserve">GRIESA, District Judge.</w:t>
      </w:r>
    </w:p>
    <w:p>
      <w:pPr>
        <w:pStyle w:val="Heading4"/>
      </w:pPr>
      <w:bookmarkStart w:id="76" w:name="findings-of-fact-and-conclusions-of-law"/>
      <w:r>
        <w:t xml:space="preserve">FINDINGS OF FACT AND CONCLUSIONS OF LAW</w:t>
      </w:r>
      <w:bookmarkEnd w:id="76"/>
    </w:p>
    <w:p>
      <w:pPr>
        <w:pStyle w:val="FirstParagraph"/>
      </w:pPr>
      <w:r>
        <w:t xml:space="preserve">[The issue in this case is whether Jovanovich, Inc. </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7" w:name="notes-on-hbj-v.-barry-goldwater"/>
      <w:r>
        <w:t xml:space="preserve">Notes on</w:t>
      </w:r>
      <w:r>
        <w:t xml:space="preserve"> </w:t>
      </w:r>
      <w:r>
        <w:rPr>
          <w:i/>
        </w:rPr>
        <w:t xml:space="preserve">HBJ v. Barry Goldwater</w:t>
      </w:r>
      <w:bookmarkEnd w:id="77"/>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8">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79" w:name="the-satisfactory-manuscript-clause"/>
      <w:r>
        <w:t xml:space="preserve">The Satisfactory Manuscript Clause</w:t>
      </w:r>
      <w:bookmarkEnd w:id="79"/>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80" w:name="modern-editors"/>
      <w:r>
        <w:t xml:space="preserve">Modern Editors</w:t>
      </w:r>
      <w:bookmarkEnd w:id="80"/>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81" w:name="doubleday-company-inc.-v.-tony-curtis"/>
      <w:r>
        <w:rPr>
          <w:i/>
        </w:rPr>
        <w:t xml:space="preserve">Doubleday &amp; Company, Inc. v. Tony Curtis</w:t>
      </w:r>
      <w:bookmarkEnd w:id="81"/>
    </w:p>
    <w:p>
      <w:pPr>
        <w:pStyle w:val="Heading6"/>
      </w:pPr>
      <w:bookmarkStart w:id="82" w:name="Xcc1053b721b28439d9431c4f4d4c6cfd3fcbc11"/>
      <w:r>
        <w:t xml:space="preserve">United States Court of Appeals Second Circuit (1985)</w:t>
      </w:r>
      <w:bookmarkEnd w:id="82"/>
    </w:p>
    <w:p>
      <w:pPr>
        <w:pStyle w:val="Compact"/>
        <w:numPr>
          <w:numId w:val="1011"/>
          <w:ilvl w:val="0"/>
        </w:numPr>
      </w:pPr>
      <w:hyperlink r:id="rId83">
        <w:r>
          <w:rPr>
            <w:rStyle w:val="Hyperlink"/>
          </w:rPr>
          <w:t xml:space="preserve">case on Google Scholar</w:t>
        </w:r>
      </w:hyperlink>
    </w:p>
    <w:p>
      <w:pPr>
        <w:pStyle w:val="Compact"/>
        <w:numPr>
          <w:numId w:val="1011"/>
          <w:ilvl w:val="0"/>
        </w:numPr>
      </w:pPr>
      <w:hyperlink r:id="rId84">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5" w:name="i."/>
      <w:r>
        <w:t xml:space="preserve">I.</w:t>
      </w:r>
      <w:bookmarkEnd w:id="85"/>
    </w:p>
    <w:p>
      <w:pPr>
        <w:pStyle w:val="Heading4"/>
      </w:pPr>
      <w:bookmarkStart w:id="86" w:name="background"/>
      <w:r>
        <w:t xml:space="preserve">BACKGROUND</w:t>
      </w:r>
      <w:bookmarkEnd w:id="86"/>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7" w:name="proceedings-in-the-district-court"/>
      <w:r>
        <w:rPr>
          <w:i/>
        </w:rPr>
        <w:t xml:space="preserve">Proceedings in the District Court</w:t>
      </w:r>
      <w:bookmarkEnd w:id="87"/>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8" w:name="the-decision-of-the-district-court"/>
      <w:r>
        <w:rPr>
          <w:i/>
        </w:rPr>
        <w:t xml:space="preserve">The Decision of the District Court</w:t>
      </w:r>
      <w:bookmarkEnd w:id="88"/>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9" w:name="ii."/>
      <w:r>
        <w:t xml:space="preserve">II.</w:t>
      </w:r>
      <w:bookmarkEnd w:id="89"/>
    </w:p>
    <w:p>
      <w:pPr>
        <w:pStyle w:val="Heading4"/>
      </w:pPr>
      <w:bookmarkStart w:id="90" w:name="discussion"/>
      <w:r>
        <w:t xml:space="preserve">DISCUSSION</w:t>
      </w:r>
      <w:bookmarkEnd w:id="90"/>
    </w:p>
    <w:p>
      <w:pPr>
        <w:pStyle w:val="Heading4"/>
      </w:pPr>
      <w:bookmarkStart w:id="91" w:name="X2871837fef9ec2d7a50382159d198b93c8dbb29"/>
      <w:r>
        <w:t xml:space="preserve">A.</w:t>
      </w:r>
      <w:r>
        <w:t xml:space="preserve"> </w:t>
      </w:r>
      <w:r>
        <w:rPr>
          <w:i/>
        </w:rPr>
        <w:t xml:space="preserve">The Publisher’s Duty to Perform in Good Faith.</w:t>
      </w:r>
      <w:bookmarkEnd w:id="91"/>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92">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w:t>
      </w:r>
      <w:r>
        <w:t xml:space="preserve">an honest dissatisfaction with the</w:t>
      </w:r>
      <w:r>
        <w:t xml:space="preserve"> </w:t>
      </w:r>
      <w:r>
        <w:t xml:space="preserve">performance.</w:t>
      </w:r>
      <w:r>
        <w:t xml:space="preserve">’</w:t>
      </w:r>
      <w:r>
        <w:t xml:space="preserve">”</w:t>
      </w:r>
      <w:r>
        <w:t xml:space="preserve"> </w:t>
      </w:r>
      <w:hyperlink r:id="rId92">
        <w:r>
          <w:rPr>
            <w:rStyle w:val="Hyperlink"/>
          </w:rPr>
          <w:t xml:space="preserve">292 N.Y.S.2d at 62</w:t>
        </w:r>
      </w:hyperlink>
      <w:r>
        <w:t xml:space="preserve">.</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3" w:name="b.-doubledays-good-faith."/>
      <w:r>
        <w:t xml:space="preserve">B.</w:t>
      </w:r>
      <w:r>
        <w:t xml:space="preserve"> </w:t>
      </w:r>
      <w:r>
        <w:rPr>
          <w:i/>
        </w:rPr>
        <w:t xml:space="preserve">Doubleday’s Good Faith.</w:t>
      </w:r>
      <w:bookmarkEnd w:id="93"/>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94">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2">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5" w:name="Xce7f6ea4fefb602ce017c5cfb619bdf1f3b5894"/>
      <w:r>
        <w:t xml:space="preserve">C.</w:t>
      </w:r>
      <w:r>
        <w:t xml:space="preserve"> </w:t>
      </w:r>
      <w:r>
        <w:rPr>
          <w:i/>
        </w:rPr>
        <w:t xml:space="preserve">Doubleday’s Action For Return of the Advance.</w:t>
      </w:r>
      <w:bookmarkEnd w:id="95"/>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6" w:name="iii."/>
      <w:r>
        <w:t xml:space="preserve">III.</w:t>
      </w:r>
      <w:bookmarkEnd w:id="96"/>
    </w:p>
    <w:p>
      <w:pPr>
        <w:pStyle w:val="Heading4"/>
      </w:pPr>
      <w:bookmarkStart w:id="97" w:name="conclusion"/>
      <w:r>
        <w:t xml:space="preserve">CONCLUSION</w:t>
      </w:r>
      <w:bookmarkEnd w:id="97"/>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8" w:name="notes-on-doubleday-v.-tony-curtis"/>
      <w:r>
        <w:t xml:space="preserve">Notes on</w:t>
      </w:r>
      <w:r>
        <w:t xml:space="preserve"> </w:t>
      </w:r>
      <w:r>
        <w:rPr>
          <w:i/>
        </w:rPr>
        <w:t xml:space="preserve">Doubleday v. Tony Curtis</w:t>
      </w:r>
      <w:bookmarkEnd w:id="98"/>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w:t>
      </w:r>
      <w:r>
        <w:t xml:space="preserve"> </w:t>
      </w:r>
      <w:r>
        <w:rPr>
          <w:i/>
        </w:rPr>
        <w:t xml:space="preserve">skillfully</w:t>
      </w:r>
      <w:r>
        <w:t xml:space="preserve"> </w:t>
      </w:r>
      <w:r>
        <w:t xml:space="preserve">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w:t>
      </w:r>
      <w:r>
        <w:t xml:space="preserve"> </w:t>
      </w:r>
      <w:r>
        <w:rPr>
          <w:i/>
        </w:rPr>
        <w:t xml:space="preserve">real</w:t>
      </w:r>
      <w:r>
        <w:t xml:space="preserve"> </w:t>
      </w:r>
      <w:r>
        <w:t xml:space="preserve">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9" w:name="zilg-v.-prentice-hall-inc."/>
      <w:r>
        <w:rPr>
          <w:i/>
        </w:rPr>
        <w:t xml:space="preserve">Zilg v. Prentice-Hall, Inc.</w:t>
      </w:r>
      <w:bookmarkEnd w:id="99"/>
    </w:p>
    <w:p>
      <w:pPr>
        <w:pStyle w:val="Heading6"/>
      </w:pPr>
      <w:bookmarkStart w:id="100" w:name="second-circuit-court-of-appeals-1983"/>
      <w:r>
        <w:t xml:space="preserve">Second Circuit Court of Appeals (1983)</w:t>
      </w:r>
      <w:bookmarkEnd w:id="100"/>
    </w:p>
    <w:p>
      <w:pPr>
        <w:pStyle w:val="Compact"/>
        <w:numPr>
          <w:numId w:val="1013"/>
          <w:ilvl w:val="0"/>
        </w:numPr>
      </w:pPr>
      <w:hyperlink r:id="rId101">
        <w:r>
          <w:rPr>
            <w:rStyle w:val="Hyperlink"/>
          </w:rPr>
          <w:t xml:space="preserve">case on Google Scholar</w:t>
        </w:r>
      </w:hyperlink>
    </w:p>
    <w:p>
      <w:pPr>
        <w:pStyle w:val="Compact"/>
        <w:numPr>
          <w:numId w:val="1013"/>
          <w:ilvl w:val="0"/>
        </w:numPr>
      </w:pPr>
      <w:hyperlink r:id="rId102">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3" w:name="background-1"/>
      <w:r>
        <w:t xml:space="preserve">BACKGROUND</w:t>
      </w:r>
      <w:bookmarkEnd w:id="103"/>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104" w:name="discussion-1"/>
      <w:r>
        <w:t xml:space="preserve">DISCUSSION</w:t>
      </w:r>
      <w:bookmarkEnd w:id="104"/>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5" w:name="p-hs-breach-of-contract"/>
      <w:r>
        <w:t xml:space="preserve">2.</w:t>
      </w:r>
      <w:r>
        <w:t xml:space="preserve"> </w:t>
      </w:r>
      <w:r>
        <w:rPr>
          <w:i/>
        </w:rPr>
        <w:t xml:space="preserve">P-H’s Breach of Contract</w:t>
      </w:r>
      <w:bookmarkEnd w:id="105"/>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6">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7">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8" w:name="notes-on-zilg-v.-prentice-hall"/>
      <w:r>
        <w:t xml:space="preserve">Notes on</w:t>
      </w:r>
      <w:r>
        <w:t xml:space="preserve"> </w:t>
      </w:r>
      <w:r>
        <w:rPr>
          <w:i/>
        </w:rPr>
        <w:t xml:space="preserve">Zilg v. Prentice-Hall</w:t>
      </w:r>
      <w:bookmarkEnd w:id="108"/>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102">
        <w:r>
          <w:rPr>
            <w:i/>
            <w:rStyle w:val="Hyperlink"/>
          </w:rPr>
          <w:t xml:space="preserve">Zilg v. Prentice Hall, Inc.,</w:t>
        </w:r>
      </w:hyperlink>
      <w:r>
        <w:t xml:space="preserve"> </w:t>
      </w:r>
      <w:r>
        <w:t xml:space="preserve">717 F.2d 671 (2nd Cir. 1983)(</w:t>
      </w:r>
      <w:hyperlink r:id="rId109">
        <w:r>
          <w:rPr>
            <w:rStyle w:val="Hyperlink"/>
          </w:rPr>
          <w:t xml:space="preserve">nice summary of case here</w:t>
        </w:r>
      </w:hyperlink>
      <w:r>
        <w:t xml:space="preserve">).</w:t>
      </w:r>
    </w:p>
    <w:p>
      <w:pPr>
        <w:pStyle w:val="Heading2"/>
      </w:pPr>
      <w:bookmarkStart w:id="110" w:name="royalties-profits"/>
      <w:r>
        <w:t xml:space="preserve">Royalties &amp; Profits</w:t>
      </w:r>
      <w:bookmarkEnd w:id="110"/>
    </w:p>
    <w:p>
      <w:pPr>
        <w:pStyle w:val="Heading3"/>
      </w:pPr>
      <w:bookmarkStart w:id="111" w:name="book-royalties"/>
      <w:r>
        <w:t xml:space="preserve">Book Royalties</w:t>
      </w:r>
      <w:bookmarkEnd w:id="111"/>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2" w:name="hollywood-accounting"/>
      <w:r>
        <w:t xml:space="preserve">Hollywood Accounting</w:t>
      </w:r>
      <w:bookmarkEnd w:id="112"/>
    </w:p>
    <w:p>
      <w:pPr>
        <w:pStyle w:val="FirstParagraph"/>
      </w:pPr>
      <w:hyperlink r:id="rId113">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13">
        <w:r>
          <w:rPr>
            <w:rStyle w:val="Hyperlink"/>
          </w:rPr>
          <w:t xml:space="preserve">Hollywood Accounting:</w:t>
        </w:r>
      </w:hyperlink>
    </w:p>
    <w:p>
      <w:pPr>
        <w:pStyle w:val="Heading3"/>
      </w:pPr>
      <w:bookmarkStart w:id="114" w:name="buchwald-v.-paramount-pictures"/>
      <w:r>
        <w:rPr>
          <w:i/>
        </w:rPr>
        <w:t xml:space="preserve">Buchwald v. Paramount Pictures</w:t>
      </w:r>
      <w:bookmarkEnd w:id="114"/>
    </w:p>
    <w:p>
      <w:pPr>
        <w:pStyle w:val="Heading6"/>
      </w:pPr>
      <w:bookmarkStart w:id="115" w:name="superior-court-of-california-1990"/>
      <w:r>
        <w:t xml:space="preserve">Superior Court of California (1990)</w:t>
      </w:r>
      <w:bookmarkEnd w:id="115"/>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6" w:name="two-accounting-methods"/>
      <w:r>
        <w:t xml:space="preserve">Two Accounting Methods</w:t>
      </w:r>
      <w:bookmarkEnd w:id="116"/>
    </w:p>
    <w:p>
      <w:pPr>
        <w:pStyle w:val="FirstParagraph"/>
      </w:pPr>
      <w:hyperlink r:id="rId113">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13">
        <w:r>
          <w:rPr>
            <w:rStyle w:val="Hyperlink"/>
          </w:rPr>
          <w:t xml:space="preserve">read about examples of Hollywood Accounting</w:t>
        </w:r>
      </w:hyperlink>
      <w:r>
        <w:t xml:space="preserve">.</w:t>
      </w:r>
    </w:p>
    <w:p>
      <w:pPr>
        <w:pStyle w:val="Compact"/>
        <w:numPr>
          <w:numId w:val="1020"/>
          <w:ilvl w:val="0"/>
        </w:numPr>
      </w:pPr>
      <w:hyperlink r:id="rId117">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8">
        <w:r>
          <w:rPr>
            <w:rStyle w:val="Hyperlink"/>
          </w:rPr>
          <w:t xml:space="preserve">LA Times on Buchwald suit</w:t>
        </w:r>
      </w:hyperlink>
    </w:p>
    <w:p>
      <w:pPr>
        <w:pStyle w:val="Heading3"/>
      </w:pPr>
      <w:bookmarkStart w:id="119" w:name="totally-optional-readings-viewings"/>
      <w:r>
        <w:t xml:space="preserve">Totally Optional Readings &amp; Viewings</w:t>
      </w:r>
      <w:bookmarkEnd w:id="119"/>
    </w:p>
    <w:p>
      <w:pPr>
        <w:pStyle w:val="Compact"/>
        <w:numPr>
          <w:numId w:val="1021"/>
          <w:ilvl w:val="0"/>
        </w:numPr>
      </w:pPr>
      <w:hyperlink r:id="rId120">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21">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18"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3"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6"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7"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3" Target="http://lawschool.westlaw.com/shared/westlawRedirect.aspx?task=find&amp;cite=532+F.Supp.+619&amp;appflag=67.12" TargetMode="External" /><Relationship Type="http://schemas.openxmlformats.org/officeDocument/2006/relationships/hyperlink" Id="rId102" Target="http://lawschool.westlaw.com/shared/westlawRedirect.aspx?task=find&amp;cite=717+F.2d+671&amp;appflag=67.12" TargetMode="External" /><Relationship Type="http://schemas.openxmlformats.org/officeDocument/2006/relationships/hyperlink" Id="rId84"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1" Target="http://scholar.google.com/scholar_case?case=12636634757598850042" TargetMode="External" /><Relationship Type="http://schemas.openxmlformats.org/officeDocument/2006/relationships/hyperlink" Id="rId72" Target="http://scholar.google.com/scholar_case?case=18295704577854627744" TargetMode="External" /><Relationship Type="http://schemas.openxmlformats.org/officeDocument/2006/relationships/hyperlink" Id="rId92" Target="http://scholar.google.com/scholar_case?case=2999253369158533514" TargetMode="External" /><Relationship Type="http://schemas.openxmlformats.org/officeDocument/2006/relationships/hyperlink" Id="rId83" Target="http://scholar.google.com/scholar_case?case=4186075566384380210" TargetMode="External" /><Relationship Type="http://schemas.openxmlformats.org/officeDocument/2006/relationships/hyperlink" Id="rId94" Target="http://scholar.google.com/scholar_case?case=5567597318181266157" TargetMode="External" /><Relationship Type="http://schemas.openxmlformats.org/officeDocument/2006/relationships/hyperlink" Id="rId106" Target="http://scholar.google.com/scholar_case?case=6801709773838959421" TargetMode="External" /><Relationship Type="http://schemas.openxmlformats.org/officeDocument/2006/relationships/hyperlink" Id="rId107" Target="http://scholar.google.com/scholar_case?case=8703363639063096137" TargetMode="External" /><Relationship Type="http://schemas.openxmlformats.org/officeDocument/2006/relationships/hyperlink" Id="rId65"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9"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0" Target="http://www.hollywoodreporter.com/thr-esq/ben-stein-global-warming-lawsuit-280816" TargetMode="External" /><Relationship Type="http://schemas.openxmlformats.org/officeDocument/2006/relationships/hyperlink" Id="rId67" Target="http://www.newsweek.com/you-call-nirvana-193560" TargetMode="External" /><Relationship Type="http://schemas.openxmlformats.org/officeDocument/2006/relationships/hyperlink" Id="rId74"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1" Target="http://www.thesmokinggun.com/buster/penguin-group/book-publisher-sues-over-advances-657390" TargetMode="External" /><Relationship Type="http://schemas.openxmlformats.org/officeDocument/2006/relationships/hyperlink" Id="rId62"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1" Target="https://en.wikipedia.org/wiki/Stupid_White_Men" TargetMode="External" /><Relationship Type="http://schemas.openxmlformats.org/officeDocument/2006/relationships/hyperlink" Id="rId78"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18"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3"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6"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7"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3" Target="http://lawschool.westlaw.com/shared/westlawRedirect.aspx?task=find&amp;cite=532+F.Supp.+619&amp;appflag=67.12" TargetMode="External" /><Relationship Type="http://schemas.openxmlformats.org/officeDocument/2006/relationships/hyperlink" Id="rId102" Target="http://lawschool.westlaw.com/shared/westlawRedirect.aspx?task=find&amp;cite=717+F.2d+671&amp;appflag=67.12" TargetMode="External" /><Relationship Type="http://schemas.openxmlformats.org/officeDocument/2006/relationships/hyperlink" Id="rId84"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1" Target="http://scholar.google.com/scholar_case?case=12636634757598850042" TargetMode="External" /><Relationship Type="http://schemas.openxmlformats.org/officeDocument/2006/relationships/hyperlink" Id="rId72" Target="http://scholar.google.com/scholar_case?case=18295704577854627744" TargetMode="External" /><Relationship Type="http://schemas.openxmlformats.org/officeDocument/2006/relationships/hyperlink" Id="rId92" Target="http://scholar.google.com/scholar_case?case=2999253369158533514" TargetMode="External" /><Relationship Type="http://schemas.openxmlformats.org/officeDocument/2006/relationships/hyperlink" Id="rId83" Target="http://scholar.google.com/scholar_case?case=4186075566384380210" TargetMode="External" /><Relationship Type="http://schemas.openxmlformats.org/officeDocument/2006/relationships/hyperlink" Id="rId94" Target="http://scholar.google.com/scholar_case?case=5567597318181266157" TargetMode="External" /><Relationship Type="http://schemas.openxmlformats.org/officeDocument/2006/relationships/hyperlink" Id="rId106" Target="http://scholar.google.com/scholar_case?case=6801709773838959421" TargetMode="External" /><Relationship Type="http://schemas.openxmlformats.org/officeDocument/2006/relationships/hyperlink" Id="rId107" Target="http://scholar.google.com/scholar_case?case=8703363639063096137" TargetMode="External" /><Relationship Type="http://schemas.openxmlformats.org/officeDocument/2006/relationships/hyperlink" Id="rId65"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9"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0" Target="http://www.hollywoodreporter.com/thr-esq/ben-stein-global-warming-lawsuit-280816" TargetMode="External" /><Relationship Type="http://schemas.openxmlformats.org/officeDocument/2006/relationships/hyperlink" Id="rId67" Target="http://www.newsweek.com/you-call-nirvana-193560" TargetMode="External" /><Relationship Type="http://schemas.openxmlformats.org/officeDocument/2006/relationships/hyperlink" Id="rId74"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1" Target="http://www.thesmokinggun.com/buster/penguin-group/book-publisher-sues-over-advances-657390" TargetMode="External" /><Relationship Type="http://schemas.openxmlformats.org/officeDocument/2006/relationships/hyperlink" Id="rId62"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1" Target="https://en.wikipedia.org/wiki/Stupid_White_Men" TargetMode="External" /><Relationship Type="http://schemas.openxmlformats.org/officeDocument/2006/relationships/hyperlink" Id="rId78"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2019-01-07T15:40:20Z</dcterms:created>
  <dcterms:modified xsi:type="dcterms:W3CDTF">2019-01-07T15:40:20Z</dcterms:modified>
</cp:coreProperties>
</file>

<file path=docProps/custom.xml><?xml version="1.0" encoding="utf-8"?>
<Properties xmlns="http://schemas.openxmlformats.org/officeDocument/2006/custom-properties" xmlns:vt="http://schemas.openxmlformats.org/officeDocument/2006/docPropsVTypes"/>
</file>