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 such as we have here, there</w:t>
      </w:r>
      <w:r>
        <w:t xml:space="preserve"> </w:t>
      </w:r>
      <w:r>
        <w:t xml:space="preserve">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w:t>
      </w:r>
      <w:r>
        <w:t xml:space="preserve"> </w:t>
      </w:r>
      <w:r>
        <w:t xml:space="preserve">72 Cal. App. 214, 221), 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3"/>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1" w:name="loews-inc.v.-cole"/>
      <w:r>
        <w:rPr>
          <w:i/>
        </w:rPr>
        <w:t xml:space="preserve">Loew’s, Inc. v. Cole</w:t>
      </w:r>
      <w:bookmarkEnd w:id="51"/>
    </w:p>
    <w:p>
      <w:pPr>
        <w:pStyle w:val="Heading6"/>
      </w:pPr>
      <w:bookmarkStart w:id="52" w:name="united-states-court-of-appeals-ninth-circuit-1950."/>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2"/>
      </w:pPr>
      <w:bookmarkStart w:id="60" w:name="studio-publisher-obligations"/>
      <w:r>
        <w:t xml:space="preserve">Studio-Publisher Obligations</w:t>
      </w:r>
      <w:bookmarkEnd w:id="60"/>
    </w:p>
    <w:p>
      <w:pPr>
        <w:pStyle w:val="Heading3"/>
      </w:pPr>
      <w:bookmarkStart w:id="61" w:name="satisfactory-work-product-the-recording-industry"/>
      <w:r>
        <w:t xml:space="preserve">Satisfactory Work Product &amp; The Recording Industry</w:t>
      </w:r>
      <w:bookmarkEnd w:id="61"/>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2">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3">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4">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 and record more</w:t>
      </w:r>
      <w:r>
        <w:t xml:space="preserve"> </w:t>
      </w:r>
      <w:r>
        <w:t xml:space="preserve">“</w:t>
      </w:r>
      <w:r>
        <w:t xml:space="preserve">mature</w:t>
      </w:r>
      <w:r>
        <w:t xml:space="preserve">”</w:t>
      </w:r>
      <w:r>
        <w:t xml:space="preserve"> </w:t>
      </w:r>
      <w:r>
        <w:t xml:space="preserve">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5" w:name="satisfactory-work-product-in-the-publishing-industry"/>
      <w:r>
        <w:t xml:space="preserve">Satisfactory Work Product In The Publishing Industry</w:t>
      </w:r>
      <w:bookmarkEnd w:id="65"/>
    </w:p>
    <w:p>
      <w:pPr>
        <w:pStyle w:val="Heading4"/>
      </w:pPr>
      <w:bookmarkStart w:id="66" w:name="how-book-advances-work"/>
      <w:r>
        <w:t xml:space="preserve">How Book Advances Work</w:t>
      </w:r>
      <w:bookmarkEnd w:id="66"/>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7" w:name="harcourt-brace-jovanovich-inc.v.-goldwater-shadegg"/>
      <w:r>
        <w:rPr>
          <w:i/>
        </w:rPr>
        <w:t xml:space="preserve">Harcourt Brace Jovanovich, Inc. v. Goldwater &amp; Shadegg</w:t>
      </w:r>
      <w:bookmarkEnd w:id="67"/>
    </w:p>
    <w:p>
      <w:pPr>
        <w:pStyle w:val="Heading6"/>
      </w:pPr>
      <w:bookmarkStart w:id="68" w:name="united-states-district-court-sdny-1982"/>
      <w:r>
        <w:t xml:space="preserve">United States District Court (SDNY 1982)</w:t>
      </w:r>
      <w:bookmarkEnd w:id="68"/>
    </w:p>
    <w:p>
      <w:pPr>
        <w:pStyle w:val="Compact"/>
        <w:numPr>
          <w:numId w:val="1009"/>
          <w:ilvl w:val="0"/>
        </w:numPr>
      </w:pPr>
      <w:hyperlink r:id="rId69">
        <w:r>
          <w:rPr>
            <w:rStyle w:val="Hyperlink"/>
          </w:rPr>
          <w:t xml:space="preserve">Case on Google Scholar</w:t>
        </w:r>
      </w:hyperlink>
    </w:p>
    <w:p>
      <w:pPr>
        <w:pStyle w:val="Compact"/>
        <w:numPr>
          <w:numId w:val="1009"/>
          <w:ilvl w:val="0"/>
        </w:numPr>
      </w:pPr>
      <w:hyperlink r:id="rId70">
        <w:r>
          <w:rPr>
            <w:rStyle w:val="Hyperlink"/>
          </w:rPr>
          <w:t xml:space="preserve">Case on Westlaw</w:t>
        </w:r>
      </w:hyperlink>
    </w:p>
    <w:p>
      <w:pPr>
        <w:pStyle w:val="Compact"/>
        <w:numPr>
          <w:numId w:val="1009"/>
          <w:ilvl w:val="0"/>
        </w:numPr>
      </w:pPr>
      <w:hyperlink r:id="rId71">
        <w:r>
          <w:rPr>
            <w:rStyle w:val="Hyperlink"/>
          </w:rPr>
          <w:t xml:space="preserve">Read about it at NYTimes</w:t>
        </w:r>
      </w:hyperlink>
    </w:p>
    <w:p>
      <w:pPr>
        <w:pStyle w:val="Heading4"/>
      </w:pPr>
      <w:bookmarkStart w:id="72" w:name="opinion"/>
      <w:r>
        <w:t xml:space="preserve">OPINION</w:t>
      </w:r>
      <w:bookmarkEnd w:id="72"/>
    </w:p>
    <w:p>
      <w:pPr>
        <w:pStyle w:val="FirstParagraph"/>
      </w:pPr>
      <w:r>
        <w:t xml:space="preserve">GRIESA, District Judge.</w:t>
      </w:r>
    </w:p>
    <w:p>
      <w:pPr>
        <w:pStyle w:val="Heading4"/>
      </w:pPr>
      <w:bookmarkStart w:id="73" w:name="findings-of-fact-and-conclusions-of-law"/>
      <w:r>
        <w:t xml:space="preserve">FINDINGS OF FACT AND CONCLUSIONS OF LAW</w:t>
      </w:r>
      <w:bookmarkEnd w:id="73"/>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4" w:name="notes-on-hbj-v.-barry-goldwater"/>
      <w:r>
        <w:t xml:space="preserve">Notes on</w:t>
      </w:r>
      <w:r>
        <w:t xml:space="preserve"> </w:t>
      </w:r>
      <w:r>
        <w:rPr>
          <w:i/>
        </w:rPr>
        <w:t xml:space="preserve">HBJ v. Barry Goldwater</w:t>
      </w:r>
      <w:bookmarkEnd w:id="74"/>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5">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6" w:name="the-satisfactory-manuscript-clause"/>
      <w:r>
        <w:t xml:space="preserve">The Satisfactory Manuscript Clause</w:t>
      </w:r>
      <w:bookmarkEnd w:id="76"/>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7" w:name="modern-editors"/>
      <w:r>
        <w:t xml:space="preserve">Modern Editors</w:t>
      </w:r>
      <w:bookmarkEnd w:id="77"/>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78" w:name="doubleday-company-inc.v.-tony-curtis"/>
      <w:r>
        <w:rPr>
          <w:i/>
        </w:rPr>
        <w:t xml:space="preserve">Doubleday &amp; Company, Inc. v. Tony Curtis</w:t>
      </w:r>
      <w:bookmarkEnd w:id="78"/>
    </w:p>
    <w:p>
      <w:pPr>
        <w:pStyle w:val="Heading6"/>
      </w:pPr>
      <w:bookmarkStart w:id="79" w:name="united-states-court-of-appeals-second-circuit-1985"/>
      <w:r>
        <w:t xml:space="preserve">United States Court of Appeals Second Circuit (1985)</w:t>
      </w:r>
      <w:bookmarkEnd w:id="79"/>
    </w:p>
    <w:p>
      <w:pPr>
        <w:pStyle w:val="Compact"/>
        <w:numPr>
          <w:numId w:val="1011"/>
          <w:ilvl w:val="0"/>
        </w:numPr>
      </w:pPr>
      <w:hyperlink r:id="rId80">
        <w:r>
          <w:rPr>
            <w:rStyle w:val="Hyperlink"/>
          </w:rPr>
          <w:t xml:space="preserve">case on Google Scholar</w:t>
        </w:r>
      </w:hyperlink>
    </w:p>
    <w:p>
      <w:pPr>
        <w:pStyle w:val="Compact"/>
        <w:numPr>
          <w:numId w:val="1011"/>
          <w:ilvl w:val="0"/>
        </w:numPr>
      </w:pPr>
      <w:hyperlink r:id="rId81">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2" w:name="i."/>
      <w:r>
        <w:t xml:space="preserve">I.</w:t>
      </w:r>
      <w:bookmarkEnd w:id="82"/>
    </w:p>
    <w:p>
      <w:pPr>
        <w:pStyle w:val="Heading4"/>
      </w:pPr>
      <w:bookmarkStart w:id="83" w:name="background"/>
      <w:r>
        <w:t xml:space="preserve">BACKGROUND</w:t>
      </w:r>
      <w:bookmarkEnd w:id="83"/>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4" w:name="proceedings-in-the-district-court"/>
      <w:r>
        <w:rPr>
          <w:i/>
        </w:rPr>
        <w:t xml:space="preserve">Proceedings in the District Court</w:t>
      </w:r>
      <w:bookmarkEnd w:id="84"/>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5" w:name="the-decision-of-the-district-court"/>
      <w:r>
        <w:rPr>
          <w:i/>
        </w:rPr>
        <w:t xml:space="preserve">The Decision of the District Court</w:t>
      </w:r>
      <w:bookmarkEnd w:id="85"/>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6" w:name="ii."/>
      <w:r>
        <w:t xml:space="preserve">II.</w:t>
      </w:r>
      <w:bookmarkEnd w:id="86"/>
    </w:p>
    <w:p>
      <w:pPr>
        <w:pStyle w:val="Heading4"/>
      </w:pPr>
      <w:bookmarkStart w:id="87" w:name="discussion"/>
      <w:r>
        <w:t xml:space="preserve">DISCUSSION</w:t>
      </w:r>
      <w:bookmarkEnd w:id="87"/>
    </w:p>
    <w:p>
      <w:pPr>
        <w:pStyle w:val="Heading4"/>
      </w:pPr>
      <w:bookmarkStart w:id="88" w:name="a.-the-publishers-duty-to-perform-in-good-faith."/>
      <w:r>
        <w:t xml:space="preserve">A.</w:t>
      </w:r>
      <w:r>
        <w:t xml:space="preserve"> </w:t>
      </w:r>
      <w:r>
        <w:rPr>
          <w:i/>
        </w:rPr>
        <w:t xml:space="preserve">The Publisher’s Duty to Perform in Good Faith.</w:t>
      </w:r>
      <w:bookmarkEnd w:id="88"/>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89">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`an honest dissatisfaction with the</w:t>
      </w:r>
      <w:r>
        <w:t xml:space="preserve"> </w:t>
      </w:r>
      <w:r>
        <w:t xml:space="preserve">performance.’</w:t>
      </w:r>
      <w:r>
        <w:t xml:space="preserve">”</w:t>
      </w:r>
      <w:r>
        <w:t xml:space="preserve"> </w:t>
      </w:r>
      <w:hyperlink r:id="rId89">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0" w:name="b.-doubledays-good-faith."/>
      <w:r>
        <w:t xml:space="preserve">B.</w:t>
      </w:r>
      <w:r>
        <w:t xml:space="preserve"> </w:t>
      </w:r>
      <w:r>
        <w:rPr>
          <w:i/>
        </w:rPr>
        <w:t xml:space="preserve">Doubleday’s Good Faith.</w:t>
      </w:r>
      <w:bookmarkEnd w:id="90"/>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1">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69">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2" w:name="c.-doubledays-action-for-return-of-the-advance."/>
      <w:r>
        <w:t xml:space="preserve">C.</w:t>
      </w:r>
      <w:r>
        <w:t xml:space="preserve"> </w:t>
      </w:r>
      <w:r>
        <w:rPr>
          <w:i/>
        </w:rPr>
        <w:t xml:space="preserve">Doubleday’s Action For Return of the Advance.</w:t>
      </w:r>
      <w:bookmarkEnd w:id="92"/>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3" w:name="iii."/>
      <w:r>
        <w:t xml:space="preserve">III.</w:t>
      </w:r>
      <w:bookmarkEnd w:id="93"/>
    </w:p>
    <w:p>
      <w:pPr>
        <w:pStyle w:val="Heading4"/>
      </w:pPr>
      <w:bookmarkStart w:id="94" w:name="conclusion"/>
      <w:r>
        <w:t xml:space="preserve">CONCLUSION</w:t>
      </w:r>
      <w:bookmarkEnd w:id="94"/>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5" w:name="notes-on-doubleday-v.-tony-curtis"/>
      <w:r>
        <w:t xml:space="preserve">Notes on</w:t>
      </w:r>
      <w:r>
        <w:t xml:space="preserve"> </w:t>
      </w:r>
      <w:r>
        <w:rPr>
          <w:i/>
        </w:rPr>
        <w:t xml:space="preserve">Doubleday v. Tony Curtis</w:t>
      </w:r>
      <w:bookmarkEnd w:id="95"/>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 SKILLFULLY 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 REAL 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6" w:name="zilg-v.-prentice-hall-inc."/>
      <w:r>
        <w:rPr>
          <w:i/>
        </w:rPr>
        <w:t xml:space="preserve">Zilg v. Prentice-Hall, Inc.</w:t>
      </w:r>
      <w:bookmarkEnd w:id="96"/>
    </w:p>
    <w:p>
      <w:pPr>
        <w:pStyle w:val="Heading6"/>
      </w:pPr>
      <w:bookmarkStart w:id="97" w:name="second-circuit-court-of-appeals-1983"/>
      <w:r>
        <w:t xml:space="preserve">Second Circuit Court of Appeals (1983)</w:t>
      </w:r>
      <w:bookmarkEnd w:id="97"/>
    </w:p>
    <w:p>
      <w:pPr>
        <w:pStyle w:val="Compact"/>
        <w:numPr>
          <w:numId w:val="1013"/>
          <w:ilvl w:val="0"/>
        </w:numPr>
      </w:pPr>
      <w:hyperlink r:id="rId98">
        <w:r>
          <w:rPr>
            <w:rStyle w:val="Hyperlink"/>
          </w:rPr>
          <w:t xml:space="preserve">case on Google Scholar</w:t>
        </w:r>
      </w:hyperlink>
    </w:p>
    <w:p>
      <w:pPr>
        <w:pStyle w:val="Compact"/>
        <w:numPr>
          <w:numId w:val="1013"/>
          <w:ilvl w:val="0"/>
        </w:numPr>
      </w:pPr>
      <w:hyperlink r:id="rId99">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0" w:name="background-1"/>
      <w:r>
        <w:t xml:space="preserve">BACKGROUND</w:t>
      </w:r>
      <w:bookmarkEnd w:id="100"/>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1" w:name="discussion-1"/>
      <w:r>
        <w:t xml:space="preserve">DISCUSSION</w:t>
      </w:r>
      <w:bookmarkEnd w:id="101"/>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2" w:name="p-hs-breach-of-contract"/>
      <w:r>
        <w:t xml:space="preserve">2.</w:t>
      </w:r>
      <w:r>
        <w:t xml:space="preserve"> </w:t>
      </w:r>
      <w:r>
        <w:rPr>
          <w:i/>
        </w:rPr>
        <w:t xml:space="preserve">P-H’s Breach of Contract</w:t>
      </w:r>
      <w:bookmarkEnd w:id="102"/>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3">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4">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5" w:name="notes-on-zilg-v.-prentice-hall"/>
      <w:r>
        <w:t xml:space="preserve">Notes on</w:t>
      </w:r>
      <w:r>
        <w:t xml:space="preserve"> </w:t>
      </w:r>
      <w:r>
        <w:rPr>
          <w:i/>
        </w:rPr>
        <w:t xml:space="preserve">Zilg v. Prentice-Hall</w:t>
      </w:r>
      <w:bookmarkEnd w:id="105"/>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99">
        <w:r>
          <w:rPr>
            <w:i/>
            <w:rStyle w:val="Hyperlink"/>
          </w:rPr>
          <w:t xml:space="preserve">Zilg v. Prentice Hall, Inc.,</w:t>
        </w:r>
      </w:hyperlink>
      <w:r>
        <w:t xml:space="preserve"> </w:t>
      </w:r>
      <w:r>
        <w:t xml:space="preserve">717 F.2d 671 (2nd Cir. 1983)(</w:t>
      </w:r>
      <w:hyperlink r:id="rId106">
        <w:r>
          <w:rPr>
            <w:rStyle w:val="Hyperlink"/>
          </w:rPr>
          <w:t xml:space="preserve">nice summary of case here</w:t>
        </w:r>
      </w:hyperlink>
      <w:r>
        <w:t xml:space="preserve">).</w:t>
      </w:r>
    </w:p>
    <w:p>
      <w:pPr>
        <w:pStyle w:val="Heading2"/>
      </w:pPr>
      <w:bookmarkStart w:id="107" w:name="royalties-profits"/>
      <w:r>
        <w:t xml:space="preserve">Royalties &amp; Profits</w:t>
      </w:r>
      <w:bookmarkEnd w:id="107"/>
    </w:p>
    <w:p>
      <w:pPr>
        <w:pStyle w:val="Heading3"/>
      </w:pPr>
      <w:bookmarkStart w:id="108" w:name="book-royalties"/>
      <w:r>
        <w:t xml:space="preserve">Book Royalties</w:t>
      </w:r>
      <w:bookmarkEnd w:id="108"/>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09" w:name="hollywood-accounting"/>
      <w:r>
        <w:t xml:space="preserve">Hollywood Accounting</w:t>
      </w:r>
      <w:bookmarkEnd w:id="109"/>
    </w:p>
    <w:p>
      <w:pPr>
        <w:pStyle w:val="FirstParagraph"/>
      </w:pPr>
      <w:hyperlink r:id="rId110">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0">
        <w:r>
          <w:rPr>
            <w:rStyle w:val="Hyperlink"/>
          </w:rPr>
          <w:t xml:space="preserve">Hollywood Accounting:</w:t>
        </w:r>
      </w:hyperlink>
    </w:p>
    <w:p>
      <w:pPr>
        <w:pStyle w:val="Heading3"/>
      </w:pPr>
      <w:bookmarkStart w:id="111" w:name="buchwald-v.-paramount-pictures"/>
      <w:r>
        <w:rPr>
          <w:i/>
        </w:rPr>
        <w:t xml:space="preserve">Buchwald v. Paramount Pictures</w:t>
      </w:r>
      <w:bookmarkEnd w:id="111"/>
    </w:p>
    <w:p>
      <w:pPr>
        <w:pStyle w:val="Heading6"/>
      </w:pPr>
      <w:bookmarkStart w:id="112" w:name="superior-court-of-california-1990"/>
      <w:r>
        <w:t xml:space="preserve">Superior Court of California (1990)</w:t>
      </w:r>
      <w:bookmarkEnd w:id="112"/>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3" w:name="two-accounting-methods"/>
      <w:r>
        <w:t xml:space="preserve">Two Accounting Methods</w:t>
      </w:r>
      <w:bookmarkEnd w:id="113"/>
    </w:p>
    <w:p>
      <w:pPr>
        <w:pStyle w:val="FirstParagraph"/>
      </w:pPr>
      <w:hyperlink r:id="rId110">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0">
        <w:r>
          <w:rPr>
            <w:rStyle w:val="Hyperlink"/>
          </w:rPr>
          <w:t xml:space="preserve">read about examples of Hollywood Accounting</w:t>
        </w:r>
      </w:hyperlink>
      <w:r>
        <w:t xml:space="preserve">.</w:t>
      </w:r>
    </w:p>
    <w:p>
      <w:pPr>
        <w:pStyle w:val="Compact"/>
        <w:numPr>
          <w:numId w:val="1020"/>
          <w:ilvl w:val="0"/>
        </w:numPr>
      </w:pPr>
      <w:hyperlink r:id="rId114">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5">
        <w:r>
          <w:rPr>
            <w:rStyle w:val="Hyperlink"/>
          </w:rPr>
          <w:t xml:space="preserve">LA Times on Buchwald suit</w:t>
        </w:r>
      </w:hyperlink>
    </w:p>
    <w:p>
      <w:pPr>
        <w:pStyle w:val="Heading3"/>
      </w:pPr>
      <w:bookmarkStart w:id="116" w:name="totally-optional-readings-viewings"/>
      <w:r>
        <w:t xml:space="preserve">Totally Optional Readings &amp; Viewings</w:t>
      </w:r>
      <w:bookmarkEnd w:id="116"/>
    </w:p>
    <w:p>
      <w:pPr>
        <w:pStyle w:val="Compact"/>
        <w:numPr>
          <w:numId w:val="1021"/>
          <w:ilvl w:val="0"/>
        </w:numPr>
      </w:pPr>
      <w:hyperlink r:id="rId117">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8">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2018-03-28T12:00:23Z</dcterms:created>
  <dcterms:modified xsi:type="dcterms:W3CDTF">2018-03-28T12:00:23Z</dcterms:modified>
</cp:coreProperties>
</file>