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defamation"/>
      <w:r>
        <w:t xml:space="preserve">Defamation</w:t>
      </w:r>
      <w:bookmarkEnd w:id="23"/>
    </w:p>
    <w:p>
      <w:pPr>
        <w:pStyle w:val="FirstParagraph"/>
      </w:pPr>
      <w:r>
        <w:t xml:space="preserve">Defamation is probably as old as the human race,</w:t>
      </w:r>
      <w:r>
        <w:t xml:space="preserve"> </w:t>
      </w:r>
      <w:r>
        <w:t xml:space="preserve">an ancient wrong made modern by new and pervasive forms of communication.</w:t>
      </w:r>
      <w:r>
        <w:t xml:space="preserve"> </w:t>
      </w:r>
      <w:r>
        <w:t xml:space="preserve">False statements come in all guises in the law:</w:t>
      </w:r>
      <w:r>
        <w:t xml:space="preserve"> </w:t>
      </w:r>
      <w:r>
        <w:t xml:space="preserve">fraud, perjury, false advertising, unfair competition, and so on.</w:t>
      </w:r>
      <w:r>
        <w:t xml:space="preserve"> </w:t>
      </w:r>
      <w:r>
        <w:t xml:space="preserve">A false statement of fact that harms a person’s reputation is called defamation.</w:t>
      </w:r>
      <w:r>
        <w:t xml:space="preserve"> </w:t>
      </w:r>
      <w:r>
        <w:t xml:space="preserve">A tort.</w:t>
      </w:r>
    </w:p>
    <w:p>
      <w:pPr>
        <w:pStyle w:val="BodyText"/>
      </w:pPr>
      <w:r>
        <w:t xml:space="preserve">Artists and entertainers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her tale?</w:t>
      </w:r>
      <w:r>
        <w:t xml:space="preserve"> </w:t>
      </w:r>
      <w:r>
        <w:t xml:space="preserve">What if character in a television docu-drama (</w:t>
      </w:r>
      <w:r>
        <w:rPr>
          <w:i/>
        </w:rPr>
        <w:t xml:space="preserve">Wild Wild Country</w:t>
      </w:r>
      <w:r>
        <w:t xml:space="preserve"> </w:t>
      </w:r>
      <w:r>
        <w:t xml:space="preserve">or</w:t>
      </w:r>
      <w:r>
        <w:t xml:space="preserve"> </w:t>
      </w:r>
      <w:r>
        <w:rPr>
          <w:i/>
        </w:rPr>
        <w:t xml:space="preserve">Making A Murderer</w:t>
      </w:r>
      <w:r>
        <w:t xml:space="preserve">)</w:t>
      </w:r>
      <w:r>
        <w:t xml:space="preserve"> </w:t>
      </w:r>
      <w:r>
        <w:t xml:space="preserve">makes false statements about a living person</w:t>
      </w:r>
      <w:r>
        <w:t xml:space="preserve"> </w:t>
      </w:r>
      <w:r>
        <w:t xml:space="preserve">and harms their reputation?</w:t>
      </w:r>
    </w:p>
    <w:p>
      <w:pPr>
        <w:pStyle w:val="BodyText"/>
      </w:pPr>
      <w:r>
        <w:t xml:space="preserve">What if by telling her own story,</w:t>
      </w:r>
      <w:r>
        <w:t xml:space="preserve"> </w:t>
      </w:r>
      <w:r>
        <w:t xml:space="preserve">an author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because they purport to dramatize</w:t>
      </w:r>
      <w:r>
        <w:t xml:space="preserve"> </w:t>
      </w:r>
      <w:r>
        <w:t xml:space="preserve">“</w:t>
      </w:r>
      <w:r>
        <w:t xml:space="preserve">real</w:t>
      </w:r>
      <w:r>
        <w:t xml:space="preserve">”</w:t>
      </w:r>
      <w:r>
        <w:t xml:space="preserve"> </w:t>
      </w:r>
      <w:r>
        <w:t xml:space="preserve">events.</w:t>
      </w:r>
    </w:p>
    <w:p>
      <w:pPr>
        <w:pStyle w:val="BodyText"/>
      </w:pPr>
      <w:r>
        <w:t xml:space="preserve">What if documentary filmmakers wearing hidden microphones</w:t>
      </w:r>
      <w:r>
        <w:t xml:space="preserve"> </w:t>
      </w:r>
      <w:r>
        <w:t xml:space="preserve">and cameras make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Heading3"/>
      </w:pPr>
      <w:bookmarkStart w:id="24" w:name="restatement-2nd-torts-558"/>
      <w:r>
        <w:t xml:space="preserve">Restatement 2nd Torts § 558</w:t>
      </w:r>
      <w:bookmarkEnd w:id="24"/>
    </w:p>
    <w:p>
      <w:pPr>
        <w:pStyle w:val="Heading6"/>
      </w:pPr>
      <w:bookmarkStart w:id="25" w:name="elements-of-a-cause-of-action-for-defamation"/>
      <w:r>
        <w:t xml:space="preserve">Elements of a Cause of Action for Defamation</w:t>
      </w:r>
      <w:bookmarkEnd w:id="25"/>
    </w:p>
    <w:p>
      <w:pPr>
        <w:pStyle w:val="FirstParagraph"/>
      </w:pPr>
      <w:r>
        <w:t xml:space="preserve">To create liability for defamation there must be:</w:t>
      </w:r>
    </w:p>
    <w:p>
      <w:pPr>
        <w:pStyle w:val="Compact"/>
        <w:numPr>
          <w:numId w:val="1001"/>
          <w:ilvl w:val="0"/>
        </w:numPr>
      </w:pPr>
      <w:r>
        <w:t xml:space="preserve">a false and defamatory statement concerning another;</w:t>
      </w:r>
    </w:p>
    <w:p>
      <w:pPr>
        <w:pStyle w:val="Compact"/>
        <w:numPr>
          <w:numId w:val="1001"/>
          <w:ilvl w:val="0"/>
        </w:numPr>
      </w:pPr>
      <w:r>
        <w:t xml:space="preserve">an unprivileged publication to a third party;</w:t>
      </w:r>
    </w:p>
    <w:p>
      <w:pPr>
        <w:pStyle w:val="Compact"/>
        <w:numPr>
          <w:numId w:val="1001"/>
          <w:ilvl w:val="0"/>
        </w:numPr>
      </w:pPr>
      <w:r>
        <w:t xml:space="preserve">fault amounting at least to negligence on the part of the publisher; and</w:t>
      </w:r>
    </w:p>
    <w:p>
      <w:pPr>
        <w:pStyle w:val="Compact"/>
        <w:numPr>
          <w:numId w:val="1001"/>
          <w:ilvl w:val="0"/>
        </w:numPr>
      </w:pPr>
      <w:r>
        <w:t xml:space="preserve">either actionability of the statement irrespective of special harm or the existence of special harm caused by the publication.</w:t>
      </w:r>
    </w:p>
    <w:p>
      <w:pPr>
        <w:pStyle w:val="FirstParagraph"/>
      </w:pPr>
      <w:hyperlink r:id="rId26">
        <w:r>
          <w:rPr>
            <w:rStyle w:val="Hyperlink"/>
          </w:rPr>
          <w:t xml:space="preserve">Restatement 2nd of Torts § 558 (1977)</w:t>
        </w:r>
      </w:hyperlink>
      <w:r>
        <w:t xml:space="preserve">.</w:t>
      </w:r>
    </w:p>
    <w:p>
      <w:pPr>
        <w:pStyle w:val="Heading3"/>
      </w:pPr>
      <w:bookmarkStart w:id="27" w:name="libel-v.-slander"/>
      <w:r>
        <w:t xml:space="preserve">Libel v. Slander</w:t>
      </w:r>
      <w:bookmarkEnd w:id="27"/>
    </w:p>
    <w:p>
      <w:pPr>
        <w:pStyle w:val="FirstParagraph"/>
      </w:pPr>
      <w:r>
        <w:t xml:space="preserve">The common law origins of defamation lie in the torts of</w:t>
      </w:r>
      <w:r>
        <w:t xml:space="preserve"> </w:t>
      </w:r>
      <w:r>
        <w:t xml:space="preserve">“</w:t>
      </w:r>
      <w:r>
        <w:t xml:space="preserve">slander</w:t>
      </w:r>
      <w:r>
        <w:t xml:space="preserve">”</w:t>
      </w:r>
      <w:r>
        <w:t xml:space="preserve"> </w:t>
      </w:r>
      <w:r>
        <w:t xml:space="preserve">(a spoken harmful statement in a transient form, especially speech) and</w:t>
      </w:r>
      <w:r>
        <w:t xml:space="preserve"> </w:t>
      </w:r>
      <w:r>
        <w:t xml:space="preserve">“</w:t>
      </w:r>
      <w:r>
        <w:t xml:space="preserve">libel</w:t>
      </w:r>
      <w:r>
        <w:t xml:space="preserve">”</w:t>
      </w:r>
      <w:r>
        <w:t xml:space="preserve">, each of which gives a common law right of action.</w:t>
      </w:r>
    </w:p>
    <w:p>
      <w:pPr>
        <w:pStyle w:val="BodyText"/>
      </w:pPr>
      <w:r>
        <w:t xml:space="preserve">Two forms: Libel and slander:</w:t>
      </w:r>
    </w:p>
    <w:p>
      <w:pPr>
        <w:pStyle w:val="Compact"/>
        <w:numPr>
          <w:numId w:val="1002"/>
          <w:ilvl w:val="0"/>
        </w:numPr>
      </w:pPr>
      <w:r>
        <w:t xml:space="preserve">Libel (for a handy mnemonic, it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28" w:name="restatement-2nd-torts-559"/>
      <w:r>
        <w:t xml:space="preserve">Restatement 2nd Torts § 559</w:t>
      </w:r>
      <w:bookmarkEnd w:id="28"/>
    </w:p>
    <w:p>
      <w:pPr>
        <w:pStyle w:val="Heading6"/>
      </w:pPr>
      <w:bookmarkStart w:id="29" w:name="defamatory-communication-defined"/>
      <w:r>
        <w:t xml:space="preserve">Defamatory Communication Defined</w:t>
      </w:r>
      <w:bookmarkEnd w:id="29"/>
    </w:p>
    <w:p>
      <w:pPr>
        <w:pStyle w:val="FirstParagraph"/>
      </w:pPr>
      <w:r>
        <w:t xml:space="preserve">A communication is defamatory if it tends so to harm the reputation of another</w:t>
      </w:r>
      <w:r>
        <w:t xml:space="preserve"> </w:t>
      </w:r>
      <w:r>
        <w:t xml:space="preserve">as to lower him in the estimation of the community</w:t>
      </w:r>
      <w:r>
        <w:t xml:space="preserve"> </w:t>
      </w:r>
      <w:r>
        <w:t xml:space="preserve">or to deter third persons from associating or dealing with him.</w:t>
      </w:r>
    </w:p>
    <w:p>
      <w:pPr>
        <w:pStyle w:val="BodyText"/>
      </w:pPr>
      <w:hyperlink r:id="rId30">
        <w:r>
          <w:rPr>
            <w:rStyle w:val="Hyperlink"/>
          </w:rPr>
          <w:t xml:space="preserve">Restatement 2nd of Torts § 559 (1977)</w:t>
        </w:r>
      </w:hyperlink>
    </w:p>
    <w:p>
      <w:pPr>
        <w:pStyle w:val="Heading3"/>
      </w:pPr>
      <w:bookmarkStart w:id="31" w:name="pre-new-york-times-v.-sullivan"/>
      <w:r>
        <w:t xml:space="preserve">Pre-</w:t>
      </w:r>
      <w:r>
        <w:rPr>
          <w:i/>
        </w:rPr>
        <w:t xml:space="preserve">New York Times v. Sullivan</w:t>
      </w:r>
      <w:bookmarkEnd w:id="31"/>
    </w:p>
    <w:p>
      <w:pPr>
        <w:pStyle w:val="FirstParagraph"/>
      </w:pPr>
      <w:r>
        <w:t xml:space="preserve">First let’s look at the rules for stating a claim for defamation as they existed before</w:t>
      </w:r>
      <w:r>
        <w:t xml:space="preserve"> </w:t>
      </w:r>
      <w:hyperlink r:id="rId32">
        <w:r>
          <w:rPr>
            <w:i/>
            <w:rStyle w:val="Hyperlink"/>
          </w:rPr>
          <w:t xml:space="preserve">New York Time v. Sullivan</w:t>
        </w:r>
      </w:hyperlink>
      <w:r>
        <w:t xml:space="preserve"> </w:t>
      </w:r>
      <w:r>
        <w:t xml:space="preserve">(US 1968).</w:t>
      </w:r>
    </w:p>
    <w:p>
      <w:pPr>
        <w:pStyle w:val="BodyText"/>
      </w:pPr>
      <w:r>
        <w:t xml:space="preserve">A plaintiff suing for defamation had to prove:</w:t>
      </w:r>
    </w:p>
    <w:p>
      <w:pPr>
        <w:pStyle w:val="Compact"/>
        <w:numPr>
          <w:numId w:val="1003"/>
          <w:ilvl w:val="0"/>
        </w:numPr>
      </w:pPr>
      <w:r>
        <w:t xml:space="preserve">A statement had been made about the plaintiff;</w:t>
      </w:r>
    </w:p>
    <w:p>
      <w:pPr>
        <w:pStyle w:val="Compact"/>
        <w:numPr>
          <w:numId w:val="1003"/>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3"/>
          <w:ilvl w:val="0"/>
        </w:numPr>
      </w:pPr>
      <w:r>
        <w:t xml:space="preserve">The statement was false (presumed at common law);</w:t>
      </w:r>
    </w:p>
    <w:p>
      <w:pPr>
        <w:pStyle w:val="Compact"/>
        <w:numPr>
          <w:numId w:val="1003"/>
          <w:ilvl w:val="0"/>
        </w:numPr>
      </w:pPr>
      <w:r>
        <w:t xml:space="preserve">The statement harmed the subject’s reputation by lowering his or her standing in at least some part of the community.</w:t>
      </w:r>
    </w:p>
    <w:p>
      <w:pPr>
        <w:pStyle w:val="Heading3"/>
      </w:pPr>
      <w:bookmarkStart w:id="33" w:name="defamation-per-se"/>
      <w:r>
        <w:t xml:space="preserve">Defamation Per Se</w:t>
      </w:r>
      <w:bookmarkEnd w:id="33"/>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w:t>
      </w:r>
      <w:r>
        <w:t xml:space="preserve"> </w:t>
      </w:r>
      <w:r>
        <w:rPr>
          <w:i/>
        </w:rPr>
        <w:t xml:space="preserve">per se</w:t>
      </w:r>
      <w:r>
        <w:t xml:space="preserve"> </w:t>
      </w:r>
      <w:r>
        <w:t xml:space="preserve">where they falsely impute to the plaintiff one or more of the following:</w:t>
      </w:r>
    </w:p>
    <w:p>
      <w:pPr>
        <w:pStyle w:val="Compact"/>
        <w:numPr>
          <w:numId w:val="1004"/>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4"/>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4"/>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4">
        <w:r>
          <w:rPr>
            <w:rStyle w:val="Hyperlink"/>
          </w:rPr>
          <w:t xml:space="preserve">moral turpitude</w:t>
        </w:r>
      </w:hyperlink>
      <w:r>
        <w:t xml:space="preserve">)</w:t>
      </w:r>
    </w:p>
    <w:p>
      <w:pPr>
        <w:pStyle w:val="Heading3"/>
      </w:pPr>
      <w:bookmarkStart w:id="35" w:name="defamation-meets-first-amendment"/>
      <w:r>
        <w:t xml:space="preserve">Defamation Meets First Amendment</w:t>
      </w:r>
      <w:bookmarkEnd w:id="35"/>
    </w:p>
    <w:p>
      <w:pPr>
        <w:pStyle w:val="FirstParagraph"/>
      </w:pPr>
      <w:r>
        <w:t xml:space="preserve">Sometimes called the constitutionalization of defamation law,</w:t>
      </w:r>
      <w:r>
        <w:t xml:space="preserve"> </w:t>
      </w:r>
      <w:hyperlink r:id="rId32">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2"/>
      </w:pPr>
      <w:bookmarkStart w:id="36" w:name="new-york-times-v.-sullivan"/>
      <w:r>
        <w:rPr>
          <w:i/>
        </w:rPr>
        <w:t xml:space="preserve">New York Times v. Sullivan</w:t>
      </w:r>
      <w:bookmarkEnd w:id="36"/>
    </w:p>
    <w:p>
      <w:pPr>
        <w:pStyle w:val="Heading6"/>
      </w:pPr>
      <w:bookmarkStart w:id="37" w:name="us-supreme-court-1964"/>
      <w:r>
        <w:t xml:space="preserve">US Supreme Court 1964</w:t>
      </w:r>
      <w:bookmarkEnd w:id="37"/>
    </w:p>
    <w:p>
      <w:pPr>
        <w:pStyle w:val="Compact"/>
        <w:numPr>
          <w:numId w:val="1005"/>
          <w:ilvl w:val="0"/>
        </w:numPr>
      </w:pPr>
      <w:hyperlink r:id="rId38">
        <w:r>
          <w:rPr>
            <w:i/>
            <w:rStyle w:val="Hyperlink"/>
          </w:rPr>
          <w:t xml:space="preserve">New York Times Co. v. Sullivan</w:t>
        </w:r>
      </w:hyperlink>
      <w:r>
        <w:t xml:space="preserve"> </w:t>
      </w:r>
      <w:r>
        <w:t xml:space="preserve">(US 1964).</w:t>
      </w:r>
    </w:p>
    <w:p>
      <w:pPr>
        <w:pStyle w:val="Compact"/>
        <w:numPr>
          <w:numId w:val="1005"/>
          <w:ilvl w:val="0"/>
        </w:numPr>
      </w:pPr>
      <w:hyperlink r:id="rId39">
        <w:r>
          <w:rPr>
            <w:rStyle w:val="Hyperlink"/>
          </w:rPr>
          <w:t xml:space="preserve">Wikipedia</w:t>
        </w:r>
      </w:hyperlink>
      <w:r>
        <w:t xml:space="preserve">.</w:t>
      </w:r>
    </w:p>
    <w:p>
      <w:pPr>
        <w:pStyle w:val="Compact"/>
        <w:numPr>
          <w:numId w:val="1005"/>
          <w:ilvl w:val="0"/>
        </w:numPr>
      </w:pPr>
      <w:hyperlink r:id="rId40">
        <w:r>
          <w:rPr>
            <w:rStyle w:val="Hyperlink"/>
          </w:rPr>
          <w:t xml:space="preserve">NYTimes Editorial: The Uninhibited Press 50 Years Later</w:t>
        </w:r>
      </w:hyperlink>
      <w:r>
        <w:t xml:space="preserve">.</w:t>
      </w:r>
    </w:p>
    <w:p>
      <w:pPr>
        <w:pStyle w:val="CaptionedFigure"/>
      </w:pPr>
      <w:r>
        <w:drawing>
          <wp:inline>
            <wp:extent cx="5334000" cy="8033262"/>
            <wp:effectExtent b="0" l="0" r="0" t="0"/>
            <wp:docPr descr="heed" title="" id="1" name="Picture"/>
            <a:graphic>
              <a:graphicData uri="http://schemas.openxmlformats.org/drawingml/2006/picture">
                <pic:pic>
                  <pic:nvPicPr>
                    <pic:cNvPr descr="https://www.archives.gov/exhibits/documented-rights/exhibit/section4/detail/images/heed-rising-voices.jpg" id="0" name="Picture"/>
                    <pic:cNvPicPr>
                      <a:picLocks noChangeArrowheads="1" noChangeAspect="1"/>
                    </pic:cNvPicPr>
                  </pic:nvPicPr>
                  <pic:blipFill>
                    <a:blip r:embed="rId41"/>
                    <a:stretch>
                      <a:fillRect/>
                    </a:stretch>
                  </pic:blipFill>
                  <pic:spPr bwMode="auto">
                    <a:xfrm>
                      <a:off x="0" y="0"/>
                      <a:ext cx="5334000" cy="8033262"/>
                    </a:xfrm>
                    <a:prstGeom prst="rect">
                      <a:avLst/>
                    </a:prstGeom>
                    <a:noFill/>
                    <a:ln w="9525">
                      <a:noFill/>
                      <a:headEnd/>
                      <a:tailEnd/>
                    </a:ln>
                  </pic:spPr>
                </pic:pic>
              </a:graphicData>
            </a:graphic>
          </wp:inline>
        </w:drawing>
      </w:r>
    </w:p>
    <w:p>
      <w:pPr>
        <w:pStyle w:val="ImageCaption"/>
      </w:pPr>
      <w:r>
        <w:t xml:space="preserve">heed</w:t>
      </w:r>
    </w:p>
    <w:p>
      <w:pPr>
        <w:pStyle w:val="Compact"/>
        <w:numPr>
          <w:numId w:val="1006"/>
          <w:ilvl w:val="0"/>
        </w:numPr>
      </w:pPr>
      <w:hyperlink r:id="rId42">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6"/>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 </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3"/>
      </w:pPr>
      <w:bookmarkStart w:id="44" w:name="lawsuits-over-false-statements-of-fact"/>
      <w:r>
        <w:t xml:space="preserve">Lawsuits Over False Statements of Fact</w:t>
      </w:r>
      <w:bookmarkEnd w:id="44"/>
    </w:p>
    <w:p>
      <w:pPr>
        <w:pStyle w:val="FirstParagraph"/>
      </w:pPr>
      <w:r>
        <w:t xml:space="preserve">In the wake of</w:t>
      </w:r>
      <w:r>
        <w:t xml:space="preserve"> </w:t>
      </w:r>
      <w:hyperlink r:id="rId32">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7"/>
          <w:ilvl w:val="0"/>
        </w:numPr>
      </w:pPr>
      <w:r>
        <w:t xml:space="preserve">Private Figures (Ordinary People)</w:t>
      </w:r>
    </w:p>
    <w:p>
      <w:pPr>
        <w:pStyle w:val="Compact"/>
        <w:numPr>
          <w:numId w:val="1007"/>
          <w:ilvl w:val="0"/>
        </w:numPr>
      </w:pPr>
      <w:r>
        <w:t xml:space="preserve">Public Officials (Politicians)</w:t>
      </w:r>
    </w:p>
    <w:p>
      <w:pPr>
        <w:pStyle w:val="Compact"/>
        <w:numPr>
          <w:numId w:val="1007"/>
          <w:ilvl w:val="0"/>
        </w:numPr>
      </w:pPr>
      <w:r>
        <w:t xml:space="preserve">Public Figures (Celebrities)</w:t>
      </w:r>
    </w:p>
    <w:p>
      <w:pPr>
        <w:pStyle w:val="Compact"/>
        <w:numPr>
          <w:numId w:val="1007"/>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Heading3"/>
      </w:pPr>
      <w:bookmarkStart w:id="46" w:name="a-defamation-of-public-official-or-public-figure"/>
      <w:r>
        <w:t xml:space="preserve">§ 580A Defamation of Public Official or Public Figure</w:t>
      </w:r>
      <w:bookmarkEnd w:id="46"/>
    </w:p>
    <w:p>
      <w:pPr>
        <w:pStyle w:val="FirstParagraph"/>
      </w:pPr>
      <w:r>
        <w:t xml:space="preserve">One who publishes a false and defamatory communication concerning a public official or public figure in regard to his conduct, fitness or role in that capacity is subject to liability, if, but only if, he</w:t>
      </w:r>
    </w:p>
    <w:p>
      <w:pPr>
        <w:pStyle w:val="Compact"/>
        <w:numPr>
          <w:numId w:val="1008"/>
          <w:ilvl w:val="0"/>
        </w:numPr>
      </w:pPr>
      <w:r>
        <w:t xml:space="preserve">knows that the statement is false and that it defames the other person, or</w:t>
      </w:r>
    </w:p>
    <w:p>
      <w:pPr>
        <w:pStyle w:val="Compact"/>
        <w:numPr>
          <w:numId w:val="1008"/>
          <w:ilvl w:val="0"/>
        </w:numPr>
      </w:pPr>
      <w:r>
        <w:t xml:space="preserve">acts in reckless disregard of these matters.</w:t>
      </w:r>
    </w:p>
    <w:p>
      <w:pPr>
        <w:pStyle w:val="Heading3"/>
      </w:pPr>
      <w:bookmarkStart w:id="47" w:name="actual-malice"/>
      <w:r>
        <w:t xml:space="preserve">Actual Malice</w:t>
      </w:r>
      <w:bookmarkEnd w:id="47"/>
    </w:p>
    <w:p>
      <w:pPr>
        <w:pStyle w:val="FirstParagraph"/>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BodyText"/>
      </w:pPr>
      <w:hyperlink r:id="rId48">
        <w:r>
          <w:rPr>
            <w:rStyle w:val="Hyperlink"/>
          </w:rPr>
          <w:t xml:space="preserve">Restatement 2nd of Torts § 580A (1977)</w:t>
        </w:r>
      </w:hyperlink>
      <w:r>
        <w:t xml:space="preserve">(Defamation of Public Official or Public Figure).</w:t>
      </w:r>
    </w:p>
    <w:p>
      <w:pPr>
        <w:pStyle w:val="Heading3"/>
      </w:pPr>
      <w:bookmarkStart w:id="49" w:name="complexity"/>
      <w:r>
        <w:t xml:space="preserve">Complexity</w:t>
      </w:r>
      <w:bookmarkEnd w:id="49"/>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0">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0">
        <w:r>
          <w:rPr>
            <w:i/>
            <w:rStyle w:val="Hyperlink"/>
          </w:rPr>
          <w:t xml:space="preserve">Philadelphia Newspapers, Inc. v. Hepps.</w:t>
        </w:r>
      </w:hyperlink>
      <w:r>
        <w:t xml:space="preserve"> </w:t>
      </w:r>
      <w:r>
        <w:t xml:space="preserve">(US 1986).</w:t>
      </w:r>
    </w:p>
    <w:p>
      <w:pPr>
        <w:pStyle w:val="BodyText"/>
      </w:pPr>
      <w:r>
        <w:t xml:space="preserve">And that’s just state and federal law in the United States.</w:t>
      </w:r>
    </w:p>
    <w:p>
      <w:pPr>
        <w:pStyle w:val="Heading4"/>
      </w:pPr>
      <w:bookmarkStart w:id="51" w:name="international-comparisons"/>
      <w:r>
        <w:t xml:space="preserve">International Comparisons</w:t>
      </w:r>
      <w:bookmarkEnd w:id="51"/>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2">
        <w:r>
          <w:rPr>
            <w:i/>
            <w:rStyle w:val="Hyperlink"/>
          </w:rPr>
          <w:t xml:space="preserve">Derbyshire County Council v. Times Newspapers Ltd</w:t>
        </w:r>
      </w:hyperlink>
      <w:r>
        <w:t xml:space="preserve"> </w:t>
      </w:r>
      <w:r>
        <w:t xml:space="preserve">(1993), and it was also rejected in Canada in</w:t>
      </w:r>
      <w:r>
        <w:t xml:space="preserve"> </w:t>
      </w:r>
      <w:hyperlink r:id="rId53">
        <w:r>
          <w:rPr>
            <w:i/>
            <w:rStyle w:val="Hyperlink"/>
          </w:rPr>
          <w:t xml:space="preserve">Hill v. Church of Scientology of Toronto</w:t>
        </w:r>
      </w:hyperlink>
      <w:r>
        <w:t xml:space="preserve"> </w:t>
      </w:r>
      <w:r>
        <w:t xml:space="preserve">(1995), and more recently in</w:t>
      </w:r>
      <w:r>
        <w:t xml:space="preserve"> </w:t>
      </w:r>
      <w:hyperlink r:id="rId54">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5">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6">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7" w:name="davis-v.-constantin-costa-gavras"/>
      <w:r>
        <w:rPr>
          <w:i/>
        </w:rPr>
        <w:t xml:space="preserve">Davis v. Constantin Costa-Gavras</w:t>
      </w:r>
      <w:bookmarkEnd w:id="57"/>
    </w:p>
    <w:p>
      <w:pPr>
        <w:pStyle w:val="Heading6"/>
      </w:pPr>
      <w:bookmarkStart w:id="58" w:name="us-district-court-s.d.-new-york-1987"/>
      <w:r>
        <w:t xml:space="preserve">US District Court, S.D. New York (1987)</w:t>
      </w:r>
      <w:bookmarkEnd w:id="58"/>
    </w:p>
    <w:p>
      <w:pPr>
        <w:pStyle w:val="Compact"/>
        <w:numPr>
          <w:numId w:val="1009"/>
          <w:ilvl w:val="0"/>
        </w:numPr>
      </w:pPr>
      <w:hyperlink r:id="rId59">
        <w:r>
          <w:rPr>
            <w:rStyle w:val="Hyperlink"/>
          </w:rPr>
          <w:t xml:space="preserve">case at Google Scholar</w:t>
        </w:r>
      </w:hyperlink>
    </w:p>
    <w:p>
      <w:pPr>
        <w:pStyle w:val="Compact"/>
        <w:numPr>
          <w:numId w:val="1009"/>
          <w:ilvl w:val="0"/>
        </w:numPr>
      </w:pPr>
      <w:hyperlink r:id="rId60">
        <w:r>
          <w:rPr>
            <w:rStyle w:val="Hyperlink"/>
          </w:rPr>
          <w:t xml:space="preserve">case at Westlaw</w:t>
        </w:r>
      </w:hyperlink>
    </w:p>
    <w:p>
      <w:pPr>
        <w:pStyle w:val="Compact"/>
        <w:numPr>
          <w:numId w:val="1009"/>
          <w:ilvl w:val="0"/>
        </w:numPr>
      </w:pPr>
      <w:hyperlink r:id="rId61">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62">
        <w:r>
          <w:rPr>
            <w:i/>
            <w:rStyle w:val="Hyperlink"/>
          </w:rPr>
          <w:t xml:space="preserve">St. Amant v. Thompson</w:t>
        </w:r>
        <w:r>
          <w:rPr>
            <w:rStyle w:val="Hyperlink"/>
          </w:rPr>
          <w:t xml:space="preserve"> </w:t>
        </w:r>
        <w:r>
          <w:rPr>
            <w:rStyle w:val="Hyperlink"/>
          </w:rPr>
          <w:t xml:space="preserve">(US 1968.)</w:t>
        </w:r>
      </w:hyperlink>
    </w:p>
    <w:p>
      <w:pPr>
        <w:pStyle w:val="Heading3"/>
      </w:pPr>
      <w:bookmarkStart w:id="63" w:name="designated-evidence-offered-by-plaintiff"/>
      <w:r>
        <w:rPr>
          <w:i/>
        </w:rPr>
        <w:t xml:space="preserve">Designated Evidence Offered by Plaintiff</w:t>
      </w:r>
      <w:bookmarkEnd w:id="63"/>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10"/>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10"/>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10"/>
          <w:ilvl w:val="0"/>
        </w:numPr>
      </w:pPr>
      <w:r>
        <w:t xml:space="preserve">that defendants never consulted with plaintiff on the facts presented in the film; and</w:t>
      </w:r>
    </w:p>
    <w:p>
      <w:pPr>
        <w:pStyle w:val="Compact"/>
        <w:numPr>
          <w:numId w:val="1010"/>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r>
        <w:t xml:space="preserve">A.</w:t>
      </w:r>
      <w:r>
        <w:t xml:space="preserve"> </w:t>
      </w:r>
      <w:r>
        <w:rPr>
          <w:i/>
        </w:rPr>
        <w:t xml:space="preserve">The Thesis of the Film</w:t>
      </w:r>
      <w:bookmarkEnd w:id="64"/>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5" w:name="b.-defendants-reliance-on-hausers-book"/>
      <w:r>
        <w:t xml:space="preserve">B.</w:t>
      </w:r>
      <w:r>
        <w:t xml:space="preserve"> </w:t>
      </w:r>
      <w:r>
        <w:rPr>
          <w:i/>
        </w:rPr>
        <w:t xml:space="preserve">Defendants’ Reliance on Hauser’s Book</w:t>
      </w:r>
      <w:bookmarkEnd w:id="65"/>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6">
        <w:r>
          <w:rPr>
            <w:i/>
            <w:rStyle w:val="Hyperlink"/>
          </w:rPr>
          <w:t xml:space="preserve">Gertz v. Robert Welch</w:t>
        </w:r>
      </w:hyperlink>
      <w:r>
        <w:t xml:space="preserve"> </w:t>
      </w:r>
      <w:r>
        <w:t xml:space="preserve">(US 1974),</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7">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62">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8" w:name="c.-failure-to-consult-plaintiff-prior-to-making-film"/>
      <w:r>
        <w:t xml:space="preserve">C.</w:t>
      </w:r>
      <w:r>
        <w:t xml:space="preserve"> </w:t>
      </w:r>
      <w:r>
        <w:rPr>
          <w:i/>
        </w:rPr>
        <w:t xml:space="preserve">Failure to Consult Plaintiff Prior to Making Film</w:t>
      </w:r>
      <w:bookmarkEnd w:id="68"/>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9">
        <w:r>
          <w:rPr>
            <w:i/>
            <w:rStyle w:val="Hyperlink"/>
          </w:rPr>
          <w:t xml:space="preserve">Vandenburg v. Newsweek, Inc.</w:t>
        </w:r>
        <w:r>
          <w:rPr>
            <w:rStyle w:val="Hyperlink"/>
          </w:rPr>
          <w:t xml:space="preserve"> </w:t>
        </w:r>
        <w:r>
          <w:rPr>
            <w:rStyle w:val="Hyperlink"/>
          </w:rPr>
          <w:t xml:space="preserve">(5th Cir. 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2">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70">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 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71"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71"/>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2">
        <w:r>
          <w:rPr>
            <w:i/>
            <w:rStyle w:val="Hyperlink"/>
          </w:rPr>
          <w:t xml:space="preserve">Street v. National Broadcasting Co.</w:t>
        </w:r>
      </w:hyperlink>
      <w:r>
        <w:t xml:space="preserve">,</w:t>
      </w:r>
      <w:r>
        <w:t xml:space="preserve"> </w:t>
      </w:r>
      <w:r>
        <w:t xml:space="preserve">(6th Cir. 1981), the 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2">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3">
        <w:r>
          <w:rPr>
            <w:i/>
            <w:rStyle w:val="Hyperlink"/>
          </w:rPr>
          <w:t xml:space="preserve">Hotchner v. Castillo-Puche</w:t>
        </w:r>
      </w:hyperlink>
      <w:r>
        <w:t xml:space="preserve"> </w:t>
      </w:r>
      <w:r>
        <w:t xml:space="preserve">(2d Cir. 1977).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73">
        <w:r>
          <w:rPr>
            <w:i/>
            <w:rStyle w:val="Hyperlink"/>
          </w:rPr>
          <w:t xml:space="preserve">Hotchner</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p>
      <w:pPr>
        <w:pStyle w:val="Heading4"/>
      </w:pPr>
      <w:bookmarkStart w:id="74" w:name="conclusion"/>
      <w:r>
        <w:rPr>
          <w:i/>
        </w:rPr>
        <w:t xml:space="preserve">Conclusion</w:t>
      </w:r>
      <w:bookmarkEnd w:id="74"/>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3"/>
      </w:pPr>
      <w:bookmarkStart w:id="75" w:name="appendix"/>
      <w:r>
        <w:t xml:space="preserve">APPENDIX</w:t>
      </w:r>
      <w:bookmarkEnd w:id="75"/>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4"/>
      </w:pPr>
      <w:bookmarkStart w:id="76" w:name="initial-embassy-scene"/>
      <w:r>
        <w:t xml:space="preserve">1.</w:t>
      </w:r>
      <w:r>
        <w:t xml:space="preserve"> </w:t>
      </w:r>
      <w:r>
        <w:rPr>
          <w:i/>
        </w:rPr>
        <w:t xml:space="preserve">Initial Embassy Scene</w:t>
      </w:r>
      <w:bookmarkEnd w:id="76"/>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4"/>
      </w:pPr>
      <w:bookmarkStart w:id="77" w:name="the-hotel-meeting"/>
      <w:r>
        <w:t xml:space="preserve">2.</w:t>
      </w:r>
      <w:r>
        <w:t xml:space="preserve"> </w:t>
      </w:r>
      <w:r>
        <w:rPr>
          <w:i/>
        </w:rPr>
        <w:t xml:space="preserve">The Hotel Meeting</w:t>
      </w:r>
      <w:bookmarkEnd w:id="77"/>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4"/>
      </w:pPr>
      <w:bookmarkStart w:id="78" w:name="the-stadium"/>
      <w:r>
        <w:t xml:space="preserve">3.</w:t>
      </w:r>
      <w:r>
        <w:t xml:space="preserve"> </w:t>
      </w:r>
      <w:r>
        <w:rPr>
          <w:i/>
        </w:rPr>
        <w:t xml:space="preserve">The Stadium</w:t>
      </w:r>
      <w:bookmarkEnd w:id="78"/>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4"/>
      </w:pPr>
      <w:bookmarkStart w:id="79" w:name="the-final-embassy-meeting"/>
      <w:r>
        <w:t xml:space="preserve">4.</w:t>
      </w:r>
      <w:r>
        <w:t xml:space="preserve"> </w:t>
      </w:r>
      <w:r>
        <w:rPr>
          <w:i/>
        </w:rPr>
        <w:t xml:space="preserve">The Final Embassy Meeting</w:t>
      </w:r>
      <w:bookmarkEnd w:id="79"/>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4"/>
      </w:pPr>
      <w:bookmarkStart w:id="80" w:name="the-airport-scene"/>
      <w:r>
        <w:t xml:space="preserve">5.</w:t>
      </w:r>
      <w:r>
        <w:t xml:space="preserve"> </w:t>
      </w:r>
      <w:r>
        <w:rPr>
          <w:i/>
        </w:rPr>
        <w:t xml:space="preserve">The Airport Scene</w:t>
      </w:r>
      <w:bookmarkEnd w:id="80"/>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4"/>
      </w:pPr>
      <w:bookmarkStart w:id="81" w:name="the-bathroom-scene"/>
      <w:r>
        <w:t xml:space="preserve">6.</w:t>
      </w:r>
      <w:r>
        <w:t xml:space="preserve"> </w:t>
      </w:r>
      <w:r>
        <w:rPr>
          <w:i/>
        </w:rPr>
        <w:t xml:space="preserve">The Bathroom Scene</w:t>
      </w:r>
      <w:bookmarkEnd w:id="81"/>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4"/>
      </w:pPr>
      <w:bookmarkStart w:id="82" w:name="the-meeting-with-paris"/>
      <w:r>
        <w:t xml:space="preserve">7.</w:t>
      </w:r>
      <w:r>
        <w:t xml:space="preserve"> </w:t>
      </w:r>
      <w:r>
        <w:rPr>
          <w:i/>
        </w:rPr>
        <w:t xml:space="preserve">The Meeting with Paris</w:t>
      </w:r>
      <w:bookmarkEnd w:id="82"/>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4"/>
      </w:pPr>
      <w:bookmarkStart w:id="83" w:name="the-mafia-speech"/>
      <w:r>
        <w:t xml:space="preserve">8.</w:t>
      </w:r>
      <w:r>
        <w:t xml:space="preserve"> </w:t>
      </w:r>
      <w:r>
        <w:rPr>
          <w:i/>
        </w:rPr>
        <w:t xml:space="preserve">The Mafia Speech</w:t>
      </w:r>
      <w:bookmarkEnd w:id="83"/>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4"/>
      </w:pPr>
      <w:bookmarkStart w:id="84" w:name="the-telephone-repair-scene"/>
      <w:r>
        <w:t xml:space="preserve">9.</w:t>
      </w:r>
      <w:r>
        <w:t xml:space="preserve"> </w:t>
      </w:r>
      <w:r>
        <w:rPr>
          <w:i/>
        </w:rPr>
        <w:t xml:space="preserve">The Telephone Repair Scene</w:t>
      </w:r>
      <w:bookmarkEnd w:id="84"/>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5" w:name="public-figures"/>
      <w:r>
        <w:t xml:space="preserve">Public Figures</w:t>
      </w:r>
      <w:r>
        <w:t xml:space="preserve"> </w:t>
      </w:r>
      <w:bookmarkEnd w:id="85"/>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1"/>
          <w:ilvl w:val="0"/>
        </w:numPr>
      </w:pPr>
      <w:r>
        <w:t xml:space="preserve">General-purpose public figures;</w:t>
      </w:r>
    </w:p>
    <w:p>
      <w:pPr>
        <w:pStyle w:val="Compact"/>
        <w:numPr>
          <w:numId w:val="1011"/>
          <w:ilvl w:val="0"/>
        </w:numPr>
      </w:pPr>
      <w:r>
        <w:t xml:space="preserve">Limited-purpose public figures;</w:t>
      </w:r>
    </w:p>
    <w:p>
      <w:pPr>
        <w:pStyle w:val="Compact"/>
        <w:numPr>
          <w:numId w:val="1011"/>
          <w:ilvl w:val="0"/>
        </w:numPr>
      </w:pPr>
      <w:r>
        <w:t xml:space="preserve">Involuntary public figures.</w:t>
      </w:r>
    </w:p>
    <w:p>
      <w:pPr>
        <w:pStyle w:val="Heading4"/>
      </w:pPr>
      <w:bookmarkStart w:id="86" w:name="general-purpose-public-figures."/>
      <w:r>
        <w:t xml:space="preserve">General Purpose Public Figures.</w:t>
      </w:r>
      <w:bookmarkEnd w:id="86"/>
    </w:p>
    <w:p>
      <w:pPr>
        <w:pStyle w:val="FirstParagraph"/>
      </w:pPr>
      <w:r>
        <w:t xml:space="preserve">These are easy to spot, as the D.C. Circuit put it in</w:t>
      </w:r>
      <w:r>
        <w:t xml:space="preserve"> </w:t>
      </w:r>
      <w:hyperlink r:id="rId87">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8" w:name="limited-purpose-public-figure"/>
      <w:r>
        <w:t xml:space="preserve">Limited-Purpose Public Figure</w:t>
      </w:r>
      <w:bookmarkEnd w:id="88"/>
    </w:p>
    <w:p>
      <w:pPr>
        <w:pStyle w:val="FirstParagraph"/>
      </w:pPr>
      <w:r>
        <w:t xml:space="preserve">In its leading opinion on public</w:t>
      </w:r>
      <w:r>
        <w:t xml:space="preserve"> </w:t>
      </w:r>
      <w:r>
        <w:rPr>
          <w:i/>
        </w:rPr>
        <w:t xml:space="preserve">figures</w:t>
      </w:r>
      <w:r>
        <w:t xml:space="preserve">,</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 as opposed to public</w:t>
      </w:r>
      <w:r>
        <w:t xml:space="preserve"> </w:t>
      </w:r>
      <w:r>
        <w:rPr>
          <w:i/>
        </w:rPr>
        <w:t xml:space="preserve">officials</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2"/>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2"/>
          <w:ilvl w:val="0"/>
        </w:numPr>
      </w:pPr>
      <w:r>
        <w:t xml:space="preserve">The plaintiff must have more than a trivial or tangential role in the controversy; and,</w:t>
      </w:r>
    </w:p>
    <w:p>
      <w:pPr>
        <w:pStyle w:val="Compact"/>
        <w:numPr>
          <w:numId w:val="1012"/>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3"/>
          <w:ilvl w:val="0"/>
        </w:numPr>
      </w:pPr>
      <w:r>
        <w:t xml:space="preserve">Successfully invited public attention to his views in an effort to influence others prior to the incident that is the subject of litigation;</w:t>
      </w:r>
    </w:p>
    <w:p>
      <w:pPr>
        <w:pStyle w:val="Compact"/>
        <w:numPr>
          <w:numId w:val="1013"/>
          <w:ilvl w:val="0"/>
        </w:numPr>
      </w:pPr>
      <w:r>
        <w:t xml:space="preserve">Voluntarily injected himself into a public controversy related to the subject of the litigation;</w:t>
      </w:r>
    </w:p>
    <w:p>
      <w:pPr>
        <w:pStyle w:val="Compact"/>
        <w:numPr>
          <w:numId w:val="1013"/>
          <w:ilvl w:val="0"/>
        </w:numPr>
      </w:pPr>
      <w:r>
        <w:t xml:space="preserve">Assumed a position of prominence in the public controversy; and</w:t>
      </w:r>
    </w:p>
    <w:p>
      <w:pPr>
        <w:pStyle w:val="Compact"/>
        <w:numPr>
          <w:numId w:val="1013"/>
          <w:ilvl w:val="0"/>
        </w:numPr>
      </w:pPr>
      <w:r>
        <w:t xml:space="preserve">Maintained regular and continuing access to the media.</w:t>
      </w:r>
    </w:p>
    <w:p>
      <w:pPr>
        <w:pStyle w:val="FirstParagraph"/>
      </w:pPr>
      <w:hyperlink r:id="rId89">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pStyle w:val="Compact"/>
        <w:numPr>
          <w:numId w:val="1014"/>
          <w:ilvl w:val="0"/>
        </w:numPr>
      </w:pPr>
      <w:r>
        <w:t xml:space="preserve">First, the court must identify the relevant controversy and determine whether it is a public controversy.</w:t>
      </w:r>
    </w:p>
    <w:p>
      <w:pPr>
        <w:pStyle w:val="Compact"/>
        <w:numPr>
          <w:numId w:val="1014"/>
          <w:ilvl w:val="0"/>
        </w:numPr>
      </w:pPr>
      <w:r>
        <w:t xml:space="preserve">Second, the plaintiff must have played a significant role in that controversy.</w:t>
      </w:r>
    </w:p>
    <w:p>
      <w:pPr>
        <w:pStyle w:val="Compact"/>
        <w:numPr>
          <w:numId w:val="1014"/>
          <w:ilvl w:val="0"/>
        </w:numPr>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90" w:name="involuntary-public-figures"/>
      <w:r>
        <w:t xml:space="preserve">Involuntary Public Figures</w:t>
      </w:r>
      <w:bookmarkEnd w:id="90"/>
    </w:p>
    <w:p>
      <w:pPr>
        <w:pStyle w:val="FirstParagraph"/>
      </w:pPr>
      <w:r>
        <w:t xml:space="preserve">Some read</w:t>
      </w:r>
      <w:r>
        <w:t xml:space="preserve"> </w:t>
      </w:r>
      <w:hyperlink r:id="rId66">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91" w:name="street-v.-national-broadcasting-co."/>
      <w:r>
        <w:rPr>
          <w:i/>
        </w:rPr>
        <w:t xml:space="preserve">Street v. National Broadcasting Co.</w:t>
      </w:r>
      <w:bookmarkEnd w:id="91"/>
    </w:p>
    <w:p>
      <w:pPr>
        <w:pStyle w:val="Heading6"/>
      </w:pPr>
      <w:bookmarkStart w:id="92" w:name="th-circuit-1981"/>
      <w:r>
        <w:t xml:space="preserve">(6th Circuit 1981)</w:t>
      </w:r>
      <w:bookmarkEnd w:id="92"/>
    </w:p>
    <w:p>
      <w:pPr>
        <w:pStyle w:val="Compact"/>
        <w:numPr>
          <w:numId w:val="1015"/>
          <w:ilvl w:val="0"/>
        </w:numPr>
      </w:pPr>
      <w:hyperlink r:id="rId93">
        <w:r>
          <w:rPr>
            <w:rStyle w:val="Hyperlink"/>
          </w:rPr>
          <w:t xml:space="preserve">Case in Google Scholar</w:t>
        </w:r>
      </w:hyperlink>
    </w:p>
    <w:p>
      <w:pPr>
        <w:pStyle w:val="Compact"/>
        <w:numPr>
          <w:numId w:val="1015"/>
          <w:ilvl w:val="0"/>
        </w:numPr>
      </w:pPr>
      <w:hyperlink r:id="rId94">
        <w:r>
          <w:rPr>
            <w:rStyle w:val="Hyperlink"/>
          </w:rPr>
          <w:t xml:space="preserve">Case in Wikipedia</w:t>
        </w:r>
      </w:hyperlink>
    </w:p>
    <w:p>
      <w:pPr>
        <w:pStyle w:val="Compact"/>
        <w:numPr>
          <w:numId w:val="1015"/>
          <w:ilvl w:val="0"/>
        </w:numPr>
      </w:pPr>
      <w:hyperlink r:id="rId95">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p>
      <w:pPr>
        <w:pStyle w:val="Heading3"/>
      </w:pPr>
      <w:bookmarkStart w:id="96" w:name="i.-statement-of-facts"/>
      <w:r>
        <w:t xml:space="preserve">I. STATEMENT OF FACTS</w:t>
      </w:r>
      <w:bookmarkEnd w:id="96"/>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7" w:name="the-dramatization"/>
      <w:r>
        <w:t xml:space="preserve">The Dramatization</w:t>
      </w:r>
      <w:bookmarkEnd w:id="97"/>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6"/>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6"/>
          <w:ilvl w:val="0"/>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numId w:val="1016"/>
          <w:ilvl w:val="0"/>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6"/>
          <w:ilvl w:val="0"/>
        </w:numPr>
      </w:pPr>
      <w:r>
        <w:t xml:space="preserve">Plaintiff in this action contends that the movie falsely portrays her as defensive and evasive during her direct and cross-examination.</w:t>
      </w:r>
    </w:p>
    <w:p>
      <w:pPr>
        <w:numPr>
          <w:numId w:val="1016"/>
          <w:ilvl w:val="0"/>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numId w:val="1016"/>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6"/>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6"/>
          <w:ilvl w:val="0"/>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numId w:val="1016"/>
          <w:ilvl w:val="0"/>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8" w:name="ii.-common-law-claims-and-defenses"/>
      <w:r>
        <w:t xml:space="preserve">II. COMMON LAW CLAIMS AND DEFENSES</w:t>
      </w:r>
      <w:bookmarkEnd w:id="98"/>
    </w:p>
    <w:p>
      <w:pPr>
        <w:pStyle w:val="Heading4"/>
      </w:pPr>
      <w:bookmarkStart w:id="99" w:name="a.-defamatory-nature-of-the-published-material"/>
      <w:r>
        <w:t xml:space="preserve">A. Defamatory Nature of the Published Material</w:t>
      </w:r>
      <w:bookmarkEnd w:id="99"/>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100">
        <w:r>
          <w:rPr>
            <w:i/>
            <w:rStyle w:val="Hyperlink"/>
          </w:rPr>
          <w:t xml:space="preserve">Letter Carriers v. Austin,</w:t>
        </w:r>
        <w:r>
          <w:rPr>
            <w:rStyle w:val="Hyperlink"/>
          </w:rPr>
          <w:t xml:space="preserve"> </w:t>
        </w:r>
        <w:r>
          <w:rPr>
            <w:rStyle w:val="Hyperlink"/>
          </w:rPr>
          <w:t xml:space="preserve">(US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01" w:name="b.-the-privilege-of-fair-comment"/>
      <w:r>
        <w:t xml:space="preserve">B. The Privilege of Fair Comment</w:t>
      </w:r>
      <w:bookmarkEnd w:id="101"/>
    </w:p>
    <w:p>
      <w:pPr>
        <w:pStyle w:val="FirstParagraph"/>
      </w:pPr>
      <w:r>
        <w:t xml:space="preserve">The portrayal of Victoria Price in this way is not expressed in the play as a matter of opinion. The characterization is expressed as concrete fact. The common law privilege of fair comment, adopted in Tennessee</w:t>
      </w:r>
      <w:r>
        <w:t xml:space="preserve"> </w:t>
      </w:r>
      <w:r>
        <w:t xml:space="preserve">… is now protected as opinion under the First Amendment,</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3" w:name="c.-the-defense-of-truth-and-the-privilege-of-fair-report-of-a-judicial-proceeding"/>
      <w:r>
        <w:t xml:space="preserve">C. The Defense of Truth and the Privilege of Fair Report of a Judicial Proceeding</w:t>
      </w:r>
      <w:bookmarkEnd w:id="103"/>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p>
    <w:p>
      <w:pPr>
        <w:pStyle w:val="Heading3"/>
      </w:pPr>
      <w:bookmarkStart w:id="104" w:name="iii.-the-first-amendment-defenses"/>
      <w:r>
        <w:t xml:space="preserve">III. THE FIRST AMENDMENT DEFENSES</w:t>
      </w:r>
      <w:bookmarkEnd w:id="104"/>
    </w:p>
    <w:p>
      <w:pPr>
        <w:pStyle w:val="Heading4"/>
      </w:pPr>
      <w:bookmarkStart w:id="105" w:name="a.-plaintiff-was-a-public-figure-during-the-scottsboro-trials"/>
      <w:r>
        <w:t xml:space="preserve">A. Plaintiff was a Public Figure During the Scottsboro Trials</w:t>
      </w:r>
      <w:bookmarkEnd w:id="105"/>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6">
        <w:r>
          <w:rPr>
            <w:i/>
            <w:rStyle w:val="Hyperlink"/>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6">
        <w:r>
          <w:rPr>
            <w:i/>
            <w:rStyle w:val="Hyperlink"/>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6">
        <w:r>
          <w:rPr>
            <w:i/>
            <w:rStyle w:val="Hyperlink"/>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6">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7">
        <w:r>
          <w:rPr>
            <w:i/>
            <w:rStyle w:val="Hyperlink"/>
          </w:rPr>
          <w:t xml:space="preserve">Time, Inc. v. Firestone</w:t>
        </w:r>
      </w:hyperlink>
      <w:r>
        <w:t xml:space="preserve"> </w:t>
      </w:r>
      <w:r>
        <w:t xml:space="preserve">(US 1976).</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08" w:name="b.-plaintiff-remains-a-public-figure"/>
      <w:r>
        <w:t xml:space="preserve">B. Plaintiff Remains a Public Figure</w:t>
      </w:r>
      <w:bookmarkEnd w:id="108"/>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09">
        <w:r>
          <w:rPr>
            <w:i/>
            <w:rStyle w:val="Hyperlink"/>
          </w:rPr>
          <w:t xml:space="preserve">Wolston v. Reader’s Digest Ass’n, Inc.</w:t>
        </w:r>
      </w:hyperlink>
      <w:r>
        <w:t xml:space="preserve"> </w:t>
      </w:r>
      <w:r>
        <w:t xml:space="preserve">(US 1979).</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0">
        <w:r>
          <w:rPr>
            <w:i/>
            <w:rStyle w:val="Hyperlink"/>
          </w:rPr>
          <w:t xml:space="preserve">Brewer v. Memphis</w:t>
        </w:r>
        <w:r>
          <w:rPr>
            <w:i/>
            <w:rStyle w:val="Hyperlink"/>
          </w:rPr>
          <w:t xml:space="preserve"> </w:t>
        </w:r>
        <w:r>
          <w:rPr>
            <w:i/>
            <w:rStyle w:val="Hyperlink"/>
          </w:rPr>
          <w:t xml:space="preserve">Publishing Co., Inc.,</w:t>
        </w:r>
      </w:hyperlink>
      <w:r>
        <w:t xml:space="preserve"> </w:t>
      </w:r>
      <w:r>
        <w:t xml:space="preserve">(5th Cir. 1980).</w:t>
      </w:r>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1">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2">
        <w:r>
          <w:rPr>
            <w:rStyle w:val="Hyperlink"/>
          </w:rPr>
          <w:t xml:space="preserve">(US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3" w:name="c.-evidence-insufficient-to-support-malice"/>
      <w:r>
        <w:t xml:space="preserve">C. Evidence Insufficient to Support Malice</w:t>
      </w:r>
      <w:bookmarkEnd w:id="113"/>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6">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4" w:name="what-about-other-torts"/>
      <w:r>
        <w:t xml:space="preserve">What About Other Torts?</w:t>
      </w:r>
      <w:bookmarkEnd w:id="114"/>
    </w:p>
    <w:p>
      <w:pPr>
        <w:pStyle w:val="FirstParagraph"/>
      </w:pPr>
      <w:r>
        <w:t xml:space="preserve">What if instead of suing for defamation, the unhappy public figure sues for intentional infliction of emotional distress?</w:t>
      </w:r>
    </w:p>
    <w:p>
      <w:pPr>
        <w:pStyle w:val="Heading2"/>
      </w:pPr>
      <w:bookmarkStart w:id="115" w:name="hustler-magazine-inc.v.-falwell"/>
      <w:r>
        <w:rPr>
          <w:i/>
        </w:rPr>
        <w:t xml:space="preserve">Hustler Magazine, Inc. v. Falwell,</w:t>
      </w:r>
      <w:bookmarkEnd w:id="115"/>
    </w:p>
    <w:p>
      <w:pPr>
        <w:pStyle w:val="Heading6"/>
      </w:pPr>
      <w:bookmarkStart w:id="116" w:name="united-states-supreme-court-1988"/>
      <w:r>
        <w:t xml:space="preserve">United States Supreme Court (1988)</w:t>
      </w:r>
      <w:bookmarkEnd w:id="116"/>
    </w:p>
    <w:p>
      <w:pPr>
        <w:pStyle w:val="Compact"/>
        <w:numPr>
          <w:numId w:val="1017"/>
          <w:ilvl w:val="0"/>
        </w:numPr>
      </w:pPr>
      <w:hyperlink r:id="rId117">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7"/>
          <w:ilvl w:val="0"/>
        </w:numPr>
      </w:pPr>
      <w:hyperlink r:id="rId118">
        <w:r>
          <w:rPr>
            <w:i/>
            <w:rStyle w:val="Hyperlink"/>
          </w:rPr>
          <w:t xml:space="preserve">Hustler v. Falwell</w:t>
        </w:r>
        <w:r>
          <w:rPr>
            <w:rStyle w:val="Hyperlink"/>
          </w:rPr>
          <w:t xml:space="preserve"> </w:t>
        </w:r>
        <w:r>
          <w:rPr>
            <w:rStyle w:val="Hyperlink"/>
          </w:rPr>
          <w:t xml:space="preserve">at Westlaw</w:t>
        </w:r>
      </w:hyperlink>
    </w:p>
    <w:p>
      <w:pPr>
        <w:pStyle w:val="Compact"/>
        <w:numPr>
          <w:numId w:val="1017"/>
          <w:ilvl w:val="0"/>
        </w:numPr>
      </w:pPr>
      <w:hyperlink r:id="rId119">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7"/>
          <w:ilvl w:val="0"/>
        </w:numPr>
      </w:pPr>
      <w:hyperlink r:id="rId120">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1">
        <w:r>
          <w:rPr>
            <w:i/>
            <w:rStyle w:val="Hyperlink"/>
          </w:rPr>
          <w:t xml:space="preserve">Gertz</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2">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(US 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w:t>
      </w:r>
      <w:r>
        <w:t xml:space="preserve"> </w:t>
      </w:r>
      <w:r>
        <w:t xml:space="preserve">In</w:t>
      </w:r>
      <w:r>
        <w:t xml:space="preserve"> </w:t>
      </w:r>
      <w:hyperlink r:id="rId123">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hyperlink>
      <w:r>
        <w:t xml:space="preserve"> </w:t>
      </w:r>
      <w:r>
        <w:t xml:space="preserve">(US 1964),</w:t>
      </w:r>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(US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125" w:name="helpful-links"/>
      <w:r>
        <w:t xml:space="preserve">Helpful Links</w:t>
      </w:r>
      <w:bookmarkEnd w:id="125"/>
    </w:p>
    <w:p>
      <w:pPr>
        <w:pStyle w:val="Compact"/>
        <w:numPr>
          <w:numId w:val="1018"/>
          <w:ilvl w:val="0"/>
        </w:numPr>
      </w:pPr>
      <w:hyperlink r:id="rId126">
        <w:r>
          <w:rPr>
            <w:rStyle w:val="Hyperlink"/>
          </w:rPr>
          <w:t xml:space="preserve">Wikipedia: Defamation Per Se</w:t>
        </w:r>
      </w:hyperlink>
    </w:p>
    <w:p>
      <w:pPr>
        <w:pStyle w:val="Compact"/>
        <w:numPr>
          <w:numId w:val="1018"/>
          <w:ilvl w:val="0"/>
        </w:numPr>
      </w:pPr>
      <w:hyperlink r:id="rId127">
        <w:r>
          <w:rPr>
            <w:rStyle w:val="Hyperlink"/>
          </w:rPr>
          <w:t xml:space="preserve">Special Note on the Impact of the First Amendment of the Constitution on the Law of Defamation</w:t>
        </w:r>
      </w:hyperlink>
    </w:p>
    <w:p>
      <w:pPr>
        <w:pStyle w:val="Compact"/>
        <w:numPr>
          <w:numId w:val="1018"/>
          <w:ilvl w:val="0"/>
        </w:numPr>
      </w:pPr>
      <w:hyperlink r:id="rId128">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129">
        <w:r>
          <w:rPr>
            <w:rStyle w:val="Hyperlink"/>
          </w:rPr>
          <w:t xml:space="preserve">Independent Producers Survival Guide: A Business and Legal Sourcebook</w:t>
        </w:r>
      </w:hyperlink>
      <w:r>
        <w:t xml:space="preserve"> </w:t>
      </w:r>
      <w:r>
        <w:t xml:space="preserve">4th Ed. 2009.</w:t>
      </w:r>
    </w:p>
    <w:p>
      <w:pPr>
        <w:pStyle w:val="Compact"/>
        <w:numPr>
          <w:numId w:val="1018"/>
          <w:ilvl w:val="0"/>
        </w:numPr>
      </w:pPr>
      <w:hyperlink r:id="rId130">
        <w:r>
          <w:rPr>
            <w:rStyle w:val="Hyperlink"/>
          </w:rPr>
          <w:t xml:space="preserve">Defamation Law Made Simple at Nolo.com.</w:t>
        </w:r>
      </w:hyperlink>
    </w:p>
    <w:p>
      <w:pPr>
        <w:pStyle w:val="Compact"/>
        <w:numPr>
          <w:numId w:val="1018"/>
          <w:ilvl w:val="0"/>
        </w:numPr>
      </w:pPr>
      <w:hyperlink r:id="rId131">
        <w:r>
          <w:rPr>
            <w:rStyle w:val="Hyperlink"/>
          </w:rPr>
          <w:t xml:space="preserve">FreeAdvice: How to Prove Libel or Slander</w:t>
        </w:r>
      </w:hyperlink>
      <w:r>
        <w:t xml:space="preserve">.</w:t>
      </w:r>
    </w:p>
    <w:p>
      <w:pPr>
        <w:pStyle w:val="Compact"/>
        <w:numPr>
          <w:numId w:val="1018"/>
          <w:ilvl w:val="0"/>
        </w:numPr>
      </w:pPr>
      <w:hyperlink r:id="rId132">
        <w:r>
          <w:rPr>
            <w:rStyle w:val="Hyperlink"/>
          </w:rPr>
          <w:t xml:space="preserve">Eric E. Johnson</w:t>
        </w:r>
      </w:hyperlink>
      <w:r>
        <w:t xml:space="preserve">,</w:t>
      </w:r>
      <w:r>
        <w:t xml:space="preserve"> </w:t>
      </w:r>
      <w:hyperlink r:id="rId133">
        <w:r>
          <w:rPr>
            <w:rStyle w:val="Hyperlink"/>
          </w:rPr>
          <w:t xml:space="preserve">Defamation Flowchart</w:t>
        </w:r>
      </w:hyperlink>
      <w:r>
        <w:t xml:space="preserve">.</w:t>
      </w:r>
    </w:p>
    <w:p>
      <w:pPr>
        <w:pStyle w:val="Heading3"/>
      </w:pPr>
      <w:bookmarkStart w:id="134" w:name="referencefootnote-cases"/>
      <w:r>
        <w:t xml:space="preserve">Reference/Footnote Cases</w:t>
      </w:r>
      <w:bookmarkEnd w:id="134"/>
    </w:p>
    <w:p>
      <w:pPr>
        <w:pStyle w:val="Compact"/>
        <w:numPr>
          <w:numId w:val="1019"/>
          <w:ilvl w:val="0"/>
        </w:numPr>
      </w:pPr>
      <w:hyperlink r:id="rId135">
        <w:r>
          <w:rPr>
            <w:i/>
            <w:rStyle w:val="Hyperlink"/>
          </w:rPr>
          <w:t xml:space="preserve">Spahn v. Julian Mesner,</w:t>
        </w:r>
      </w:hyperlink>
      <w:r>
        <w:t xml:space="preserve">, 260 NYS2d 451 (1965).</w:t>
      </w:r>
    </w:p>
    <w:p>
      <w:pPr>
        <w:pStyle w:val="Compact"/>
        <w:numPr>
          <w:numId w:val="1019"/>
          <w:ilvl w:val="0"/>
        </w:numPr>
      </w:pPr>
      <w:hyperlink r:id="rId136">
        <w:r>
          <w:rPr>
            <w:rStyle w:val="Hyperlink"/>
          </w:rPr>
          <w:t xml:space="preserve">False Light at Wikipedia</w:t>
        </w:r>
      </w:hyperlink>
      <w:r>
        <w:t xml:space="preserve">.</w:t>
      </w:r>
    </w:p>
    <w:p>
      <w:pPr>
        <w:pStyle w:val="Heading3"/>
      </w:pPr>
      <w:bookmarkStart w:id="137" w:name="totally-optional-readings-viewings"/>
      <w:r>
        <w:t xml:space="preserve">Totally Optional Readings &amp; Viewings</w:t>
      </w:r>
      <w:bookmarkEnd w:id="137"/>
    </w:p>
    <w:p>
      <w:pPr>
        <w:pStyle w:val="Heading4"/>
      </w:pPr>
      <w:bookmarkStart w:id="138" w:name="american-hustle-sparks-1-million-libel-lawsuit"/>
      <w:r>
        <w:t xml:space="preserve">‘</w:t>
      </w:r>
      <w:r>
        <w:t xml:space="preserve">American Hustle</w:t>
      </w:r>
      <w:r>
        <w:t xml:space="preserve">’</w:t>
      </w:r>
      <w:r>
        <w:t xml:space="preserve"> </w:t>
      </w:r>
      <w:r>
        <w:t xml:space="preserve">Sparks $1 Million Libel Lawsuit</w:t>
      </w:r>
      <w:bookmarkEnd w:id="138"/>
    </w:p>
    <w:p>
      <w:pPr>
        <w:pStyle w:val="FirstParagraph"/>
      </w:pPr>
      <w:r>
        <w:t xml:space="preserve">Former New Yorker writer and journalist,</w:t>
      </w:r>
      <w:r>
        <w:t xml:space="preserve"> </w:t>
      </w:r>
      <w:hyperlink r:id="rId139">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40">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141" w:name="wolf-of-wall-street-defamation-lawsuit"/>
      <w:r>
        <w:t xml:space="preserve">“</w:t>
      </w:r>
      <w:r>
        <w:t xml:space="preserve">Wolf of Wall Street</w:t>
      </w:r>
      <w:r>
        <w:t xml:space="preserve">”</w:t>
      </w:r>
      <w:r>
        <w:t xml:space="preserve"> </w:t>
      </w:r>
      <w:r>
        <w:t xml:space="preserve">Defamation Lawsuit</w:t>
      </w:r>
      <w:bookmarkEnd w:id="141"/>
    </w:p>
    <w:p>
      <w:pPr>
        <w:pStyle w:val="FirstParagraph"/>
      </w:pPr>
      <w:hyperlink r:id="rId142">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4"/>
      </w:pPr>
      <w:bookmarkStart w:id="143" w:name="more"/>
      <w:r>
        <w:t xml:space="preserve">More</w:t>
      </w:r>
      <w:bookmarkEnd w:id="143"/>
    </w:p>
    <w:p>
      <w:pPr>
        <w:pStyle w:val="Compact"/>
        <w:numPr>
          <w:numId w:val="1020"/>
          <w:ilvl w:val="0"/>
        </w:numPr>
      </w:pPr>
      <w:hyperlink r:id="rId144">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19">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0"/>
          <w:ilvl w:val="0"/>
        </w:numPr>
      </w:pPr>
      <w:r>
        <w:t xml:space="preserve">Amy J. Field,</w:t>
      </w:r>
      <w:r>
        <w:t xml:space="preserve"> </w:t>
      </w:r>
      <w:hyperlink r:id="rId61">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0"/>
          <w:ilvl w:val="0"/>
        </w:numPr>
      </w:pPr>
      <w:r>
        <w:rPr>
          <w:i/>
        </w:rPr>
        <w:t xml:space="preserve">Deangelo Bailey v. Marshall Bruce Mathers, III, aka Eminem Slim Shady,</w:t>
      </w:r>
      <w:r>
        <w:t xml:space="preserve"> </w:t>
      </w:r>
      <w:r>
        <w:t xml:space="preserve">Macomb County Court (Michigan 2003):</w:t>
      </w:r>
    </w:p>
    <w:p>
      <w:pPr>
        <w:pStyle w:val="Compact"/>
        <w:numPr>
          <w:numId w:val="1021"/>
          <w:ilvl w:val="1"/>
        </w:numPr>
      </w:pPr>
      <w:hyperlink r:id="rId145">
        <w:r>
          <w:rPr>
            <w:rStyle w:val="Hyperlink"/>
          </w:rPr>
          <w:t xml:space="preserve">summary of case</w:t>
        </w:r>
      </w:hyperlink>
    </w:p>
    <w:p>
      <w:pPr>
        <w:pStyle w:val="Compact"/>
        <w:numPr>
          <w:numId w:val="1021"/>
          <w:ilvl w:val="1"/>
        </w:numPr>
      </w:pPr>
      <w:hyperlink r:id="rId146">
        <w:r>
          <w:rPr>
            <w:rStyle w:val="Hyperlink"/>
          </w:rPr>
          <w:t xml:space="preserve">fyi the full opinion</w:t>
        </w:r>
      </w:hyperlink>
      <w:r>
        <w:t xml:space="preserve">(optional reading)</w:t>
      </w:r>
    </w:p>
    <w:p>
      <w:pPr>
        <w:pStyle w:val="Compact"/>
        <w:numPr>
          <w:numId w:val="1020"/>
          <w:ilvl w:val="0"/>
        </w:numPr>
      </w:pPr>
      <w:hyperlink r:id="rId147">
        <w:r>
          <w:rPr>
            <w:rStyle w:val="Hyperlink"/>
          </w:rPr>
          <w:t xml:space="preserve">Reverse defamation, the Newsweek Bitcoin story, and Satoshi Nakamoto</w:t>
        </w:r>
      </w:hyperlink>
    </w:p>
    <w:p>
      <w:pPr>
        <w:pStyle w:val="Compact"/>
        <w:numPr>
          <w:numId w:val="1020"/>
          <w:ilvl w:val="0"/>
        </w:numPr>
      </w:pPr>
      <w:hyperlink r:id="rId148">
        <w:r>
          <w:rPr>
            <w:rStyle w:val="Hyperlink"/>
          </w:rPr>
          <w:t xml:space="preserve">What is More Defamatory? A False Accusation of Homophobia or of Homosexuality?</w:t>
        </w:r>
      </w:hyperlink>
    </w:p>
    <w:p>
      <w:pPr>
        <w:pStyle w:val="Heading4"/>
      </w:pPr>
      <w:bookmarkStart w:id="149" w:name="scarlett-johannsen-sues-french-novelist"/>
      <w:r>
        <w:t xml:space="preserve">Scarlett Johannsen Sues French Novelist</w:t>
      </w:r>
      <w:bookmarkEnd w:id="149"/>
    </w:p>
    <w:p>
      <w:pPr>
        <w:pStyle w:val="Compact"/>
        <w:numPr>
          <w:numId w:val="1022"/>
          <w:ilvl w:val="0"/>
        </w:numPr>
      </w:pPr>
      <w:hyperlink r:id="rId150">
        <w:r>
          <w:rPr>
            <w:rStyle w:val="Hyperlink"/>
          </w:rPr>
          <w:t xml:space="preserve">Seeing read: Scarlett Johansson sues French novelist</w:t>
        </w:r>
      </w:hyperlink>
      <w:r>
        <w:t xml:space="preserve">.</w:t>
      </w:r>
    </w:p>
    <w:p>
      <w:pPr>
        <w:pStyle w:val="Compact"/>
        <w:numPr>
          <w:numId w:val="1022"/>
          <w:ilvl w:val="0"/>
        </w:numPr>
      </w:pPr>
      <w:hyperlink r:id="rId151">
        <w:r>
          <w:rPr>
            <w:rStyle w:val="Hyperlink"/>
          </w:rPr>
          <w:t xml:space="preserve">Scarlett Johansson wins defamation case against French novelist</w:t>
        </w:r>
      </w:hyperlink>
      <w:r>
        <w:t xml:space="preserve">.</w:t>
      </w:r>
    </w:p>
    <w:p>
      <w:pPr>
        <w:pStyle w:val="Heading4"/>
      </w:pPr>
      <w:bookmarkStart w:id="152" w:name="courtney-love-defamation-via-twitter"/>
      <w:r>
        <w:t xml:space="preserve">Courtney Love &amp; Defamation via Twitter</w:t>
      </w:r>
      <w:bookmarkEnd w:id="152"/>
    </w:p>
    <w:p>
      <w:pPr>
        <w:pStyle w:val="Compact"/>
        <w:numPr>
          <w:numId w:val="1023"/>
          <w:ilvl w:val="0"/>
        </w:numPr>
      </w:pPr>
      <w:hyperlink r:id="rId153">
        <w:r>
          <w:rPr>
            <w:rStyle w:val="Hyperlink"/>
          </w:rPr>
          <w:t xml:space="preserve">Courtney Love commits defamation via Twitter–Twice!</w:t>
        </w:r>
      </w:hyperlink>
    </w:p>
    <w:p>
      <w:pPr>
        <w:pStyle w:val="Compact"/>
        <w:numPr>
          <w:numId w:val="1023"/>
          <w:ilvl w:val="0"/>
        </w:numPr>
      </w:pPr>
      <w:hyperlink r:id="rId154">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4"/>
      </w:pPr>
      <w:bookmarkStart w:id="155" w:name="who-are-the-news-media"/>
      <w:r>
        <w:t xml:space="preserve">Who Are</w:t>
      </w:r>
      <w:r>
        <w:t xml:space="preserve"> </w:t>
      </w:r>
      <w:r>
        <w:t xml:space="preserve">“</w:t>
      </w:r>
      <w:r>
        <w:t xml:space="preserve">The News Media?</w:t>
      </w:r>
      <w:r>
        <w:t xml:space="preserve">”</w:t>
      </w:r>
      <w:bookmarkEnd w:id="155"/>
    </w:p>
    <w:p>
      <w:pPr>
        <w:pStyle w:val="FirstParagraph"/>
      </w:pPr>
      <w:r>
        <w:t xml:space="preserve">Blurred lines: Ninth Circuit applies same First Amendment protections to bloggers as traditional media.</w:t>
      </w:r>
      <w:r>
        <w:t xml:space="preserve"> </w:t>
      </w:r>
      <w:hyperlink r:id="rId156">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3"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4"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6"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51" Target="http://www.theguardian.com/film/2014/jul/04/scarlett-johansson-wins-french-defamation-case" TargetMode="External" /><Relationship Type="http://schemas.openxmlformats.org/officeDocument/2006/relationships/hyperlink" Id="rId150" Target="http://www.theguardian.com/film/2014/may/14/scarlett-johansson-sues-french-author" TargetMode="External" /><Relationship Type="http://schemas.openxmlformats.org/officeDocument/2006/relationships/hyperlink" Id="rId145" Target="http://www.thesmokinggun.com/documents/crime/judge-raps-eminem-accuser" TargetMode="External" /><Relationship Type="http://schemas.openxmlformats.org/officeDocument/2006/relationships/hyperlink" Id="rId146" Target="http://www.thesmokinggun.com/file/judge-raps-eminem-accuser" TargetMode="External" /><Relationship Type="http://schemas.openxmlformats.org/officeDocument/2006/relationships/hyperlink" Id="rId148" Target="http://www.trademarkandcopyrightlawblog.com/2014/09/whatismore/" TargetMode="External" /><Relationship Type="http://schemas.openxmlformats.org/officeDocument/2006/relationships/hyperlink" Id="rId147"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_rels/footnotes.xml.rels><?xml version="1.0" encoding="UTF-8"?>
<Relationships xmlns="http://schemas.openxmlformats.org/package/2006/relationships"><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3"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4"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6"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51" Target="http://www.theguardian.com/film/2014/jul/04/scarlett-johansson-wins-french-defamation-case" TargetMode="External" /><Relationship Type="http://schemas.openxmlformats.org/officeDocument/2006/relationships/hyperlink" Id="rId150" Target="http://www.theguardian.com/film/2014/may/14/scarlett-johansson-sues-french-author" TargetMode="External" /><Relationship Type="http://schemas.openxmlformats.org/officeDocument/2006/relationships/hyperlink" Id="rId145" Target="http://www.thesmokinggun.com/documents/crime/judge-raps-eminem-accuser" TargetMode="External" /><Relationship Type="http://schemas.openxmlformats.org/officeDocument/2006/relationships/hyperlink" Id="rId146" Target="http://www.thesmokinggun.com/file/judge-raps-eminem-accuser" TargetMode="External" /><Relationship Type="http://schemas.openxmlformats.org/officeDocument/2006/relationships/hyperlink" Id="rId148" Target="http://www.trademarkandcopyrightlawblog.com/2014/09/whatismore/" TargetMode="External" /><Relationship Type="http://schemas.openxmlformats.org/officeDocument/2006/relationships/hyperlink" Id="rId147"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2018-09-13T23:36:27Z</dcterms:created>
  <dcterms:modified xsi:type="dcterms:W3CDTF">2018-09-13T23:36:27Z</dcterms:modified>
</cp:coreProperties>
</file>