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introduction"/>
      <w:bookmarkEnd w:id="21"/>
      <w:r>
        <w:t xml:space="preserve">First Amendment - Introduction</w:t>
      </w:r>
    </w:p>
    <w:p>
      <w:pPr>
        <w:pStyle w:val="FirstParagraph"/>
      </w:pPr>
      <w:r>
        <w:t xml:space="preserve">The First Amendment says:</w:t>
      </w:r>
    </w:p>
    <w:p>
      <w:pPr>
        <w:pStyle w:val="BlockText"/>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pPr>
        <w:pStyle w:val="FirstParagraph"/>
      </w:pPr>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 Then we add the Fourteenth Amendment, which says:</w:t>
      </w:r>
    </w:p>
    <w:p>
      <w:pPr>
        <w:pStyle w:val="BlockText"/>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pPr>
        <w:pStyle w:val="FirstParagraph"/>
      </w:pPr>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2">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2"/>
      </w:pPr>
      <w:bookmarkStart w:id="23" w:name="what-is-speech"/>
      <w:bookmarkEnd w:id="23"/>
      <w:r>
        <w:t xml:space="preserve">What Is Speech?</w:t>
      </w:r>
    </w:p>
    <w:p>
      <w:pPr>
        <w:pStyle w:val="FirstParagraph"/>
      </w:pPr>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pPr>
        <w:pStyle w:val="BodyText"/>
      </w:pPr>
      <w:r>
        <w:t xml:space="preserve">What about slander? Isn't that speech? Or fraud, or hiring somebody to murder your spouse, or lying to an IRS agent, or soliciting a prostitute?</w:t>
      </w:r>
    </w:p>
    <w:p>
      <w:pPr>
        <w:pStyle w:val="BodyText"/>
      </w:pPr>
      <w:r>
        <w:t xml:space="preserve">When courts try to decide whether speech is protected or unprotected they naturally wonder: Is this the sort of speech the Founding Fathers had in mind when they wrote the First Amendment? As far as we know, no framer of the Constitution asked the question: Yes, but what IS speech? Did the Founding Fathers mean to say that public nudity, live sex acts, and bestiality are all speech, and therefore Congress had no power to pass laws against such "expressive conduct"? Did they believe that live sex acts are like flag burning or marching in the streets? And did this mean that they believed Congress had no power to pass laws against obscenity, indecency, pornography, nude dancing and the like?</w:t>
      </w:r>
    </w:p>
    <w:p>
      <w:pPr>
        <w:pStyle w:val="BodyText"/>
      </w:pPr>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pPr>
        <w:pStyle w:val="BodyText"/>
      </w:pPr>
      <w:r>
        <w:t xml:space="preserve">If the First Amendment doesn't mean what it says, then what does it mean? Some First Amendment absolutists ask: What part of make no law is it that you don't understand?</w:t>
      </w:r>
    </w:p>
    <w:p>
      <w:pPr>
        <w:pStyle w:val="Heading3"/>
      </w:pPr>
      <w:bookmarkStart w:id="24" w:name="what-is-the-purpose-of-the-first-amendment"/>
      <w:bookmarkEnd w:id="24"/>
      <w:r>
        <w:t xml:space="preserve">What is the Purpose of the First Amendment?</w:t>
      </w:r>
    </w:p>
    <w:p>
      <w:pPr>
        <w:pStyle w:val="FirstParagraph"/>
      </w:pPr>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pPr>
        <w:pStyle w:val="BodyText"/>
      </w:pPr>
      <w:r>
        <w:t xml:space="preserve">Why was the First Amendment added to the Constitution in 1791? And if Congress meant what it said about passing no laws abridging the freedom of speech, then why seven years later (in 1798) did Congress pass the</w:t>
      </w:r>
      <w:r>
        <w:t xml:space="preserve"> </w:t>
      </w:r>
      <w:hyperlink r:id="rId25">
        <w:r>
          <w:rPr>
            <w:rStyle w:val="Hyperlink"/>
          </w:rPr>
          <w:t xml:space="preserve">Alien and Sedition Acts</w:t>
        </w:r>
      </w:hyperlink>
      <w:r>
        <w:t xml:space="preserve"> </w:t>
      </w:r>
      <w:r>
        <w:t xml:space="preserve">which made it a crime for anyone to publish "false, scandalous, and malicious writing against the government or its officials?"</w:t>
      </w:r>
    </w:p>
    <w:p>
      <w:pPr>
        <w:pStyle w:val="BodyText"/>
      </w:pPr>
      <w:hyperlink r:id="rId26">
        <w:r>
          <w:rPr>
            <w:rStyle w:val="Hyper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Text"/>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than an unlimited freedom to say or print anything one pleases.</w:t>
      </w:r>
    </w:p>
    <w:p>
      <w:pPr>
        <w:pStyle w:val="BlockText"/>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Text"/>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pPr>
        <w:pStyle w:val="Compact"/>
        <w:numPr>
          <w:numId w:val="1001"/>
          <w:ilvl w:val="0"/>
        </w:numPr>
      </w:pPr>
      <w:hyperlink r:id="rId27">
        <w:r>
          <w:rPr>
            <w:rStyle w:val="Hyperlink"/>
          </w:rPr>
          <w:t xml:space="preserve">Eugene Volokh on the meaning of "Congress shall make no law . . ."</w:t>
        </w:r>
      </w:hyperlink>
      <w:r>
        <w:t xml:space="preserve">.</w:t>
      </w:r>
    </w:p>
    <w:p>
      <w:pPr>
        <w:pStyle w:val="FirstParagraph"/>
      </w:pPr>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8">
        <w:r>
          <w:rPr>
            <w:rStyle w:val="Hyperlink"/>
          </w:rPr>
          <w:t xml:space="preserve">prior restraints</w:t>
        </w:r>
      </w:hyperlink>
      <w:r>
        <w:t xml:space="preserve"> </w:t>
      </w:r>
      <w:r>
        <w:t xml:space="preserve">on speech, the sort of licensing schemes that inspired the poet John Milton to write</w:t>
      </w:r>
      <w:r>
        <w:t xml:space="preserve"> </w:t>
      </w:r>
      <w:hyperlink r:id="rId29">
        <w:r>
          <w:rPr>
            <w:rStyle w:val="Hyper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0" w:name="the-marketplace-of-ideas"/>
      <w:bookmarkEnd w:id="30"/>
      <w:r>
        <w:t xml:space="preserve">The Marketplace of Ideas</w:t>
      </w:r>
    </w:p>
    <w:p>
      <w:pPr>
        <w:pStyle w:val="FirstParagraph"/>
      </w:pPr>
      <w:r>
        <w:t xml:space="preserve">When the Supreme Court addresses these questions, they steer between two competing principles of First Amendment jurisprudence that will never be reconciled (think</w:t>
      </w:r>
      <w:r>
        <w:t xml:space="preserve"> </w:t>
      </w:r>
      <w:hyperlink r:id="rId31">
        <w:r>
          <w:rPr>
            <w:rStyle w:val="Hyperlink"/>
          </w:rPr>
          <w:t xml:space="preserve">Scylla and Charybdis</w:t>
        </w:r>
      </w:hyperlink>
      <w:r>
        <w:t xml:space="preserve">, a rock and a hard place, the horns of a dilemma).</w:t>
      </w:r>
    </w:p>
    <w:p>
      <w:pPr>
        <w:pStyle w:val="BodyText"/>
      </w:pPr>
      <w:r>
        <w:t xml:space="preserve">One principle is called the marketplace of ideas, first formulated by Justice Oliver Wendell Holmes, who wrote:</w:t>
      </w:r>
    </w:p>
    <w:p>
      <w:pPr>
        <w:pStyle w:val="BlockText"/>
      </w:pPr>
      <w:r>
        <w:t xml:space="preserve">The best test of truth is the power of the thought to get itself accepted in the competition of the market.</w:t>
      </w:r>
    </w:p>
    <w:p>
      <w:pPr>
        <w:pStyle w:val="BlockText"/>
      </w:pPr>
      <w:r>
        <w:t xml:space="preserve">--</w:t>
      </w:r>
      <w:hyperlink r:id="rId32">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 a world where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w:t>
      </w:r>
    </w:p>
    <w:p>
      <w:pPr>
        <w:pStyle w:val="BlockText"/>
      </w:pPr>
      <w:r>
        <w:t xml:space="preserve">The most stringent protection of free speech would not protect a man falsely shouting fire in a theater and causing a panic.</w:t>
      </w:r>
    </w:p>
    <w:p>
      <w:pPr>
        <w:pStyle w:val="BlockText"/>
      </w:pPr>
      <w:r>
        <w:t xml:space="preserve">--</w:t>
      </w:r>
      <w:hyperlink r:id="rId33">
        <w:r>
          <w:rPr>
            <w:i/>
            <w:rStyle w:val="Hyperlink"/>
          </w:rPr>
          <w:t xml:space="preserve">Schenck v. United States</w:t>
        </w:r>
      </w:hyperlink>
      <w:r>
        <w:t xml:space="preserve"> </w:t>
      </w:r>
      <w:r>
        <w:t xml:space="preserve">(US 1919)</w:t>
      </w:r>
    </w:p>
    <w:p>
      <w:pPr>
        <w:pStyle w:val="Heading4"/>
      </w:pPr>
      <w:bookmarkStart w:id="34" w:name="civic-republicanism"/>
      <w:bookmarkEnd w:id="34"/>
      <w:r>
        <w:t xml:space="preserve">Civic Republicanism</w:t>
      </w:r>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35">
        <w:r>
          <w:rPr>
            <w:i/>
            <w:rStyle w:val="Hyperlink"/>
          </w:rPr>
          <w:t xml:space="preserve">Whitney v. California</w:t>
        </w:r>
      </w:hyperlink>
      <w:r>
        <w:t xml:space="preserve"> </w:t>
      </w:r>
      <w:r>
        <w:t xml:space="preserve">(US 1927)</w:t>
      </w:r>
    </w:p>
    <w:p>
      <w:pPr>
        <w:pStyle w:val="FirstParagraph"/>
      </w:pPr>
      <w:r>
        <w:t xml:space="preserve">See how Justice Brandeis suggests that the First Amendment does not exist to protect</w:t>
      </w:r>
      <w:r>
        <w:t xml:space="preserve"> </w:t>
      </w:r>
      <w:r>
        <w:rPr>
          <w:i/>
        </w:rPr>
        <w:t xml:space="preserve">all</w:t>
      </w:r>
      <w:r>
        <w:t xml:space="preserve"> </w:t>
      </w:r>
      <w:r>
        <w:t xml:space="preserve">speech; it exists to protect speech that leads to the discovery and spread of "political truth." Brandeis wants to protect speech, not because it's an absolute value or good for the soul, but because it's essential for democracy and</w:t>
      </w:r>
      <w:r>
        <w:t xml:space="preserve"> </w:t>
      </w:r>
      <w:hyperlink r:id="rId36">
        <w:r>
          <w:rPr>
            <w:rStyle w:val="Hyperlink"/>
          </w:rPr>
          <w:t xml:space="preserve">civic republicanism</w:t>
        </w:r>
      </w:hyperlink>
      <w:r>
        <w:t xml:space="preserve">. Quite a different concern than Justice Holmes' marketplace where ideas fight it out for survival of the fittest. In fact, Holmes would probably say that there is no such thing as "political truth." Truth is whatever the marketplace says it is. If cat videos beat out President Obama's State of the Union address, so be it.</w:t>
      </w:r>
    </w:p>
    <w:p>
      <w:pPr>
        <w:pStyle w:val="BodyText"/>
      </w:pPr>
      <w:r>
        <w:t xml:space="preserve">First Amendment cases in the United States Supreme Court are dramatic battles, usually between speakers with unpopular or dangerous views and governments that want to ban or censor their speech. What will happen when the family of a fallen veteran sues the Westboro Baptist Church for picketing their son's funeral? Or what about virtual child pornography? Or pornography made without using real children, and all of the "actors" are computer generated? Is virtual child pornography subject to the same extremely serious penalties that the government imposes on creating, possessing, or distributing child pornography created by using real child actors?</w:t>
      </w:r>
    </w:p>
    <w:p>
      <w:pPr>
        <w:pStyle w:val="BodyText"/>
      </w:pPr>
      <w:r>
        <w:t xml:space="preserve">But a film producer or a director or a screenwriter or author needs an entertainment lawyer, not a con law scholar.</w:t>
      </w:r>
    </w:p>
    <w:p>
      <w:pPr>
        <w:pStyle w:val="Heading2"/>
      </w:pPr>
      <w:bookmarkStart w:id="37" w:name="are-movies-speech"/>
      <w:bookmarkEnd w:id="37"/>
      <w:r>
        <w:t xml:space="preserve">Are Movies Speech?</w:t>
      </w:r>
    </w:p>
    <w:p>
      <w:pPr>
        <w:pStyle w:val="FirstParagraph"/>
      </w:pPr>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8" w:name="mutual-film-corp.-v.-industrial-commission-of-ohio"/>
      <w:bookmarkEnd w:id="38"/>
      <w:r>
        <w:rPr>
          <w:i/>
        </w:rPr>
        <w:t xml:space="preserve">Mutual Film Corp. v. Industrial Commission of Ohio</w:t>
      </w:r>
    </w:p>
    <w:p>
      <w:pPr>
        <w:pStyle w:val="Heading6"/>
      </w:pPr>
      <w:bookmarkStart w:id="39" w:name="u.s.-supreme-court-1915"/>
      <w:bookmarkEnd w:id="39"/>
      <w:r>
        <w:t xml:space="preserve">U.S. Supreme Court (1915)</w:t>
      </w:r>
    </w:p>
    <w:p>
      <w:pPr>
        <w:pStyle w:val="Compact"/>
        <w:numPr>
          <w:numId w:val="1002"/>
          <w:ilvl w:val="0"/>
        </w:numPr>
      </w:pPr>
      <w:hyperlink r:id="rId40">
        <w:r>
          <w:rPr>
            <w:rStyle w:val="Hyperlink"/>
          </w:rPr>
          <w:t xml:space="preserve">case at Google Scholar</w:t>
        </w:r>
      </w:hyperlink>
    </w:p>
    <w:p>
      <w:pPr>
        <w:pStyle w:val="Compact"/>
        <w:numPr>
          <w:numId w:val="1002"/>
          <w:ilvl w:val="0"/>
        </w:numPr>
      </w:pPr>
      <w:hyperlink r:id="rId41">
        <w:r>
          <w:rPr>
            <w:rStyle w:val="Hyperlink"/>
          </w:rPr>
          <w:t xml:space="preserve">case on Westlaw</w:t>
        </w:r>
      </w:hyperlink>
    </w:p>
    <w:p>
      <w:pPr>
        <w:pStyle w:val="Compact"/>
        <w:numPr>
          <w:numId w:val="1002"/>
          <w:ilvl w:val="0"/>
        </w:numPr>
      </w:pPr>
      <w:hyperlink r:id="rId42">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 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 "freedom of speech" 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3" w:name="the-hays-code"/>
      <w:bookmarkEnd w:id="43"/>
      <w:r>
        <w:t xml:space="preserve">The Hays Code</w:t>
      </w:r>
    </w:p>
    <w:p>
      <w:pPr>
        <w:pStyle w:val="FirstParagraph"/>
      </w:pPr>
      <w:r>
        <w:t xml:space="preserve">Hollywood panicked at the prospect of trying to distribute movies in fifty different states with fifty different boards of censorship and fifty different ideas about what makes a film "moral, educational or amusing and harmless."</w:t>
      </w:r>
    </w:p>
    <w:p>
      <w:pPr>
        <w:pStyle w:val="BodyText"/>
      </w:pPr>
      <w:r>
        <w:t xml:space="preserve">From 1915 (the date of the</w:t>
      </w:r>
      <w:r>
        <w:t xml:space="preserve"> </w:t>
      </w:r>
      <w:r>
        <w:rPr>
          <w:i/>
        </w:rPr>
        <w:t xml:space="preserve">Mutual Film</w:t>
      </w:r>
      <w:r>
        <w:t xml:space="preserve"> </w:t>
      </w:r>
      <w:r>
        <w:t xml:space="preserve">decision) to 1952, the film industry zealously regulated itself to show the states they need not worry about censoring Hollywood movies. The industry created the infamous Motion Picture Production Code aka the "Hays Code" and aggressively enforced it.</w:t>
      </w:r>
    </w:p>
    <w:p>
      <w:pPr>
        <w:pStyle w:val="BodyText"/>
      </w:pPr>
      <w:r>
        <w:t xml:space="preserve">Named after Will H. Hays, president of the Motion Picture Producers and Distributors of America from 1922 to 1945, 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4" w:name="joseph-burstyn-inc.-v.-wilson"/>
      <w:bookmarkEnd w:id="44"/>
      <w:r>
        <w:rPr>
          <w:i/>
        </w:rPr>
        <w:t xml:space="preserve">Joseph Burstyn, Inc. v. Wilson</w:t>
      </w:r>
    </w:p>
    <w:p>
      <w:pPr>
        <w:pStyle w:val="Heading6"/>
      </w:pPr>
      <w:bookmarkStart w:id="45" w:name="u.s.-supreme-court-1952"/>
      <w:bookmarkEnd w:id="45"/>
      <w:r>
        <w:t xml:space="preserve">U.S. Supreme Court (1952)</w:t>
      </w:r>
    </w:p>
    <w:p>
      <w:pPr>
        <w:pStyle w:val="Compact"/>
        <w:numPr>
          <w:numId w:val="1004"/>
          <w:ilvl w:val="0"/>
        </w:numPr>
      </w:pPr>
      <w:hyperlink r:id="rId46">
        <w:r>
          <w:rPr>
            <w:rStyle w:val="Hyperlink"/>
          </w:rPr>
          <w:t xml:space="preserve">case at Google Scholar</w:t>
        </w:r>
      </w:hyperlink>
    </w:p>
    <w:p>
      <w:pPr>
        <w:pStyle w:val="Compact"/>
        <w:numPr>
          <w:numId w:val="1004"/>
          <w:ilvl w:val="0"/>
        </w:numPr>
      </w:pPr>
      <w:hyperlink r:id="rId47">
        <w:r>
          <w:rPr>
            <w:rStyle w:val="Hyperlink"/>
          </w:rPr>
          <w:t xml:space="preserve">how cited at Google Scholar</w:t>
        </w:r>
      </w:hyperlink>
    </w:p>
    <w:p>
      <w:pPr>
        <w:pStyle w:val="Compact"/>
        <w:numPr>
          <w:numId w:val="1004"/>
          <w:ilvl w:val="0"/>
        </w:numPr>
      </w:pPr>
      <w:hyperlink r:id="rId48">
        <w:r>
          <w:rPr>
            <w:rStyle w:val="Hyperlink"/>
          </w:rPr>
          <w:t xml:space="preserve">case at Westlaw</w:t>
        </w:r>
      </w:hyperlink>
    </w:p>
    <w:p>
      <w:pPr>
        <w:pStyle w:val="Compact"/>
        <w:numPr>
          <w:numId w:val="1004"/>
          <w:ilvl w:val="0"/>
        </w:numPr>
      </w:pPr>
      <w:hyperlink r:id="rId49">
        <w:r>
          <w:rPr>
            <w:rStyle w:val="Hyperlink"/>
          </w:rPr>
          <w:t xml:space="preserve">case at Wikipedia</w:t>
        </w:r>
      </w:hyperlink>
    </w:p>
    <w:p>
      <w:pPr>
        <w:pStyle w:val="FirstParagraph"/>
      </w:pPr>
      <w:r>
        <w:t xml:space="preserve">The Production Code became more stringent and obnoxious to filmmakers until 1952 when a "miracle" happened, namely, Roberto Rosselini's</w:t>
      </w:r>
      <w:r>
        <w:t xml:space="preserve"> </w:t>
      </w:r>
      <w:r>
        <w:rPr>
          <w:i/>
        </w:rPr>
        <w:t xml:space="preserve">The Miracle</w:t>
      </w:r>
      <w:r>
        <w:t xml:space="preserve"> </w:t>
      </w:r>
      <w:r>
        <w:t xml:space="preserve">starring Anna Magnani as a dim-witted peasant girl who mistakes a bearded stranger (played by Federico Felini) for St. Joseph, her favorite saint. The bearded stranger plies the girl with wine and apparently ravishes her. When the poor girl discovers later that she is pregnant, she cries "It is the grace of God" and decides that she is the Virgin Mary and that this must be an Immaculate Conception.</w:t>
      </w:r>
    </w:p>
    <w:p>
      <w:pPr>
        <w:pStyle w:val="BodyText"/>
      </w:pPr>
      <w:r>
        <w:t xml:space="preserve">Needless to say, the film offended and enraged Catholics all over the world, including the mighty Cardinal Spellman, Archbishop of New York, who issued a statement to be read aloud at mass in 400 New York parishes. Even though Spellman had not seen the movie, he called it "a despicable affront to every Christian" and "a blot upon the escutcheon of the Empire State" 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 The Paris Theatre on two different evenings was emptied on threat of bombings. Three members of New York's Board of Regents viewed the film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 "nothing mysterious" about the law that gave New York the right to censor films, saying: "It is simply this: that no religion, as that word is understood by the ordinary, reasonable person, shall be treated with contempt, mockery, scorn and ridicule."</w:t>
      </w:r>
    </w:p>
    <w:p>
      <w:pPr>
        <w:pStyle w:val="BodyText"/>
      </w:pPr>
      <w:r>
        <w:rPr>
          <w:i/>
        </w:rPr>
        <w:t xml:space="preserve">The Miracle</w:t>
      </w:r>
      <w:r>
        <w:t xml:space="preserve"> </w:t>
      </w:r>
      <w:r>
        <w:t xml:space="preserve">then went to the United States Supreme Court, where, in 1952, thirty-two years after the Court had declared movies to be "a business pure and simple" and not speech protected by the First Amendment, the Court finally decided not only that movies were speech protected by the First Amendment, but that any Board of censors trying to define "sacrilegious" would be "set adrift upon a boundless sea amid a myriad of conflicting currents of religious views, with no charts but those provided by the most vocal and powerful orthodoxies, New York cannot vest such unlimited restraining control over motion pictures in a censor."</w:t>
      </w:r>
    </w:p>
    <w:p>
      <w:pPr>
        <w:pStyle w:val="BodyText"/>
      </w:pPr>
      <w:r>
        <w:t xml:space="preserve">The First Amendment sometimes "feels" powerful and protective enough to take for granted, but as Justice Oliver Wendell Holmes observered "We should be eternally vigilant against attempts to check the expression of opinions that we loathe." --Oliver Wendell Holmes</w:t>
      </w:r>
    </w:p>
    <w:p>
      <w:pPr>
        <w:pStyle w:val="BodyText"/>
      </w:pPr>
      <w:r>
        <w:t xml:space="preserve">MR. JUSTICE CLARK delivered the opinion of the court.</w:t>
      </w:r>
    </w:p>
    <w:p>
      <w:pPr>
        <w:pStyle w:val="Heading4"/>
      </w:pPr>
      <w:bookmarkStart w:id="50" w:name="excerpts-from-the-burstyn-opinion"/>
      <w:bookmarkEnd w:id="50"/>
      <w:r>
        <w:t xml:space="preserve">Excerpts from the</w:t>
      </w:r>
      <w:r>
        <w:t xml:space="preserve"> </w:t>
      </w:r>
      <w:r>
        <w:rPr>
          <w:i/>
        </w:rPr>
        <w:t xml:space="preserve">Burstyn</w:t>
      </w:r>
      <w:r>
        <w:t xml:space="preserve"> </w:t>
      </w:r>
      <w:r>
        <w:t xml:space="preserve">opinion:</w:t>
      </w:r>
    </w:p>
    <w:p>
      <w:pPr>
        <w:pStyle w:val="FirstParagraph"/>
      </w:pPr>
      <w:r>
        <w:t xml:space="preserve">In a series of decisions beginning with</w:t>
      </w:r>
      <w:r>
        <w:t xml:space="preserve"> </w:t>
      </w:r>
      <w:hyperlink r:id="rId51">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2">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pPr>
        <w:pStyle w:val="BodyText"/>
      </w:pPr>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0">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pPr>
        <w:pStyle w:val="BodyText"/>
      </w:pPr>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3">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pPr>
        <w:pStyle w:val="BodyText"/>
      </w:pPr>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4">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 (1951)</w:t>
        </w:r>
      </w:hyperlink>
      <w:r>
        <w:t xml:space="preserve">.</w:t>
      </w:r>
    </w:p>
    <w:p>
      <w:pPr>
        <w:pStyle w:val="BodyText"/>
      </w:pPr>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pPr>
        <w:pStyle w:val="BodyText"/>
      </w:pPr>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pPr>
        <w:pStyle w:val="BodyText"/>
      </w:pPr>
      <w:r>
        <w:rPr>
          <w:i/>
        </w:rPr>
        <w:t xml:space="preserve">Reversed.</w:t>
      </w:r>
    </w:p>
    <w:p>
      <w:pPr>
        <w:pStyle w:val="Heading3"/>
      </w:pPr>
      <w:bookmarkStart w:id="55" w:name="categories-of-unprotected-speech"/>
      <w:bookmarkEnd w:id="55"/>
      <w:r>
        <w:t xml:space="preserve">Categories of Unprotected Speech</w:t>
      </w:r>
    </w:p>
    <w:p>
      <w:pPr>
        <w:pStyle w:val="FirstParagraph"/>
      </w:pPr>
      <w:r>
        <w:t xml:space="preserve">In declaring that movies are indeed protected speech under the First Amendment, 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6" w:name="chaplinsky-v.-new-hampshire"/>
      <w:bookmarkEnd w:id="56"/>
      <w:r>
        <w:rPr>
          <w:i/>
        </w:rPr>
        <w:t xml:space="preserve">Chaplinsky v. New Hampshire</w:t>
      </w:r>
    </w:p>
    <w:p>
      <w:pPr>
        <w:pStyle w:val="Heading6"/>
      </w:pPr>
      <w:bookmarkStart w:id="57" w:name="u.s.-supreme-court-1942"/>
      <w:bookmarkEnd w:id="57"/>
      <w:r>
        <w:t xml:space="preserve">U.S. Supreme Court (1942)</w:t>
      </w:r>
    </w:p>
    <w:p>
      <w:pPr>
        <w:pStyle w:val="Compact"/>
        <w:numPr>
          <w:numId w:val="1005"/>
          <w:ilvl w:val="0"/>
        </w:numPr>
      </w:pPr>
      <w:hyperlink r:id="rId58">
        <w:r>
          <w:rPr>
            <w:rStyle w:val="Hyperlink"/>
          </w:rPr>
          <w:t xml:space="preserve">case at Google Scholar</w:t>
        </w:r>
      </w:hyperlink>
    </w:p>
    <w:p>
      <w:pPr>
        <w:pStyle w:val="Compact"/>
        <w:numPr>
          <w:numId w:val="1005"/>
          <w:ilvl w:val="0"/>
        </w:numPr>
      </w:pPr>
      <w:hyperlink r:id="rId59">
        <w:r>
          <w:rPr>
            <w:rStyle w:val="Hyperlink"/>
          </w:rPr>
          <w:t xml:space="preserve">case at Westlaw</w:t>
        </w:r>
      </w:hyperlink>
      <w:r>
        <w:t xml:space="preserve">.</w:t>
      </w:r>
    </w:p>
    <w:p>
      <w:pPr>
        <w:pStyle w:val="Compact"/>
        <w:numPr>
          <w:numId w:val="1005"/>
          <w:ilvl w:val="0"/>
        </w:numPr>
      </w:pPr>
      <w:hyperlink r:id="rId60">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pPr>
        <w:pStyle w:val="FirstParagraph"/>
      </w:pPr>
      <w:r>
        <w:t xml:space="preserve">Chaplinsky appealed all the way to the Supreme Court, claiming that the law was "vague" 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1" w:name="unprotected-speech"/>
      <w:bookmarkEnd w:id="61"/>
      <w:r>
        <w:t xml:space="preserve">Unprotected Speech</w:t>
      </w:r>
    </w:p>
    <w:p>
      <w:pPr>
        <w:pStyle w:val="FirstParagraph"/>
      </w:pPr>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categories of speech historically not protected by the First Amendment, but also famous for planting the seed of the notion that not all speech is valuable or "essential" to the "exposition of ideas," a very Brandeis-like argument.</w:t>
      </w:r>
    </w:p>
    <w:p>
      <w:pPr>
        <w:pStyle w:val="BodyText"/>
      </w:pPr>
      <w:r>
        <w:t xml:space="preserve">Some of the categories (the obscene, the libelous, fighting words) are still with us. The Court has outlined several others (incitement, child pornography), but as we'll soon see the current Roberts Court is not receptive to legislatures adding "new" categories of unprotected speech, like</w:t>
      </w:r>
      <w:r>
        <w:t xml:space="preserve"> </w:t>
      </w:r>
      <w:hyperlink r:id="rId62">
        <w:r>
          <w:rPr>
            <w:rStyle w:val="Hyperlink"/>
          </w:rPr>
          <w:t xml:space="preserve">stolen valor speech</w:t>
        </w:r>
      </w:hyperlink>
      <w:r>
        <w:t xml:space="preserve">, or</w:t>
      </w:r>
      <w:r>
        <w:t xml:space="preserve"> </w:t>
      </w:r>
      <w:hyperlink r:id="rId63">
        <w:r>
          <w:rPr>
            <w:rStyle w:val="Hyperlink"/>
          </w:rPr>
          <w:t xml:space="preserve">animal crush videos</w:t>
        </w:r>
      </w:hyperlink>
      <w:r>
        <w:t xml:space="preserve">.</w:t>
      </w:r>
    </w:p>
    <w:p>
      <w:pPr>
        <w:pStyle w:val="BodyText"/>
      </w:pPr>
      <w:r>
        <w:t xml:space="preserve">Other governments have different concerns and different categories of offensive speech. France and Germany prohibit varieties of hate speech or speech denying the historical facts of the Holocaust.</w:t>
      </w:r>
      <w:r>
        <w:t xml:space="preserve"> </w:t>
      </w:r>
      <w:hyperlink r:id="rId64">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64">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 collected at Wikipedia:</w:t>
      </w:r>
      <w:r>
        <w:t xml:space="preserve"> </w:t>
      </w:r>
      <w:hyperlink r:id="rId65">
        <w:r>
          <w:rPr>
            <w:rStyle w:val="Hyperlink"/>
          </w:rPr>
          <w:t xml:space="preserve">Free Speech By Country</w:t>
        </w:r>
      </w:hyperlink>
      <w:r>
        <w:t xml:space="preserve">. Canadian courts have held that pornography that is "degrading or dehumanizing" to women may be prohibited (see</w:t>
      </w:r>
      <w:r>
        <w:t xml:space="preserve"> </w:t>
      </w:r>
      <w:hyperlink r:id="rId66">
        <w:r>
          <w:rPr>
            <w:rStyle w:val="Hyperlink"/>
          </w:rPr>
          <w:t xml:space="preserve">R. v. Butler</w:t>
        </w:r>
      </w:hyperlink>
      <w:r>
        <w:t xml:space="preserve"> </w:t>
      </w:r>
      <w:r>
        <w:t xml:space="preserve">an analysis explicitly rejected by Judge Frank Easterbrook in</w:t>
      </w:r>
      <w:r>
        <w:t xml:space="preserve"> </w:t>
      </w: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BodyText"/>
      </w:pPr>
      <w:r>
        <w:t xml:space="preserve">When it comes to the United States, consider this</w:t>
      </w:r>
      <w:r>
        <w:t xml:space="preserve"> </w:t>
      </w:r>
      <w:hyperlink r:id="rId69">
        <w:r>
          <w:rPr>
            <w:rStyle w:val="Hyperlink"/>
          </w:rPr>
          <w:t xml:space="preserve">nice summary of speech restrictions and unprotected speech categories</w:t>
        </w:r>
      </w:hyperlink>
      <w:r>
        <w:t xml:space="preserve">.</w:t>
      </w:r>
    </w:p>
    <w:p>
      <w:pPr>
        <w:pStyle w:val="BodyText"/>
      </w:pPr>
      <w:r>
        <w:t xml:space="preserve">Child pornography and disclosing classified communications in violation of the Espionage Act are good examples. Both involve SPEECH, but the U.S. Supreme Court says that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70">
        <w:r>
          <w:rPr>
            <w:rStyle w:val="Hyperlink"/>
          </w:rPr>
          <w:t xml:space="preserve">18 U.S. Code § 2251 - Sexual exploitation of children</w:t>
        </w:r>
      </w:hyperlink>
    </w:p>
    <w:p>
      <w:pPr>
        <w:pStyle w:val="Heading4"/>
      </w:pPr>
      <w:bookmarkStart w:id="71" w:name="totally-optional-reading"/>
      <w:bookmarkEnd w:id="71"/>
      <w:r>
        <w:t xml:space="preserve">Totally Optional Reading</w:t>
      </w:r>
    </w:p>
    <w:p>
      <w:pPr>
        <w:pStyle w:val="Compact"/>
        <w:numPr>
          <w:numId w:val="1006"/>
          <w:ilvl w:val="0"/>
        </w:numPr>
      </w:pPr>
      <w:hyperlink r:id="rId27">
        <w:r>
          <w:rPr>
            <w:rStyle w:val="Hyperlink"/>
          </w:rPr>
          <w:t xml:space="preserve">Eugene Volokh on the meaning of "Congress shall make no law . . ."</w:t>
        </w:r>
      </w:hyperlink>
      <w:r>
        <w:t xml:space="preserve">. If the the tiny print bothers you, try</w:t>
      </w:r>
      <w:r>
        <w:t xml:space="preserve"> </w:t>
      </w:r>
      <w:hyperlink r:id="rId72">
        <w:r>
          <w:rPr>
            <w:rStyle w:val="Hyperlink"/>
          </w:rPr>
          <w:t xml:space="preserve">Readability.</w:t>
        </w:r>
      </w:hyperlink>
    </w:p>
    <w:p>
      <w:pPr>
        <w:pStyle w:val="Compact"/>
        <w:numPr>
          <w:numId w:val="1006"/>
          <w:ilvl w:val="0"/>
        </w:numPr>
      </w:pPr>
      <w:hyperlink r:id="rId73">
        <w:r>
          <w:rPr>
            <w:rStyle w:val="Hyperlink"/>
          </w:rPr>
          <w:t xml:space="preserve">Congress Shall Make No Law . . .</w:t>
        </w:r>
      </w:hyperlink>
      <w:r>
        <w:t xml:space="preserve">, by Richard Dooling</w:t>
      </w:r>
    </w:p>
    <w:p>
      <w:pPr>
        <w:pStyle w:val="Compact"/>
        <w:numPr>
          <w:numId w:val="1006"/>
          <w:ilvl w:val="0"/>
        </w:numPr>
      </w:pPr>
      <w:hyperlink r:id="rId74">
        <w:r>
          <w:rPr>
            <w:rStyle w:val="Hyperlink"/>
          </w:rPr>
          <w:t xml:space="preserve">ACLU: Freedom of Expression in the Arts &amp; Entertainment</w:t>
        </w:r>
      </w:hyperlink>
    </w:p>
    <w:p>
      <w:pPr>
        <w:pStyle w:val="Compact"/>
        <w:numPr>
          <w:numId w:val="1006"/>
          <w:ilvl w:val="0"/>
        </w:numPr>
      </w:pPr>
      <w:hyperlink r:id="rId75">
        <w:r>
          <w:rPr>
            <w:i/>
            <w:rStyle w:val="Hyperlink"/>
          </w:rPr>
          <w:t xml:space="preserve">The Atlantic:</w:t>
        </w:r>
        <w:r>
          <w:rPr>
            <w:rStyle w:val="Hyperlink"/>
          </w:rPr>
          <w:t xml:space="preserve"> </w:t>
        </w:r>
        <w:r>
          <w:rPr>
            <w:rStyle w:val="Hyper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06"/>
          <w:ilvl w:val="0"/>
        </w:numPr>
      </w:pPr>
      <w:hyperlink r:id="rId76">
        <w:r>
          <w:rPr>
            <w:i/>
            <w:rStyle w:val="Hyperlink"/>
          </w:rPr>
          <w:t xml:space="preserve">The Atlantic:</w:t>
        </w:r>
        <w:r>
          <w:rPr>
            <w:rStyle w:val="Hyperlink"/>
          </w:rPr>
          <w:t xml:space="preserve"> </w:t>
        </w:r>
        <w:r>
          <w:rPr>
            <w:rStyle w:val="Hyper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77">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 ‘shouting fire in a theater’</w:t>
        </w:r>
      </w:hyperlink>
    </w:p>
    <w:p>
      <w:pPr>
        <w:pStyle w:val="Compact"/>
        <w:numPr>
          <w:numId w:val="1006"/>
          <w:ilvl w:val="0"/>
        </w:numPr>
      </w:pPr>
      <w:hyperlink r:id="rId78">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79">
        <w:r>
          <w:rPr>
            <w:rStyle w:val="Hyperlink"/>
          </w:rPr>
          <w:t xml:space="preserve">Fox Urges End to Broadcast Indecency Limits</w:t>
        </w:r>
      </w:hyperlink>
    </w:p>
    <w:p>
      <w:pPr>
        <w:pStyle w:val="Compact"/>
        <w:numPr>
          <w:numId w:val="1006"/>
          <w:ilvl w:val="0"/>
        </w:numPr>
      </w:pPr>
      <w:hyperlink r:id="rId80">
        <w:r>
          <w:rPr>
            <w:rStyle w:val="Hyperlink"/>
          </w:rPr>
          <w:t xml:space="preserve">Highest criminal court in Texas strikes down "improper photography" statute</w:t>
        </w:r>
      </w:hyperlink>
    </w:p>
    <w:p>
      <w:pPr>
        <w:pStyle w:val="Heading3"/>
      </w:pPr>
      <w:bookmarkStart w:id="81" w:name="referencefootnote-cases"/>
      <w:bookmarkEnd w:id="81"/>
      <w:r>
        <w:t xml:space="preserve">Reference/Footnote Cases</w:t>
      </w:r>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2">
        <w:r>
          <w:rPr>
            <w:i/>
            <w:rStyle w:val="Hyperlink"/>
          </w:rPr>
          <w:t xml:space="preserve">Yahoo! Inc. v. La Ligue Contre Le Racisme et l’antisemitisme (LICRA),</w:t>
        </w:r>
      </w:hyperlink>
      <w:r>
        <w:t xml:space="preserve"> </w:t>
      </w:r>
      <w:r>
        <w:t xml:space="preserve">433 F.3d 1199 (9th Cir. 2006).</w:t>
      </w:r>
      <w:r>
        <w:t xml:space="preserve"> </w:t>
      </w:r>
      <w:hyperlink r:id="rId83">
        <w:r>
          <w:rPr>
            <w:rStyle w:val="Hyperlink"/>
          </w:rPr>
          <w:t xml:space="preserve">Wikipedia</w:t>
        </w:r>
      </w:hyperlink>
      <w:r>
        <w:t xml:space="preserve">.</w:t>
      </w:r>
    </w:p>
    <w:p>
      <w:pPr>
        <w:pStyle w:val="Compact"/>
        <w:numPr>
          <w:numId w:val="1007"/>
          <w:ilvl w:val="0"/>
        </w:numPr>
      </w:pPr>
      <w:hyperlink r:id="rId48">
        <w:r>
          <w:rPr>
            <w:i/>
            <w:rStyle w:val="Hyperlink"/>
          </w:rPr>
          <w:t xml:space="preserve">Joseph Burstyn, Inc. v. Wilson</w:t>
        </w:r>
      </w:hyperlink>
      <w:r>
        <w:t xml:space="preserve">, 343 U.S. 495 (1952) 72 S.Ct. 777, 96 L.Ed. 1098, 1 Media L. Rep. 1357.</w:t>
      </w:r>
      <w:r>
        <w:t xml:space="preserve"> </w:t>
      </w:r>
      <w:hyperlink r:id="rId49">
        <w:r>
          <w:rPr>
            <w:rStyle w:val="Hyperlink"/>
          </w:rPr>
          <w:t xml:space="preserve">Wikipedia</w:t>
        </w:r>
      </w:hyperlink>
      <w:r>
        <w:t xml:space="preserve">.</w:t>
      </w:r>
    </w:p>
    <w:p>
      <w:pPr>
        <w:pStyle w:val="Compact"/>
        <w:numPr>
          <w:numId w:val="1007"/>
          <w:ilvl w:val="0"/>
        </w:numPr>
      </w:pPr>
      <w:hyperlink r:id="rId84">
        <w:r>
          <w:rPr>
            <w:i/>
            <w:rStyle w:val="Hyperlink"/>
          </w:rPr>
          <w:t xml:space="preserve">Brandenberg v. Ohio</w:t>
        </w:r>
      </w:hyperlink>
      <w:r>
        <w:t xml:space="preserve">, 395 US 44 (1969).</w:t>
      </w:r>
      <w:r>
        <w:t xml:space="preserve"> </w:t>
      </w:r>
      <w:hyperlink r:id="rId85">
        <w:r>
          <w:rPr>
            <w:rStyle w:val="Hyperlink"/>
          </w:rPr>
          <w:t xml:space="preserve">Wikipedia</w:t>
        </w:r>
      </w:hyperlink>
      <w:r>
        <w:t xml:space="preserve">.</w:t>
      </w:r>
    </w:p>
    <w:p>
      <w:pPr>
        <w:pStyle w:val="Compact"/>
        <w:numPr>
          <w:numId w:val="1007"/>
          <w:ilvl w:val="0"/>
        </w:numPr>
      </w:pPr>
      <w:hyperlink r:id="rId86">
        <w:r>
          <w:rPr>
            <w:i/>
            <w:rStyle w:val="Hyperlink"/>
          </w:rPr>
          <w:t xml:space="preserve">New York Times Co. v. Sullivan</w:t>
        </w:r>
      </w:hyperlink>
      <w:r>
        <w:t xml:space="preserve">, 376 U.S. 254 (1964).</w:t>
      </w:r>
      <w:r>
        <w:t xml:space="preserve"> </w:t>
      </w:r>
      <w:hyperlink r:id="rId87">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88">
        <w:r>
          <w:rPr>
            <w:rStyle w:val="Hyperlink"/>
          </w:rPr>
          <w:t xml:space="preserve">Wikipedia</w:t>
        </w:r>
      </w:hyperlink>
    </w:p>
    <w:p>
      <w:pPr>
        <w:pStyle w:val="Compact"/>
        <w:numPr>
          <w:numId w:val="1007"/>
          <w:ilvl w:val="0"/>
        </w:numPr>
      </w:pPr>
      <w:r>
        <w:t xml:space="preserve">The</w:t>
      </w:r>
      <w:r>
        <w:t xml:space="preserve"> </w:t>
      </w:r>
      <w:hyperlink r:id="rId89">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0">
        <w:r>
          <w:rPr>
            <w:i/>
            <w:rStyle w:val="Hyperlink"/>
          </w:rPr>
          <w:t xml:space="preserve">New York v. Ferber</w:t>
        </w:r>
      </w:hyperlink>
      <w:r>
        <w:t xml:space="preserve">, 458 US 747 (1982).</w:t>
      </w:r>
      <w:r>
        <w:t xml:space="preserve"> </w:t>
      </w:r>
      <w:hyperlink r:id="rId91">
        <w:r>
          <w:rPr>
            <w:rStyle w:val="Hyperlink"/>
          </w:rPr>
          <w:t xml:space="preserve">Wikipedia</w:t>
        </w:r>
      </w:hyperlink>
      <w:r>
        <w:t xml:space="preserve">.</w:t>
      </w:r>
    </w:p>
    <w:p>
      <w:pPr>
        <w:pStyle w:val="Compact"/>
        <w:numPr>
          <w:numId w:val="1007"/>
          <w:ilvl w:val="0"/>
        </w:numPr>
      </w:pP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Heading3"/>
      </w:pPr>
      <w:bookmarkStart w:id="92" w:name="changelog"/>
      <w:bookmarkEnd w:id="92"/>
      <w:r>
        <w:t xml:space="preserve">Changelog</w:t>
      </w:r>
    </w:p>
    <w:p>
      <w:pPr>
        <w:pStyle w:val="Compact"/>
        <w:numPr>
          <w:numId w:val="1008"/>
          <w:ilvl w:val="0"/>
        </w:numPr>
      </w:pPr>
      <w:r>
        <w:t xml:space="preserve">Version 1.1 - 28-Aug-2015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2f5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742f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fba3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