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30-Aug-2014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r>
        <w:t xml:space="preserve">If speech is just too "sexy," it can be banned. If its indecent, it can be regulated. But what if speech is just too violent? What if your client's rap song arguably "inspires" or</w:t>
      </w:r>
      <w:r>
        <w:t xml:space="preserve"> </w:t>
      </w:r>
      <w:hyperlink r:id="rId24">
        <w:r>
          <w:rPr>
            <w:rStyle w:val="Link"/>
          </w:rPr>
          <w:t xml:space="preserve">"causes" somebody to shoot a cop?</w:t>
        </w:r>
      </w:hyperlink>
      <w:r>
        <w:t xml:space="preserve"> </w:t>
      </w:r>
      <w:r>
        <w:t xml:space="preserve">Or your client's lurid magazine article about erotic asphyxiation arguably “causes” somebody to try it out for themselves,</w:t>
      </w:r>
      <w:r>
        <w:t xml:space="preserve"> </w:t>
      </w:r>
      <w:hyperlink r:id="rId25">
        <w:r>
          <w:rPr>
            <w:rStyle w:val="Link"/>
          </w:rPr>
          <w:t xml:space="preserve">accidentally hanging themselves</w:t>
        </w:r>
      </w:hyperlink>
      <w:r>
        <w:t xml:space="preserve">. At trial the victim's family argues that your client's lurid article about erotic asphyxiation was really just a how-to for teenage thrill-seekers.</w:t>
      </w:r>
    </w:p>
    <w:p>
      <w:r>
        <w:t xml:space="preserve">What if Subliminal lyrics in your heavy metal song arguably "cause" somebody to commit suicide? Or your violent video game arguably "causes" or "inspires" a school shooting?</w:t>
      </w:r>
    </w:p>
    <w:p>
      <w:r>
        <w:t xml:space="preserve">Shall we allow the family members of these victims to sue you in tort for indirectly "causing" the death of their loved ones? Fourteen different murderers have said that Oliver Stone’s</w:t>
      </w:r>
      <w:r>
        <w:t xml:space="preserve"> </w:t>
      </w:r>
      <w:r>
        <w:rPr>
          <w:i/>
        </w:rPr>
        <w:t xml:space="preserve">Natural Born Killers</w:t>
      </w:r>
      <w:r>
        <w:t xml:space="preserve"> </w:t>
      </w:r>
      <w:hyperlink r:id="rId26">
        <w:r>
          <w:rPr>
            <w:rStyle w:val="Link"/>
          </w:rPr>
          <w:t xml:space="preserve">inspired them to go on crime sprees of their own</w:t>
        </w:r>
      </w:hyperlink>
      <w:r>
        <w:t xml:space="preserve">.</w:t>
      </w:r>
    </w:p>
    <w:p>
      <w:r>
        <w:t xml:space="preserve">What if somebody hires you to make a documentary about the production and sale of so-called</w:t>
      </w:r>
      <w:r>
        <w:t xml:space="preserve"> </w:t>
      </w:r>
      <w:hyperlink r:id="rId27">
        <w:r>
          <w:rPr>
            <w:rStyle w:val="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regulated?</w:t>
      </w:r>
    </w:p>
    <w:p>
      <w:r>
        <w:t xml:space="preserve">Do we need a</w:t>
      </w:r>
      <w:r>
        <w:t xml:space="preserve"> </w:t>
      </w:r>
      <w:hyperlink r:id="rId28">
        <w:r>
          <w:rPr>
            <w:i/>
            <w:rStyle w:val="Link"/>
          </w:rPr>
          <w:t xml:space="preserve">Miller</w:t>
        </w:r>
        <w:r>
          <w:rPr>
            <w:rStyle w:val="Link"/>
          </w:rPr>
          <w:t xml:space="preserve"> </w:t>
        </w:r>
        <w:r>
          <w:rPr>
            <w:rStyle w:val="Link"/>
          </w:rPr>
          <w:t xml:space="preserve">test</w:t>
        </w:r>
      </w:hyperlink>
      <w:r>
        <w:t xml:space="preserve"> </w:t>
      </w:r>
      <w:r>
        <w:t xml:space="preserve">for violence? If regulation is required, who should regulate? The government? Industry groups, like the</w:t>
      </w:r>
      <w:r>
        <w:t xml:space="preserve"> </w:t>
      </w:r>
      <w:hyperlink r:id="rId29">
        <w:r>
          <w:rPr>
            <w:rStyle w:val="Link"/>
          </w:rPr>
          <w:t xml:space="preserve">Motion Picture Association of America (MPAA)</w:t>
        </w:r>
      </w:hyperlink>
      <w:r>
        <w:t xml:space="preserve"> </w:t>
      </w:r>
      <w:r>
        <w:t xml:space="preserve">or the</w:t>
      </w:r>
      <w:r>
        <w:t xml:space="preserve"> </w:t>
      </w:r>
      <w:hyperlink r:id="rId30">
        <w:r>
          <w:rPr>
            <w:rStyle w:val="Link"/>
          </w:rPr>
          <w:t xml:space="preserve">Entertainment Software Ratings Board (ESRB)</w:t>
        </w:r>
      </w:hyperlink>
      <w:r>
        <w:t xml:space="preserve">? Or shall we allow civil liability in the form of tort suits against content providers who publish material that arguably amounts to incitement to violence?</w:t>
      </w:r>
    </w:p>
    <w:p>
      <w:pPr>
        <w:pStyle w:val="Heading2"/>
      </w:pPr>
      <w:bookmarkStart w:id="31" w:name="brown-v.-entertainment-merchants"/>
      <w:bookmarkEnd w:id="31"/>
      <w:r>
        <w:t xml:space="preserve">Brown v. Entertainment Merchants</w:t>
      </w:r>
    </w:p>
    <w:p>
      <w:pPr>
        <w:pStyle w:val="Heading6"/>
      </w:pPr>
      <w:bookmarkStart w:id="32" w:name="u.s.-supreme-court-2011"/>
      <w:bookmarkEnd w:id="32"/>
      <w:r>
        <w:t xml:space="preserve">U.S. Supreme Court (2011)</w:t>
      </w:r>
    </w:p>
    <w:p>
      <w:pPr>
        <w:pStyle w:val="Compact"/>
        <w:numPr>
          <w:numId w:val="1001"/>
          <w:ilvl w:val="0"/>
        </w:numPr>
      </w:pPr>
      <w:hyperlink r:id="rId33">
        <w:r>
          <w:rPr>
            <w:rStyle w:val="Link"/>
          </w:rPr>
          <w:t xml:space="preserve">case at Google Scholar</w:t>
        </w:r>
      </w:hyperlink>
    </w:p>
    <w:p>
      <w:pPr>
        <w:pStyle w:val="Compact"/>
        <w:numPr>
          <w:numId w:val="1001"/>
          <w:ilvl w:val="0"/>
        </w:numPr>
      </w:pPr>
      <w:hyperlink r:id="rId34">
        <w:r>
          <w:rPr>
            <w:rStyle w:val="Link"/>
          </w:rPr>
          <w:t xml:space="preserve">how cited at Google Scholar</w:t>
        </w:r>
      </w:hyperlink>
    </w:p>
    <w:p>
      <w:pPr>
        <w:pStyle w:val="Compact"/>
        <w:numPr>
          <w:numId w:val="1001"/>
          <w:ilvl w:val="0"/>
        </w:numPr>
      </w:pPr>
      <w:hyperlink r:id="rId35">
        <w:r>
          <w:rPr>
            <w:rStyle w:val="Link"/>
          </w:rPr>
          <w:t xml:space="preserve">case at Westlaw</w:t>
        </w:r>
      </w:hyperlink>
    </w:p>
    <w:p>
      <w:pPr>
        <w:pStyle w:val="Compact"/>
        <w:numPr>
          <w:numId w:val="1001"/>
          <w:ilvl w:val="0"/>
        </w:numPr>
      </w:pPr>
      <w:hyperlink r:id="rId36">
        <w:r>
          <w:rPr>
            <w:rStyle w:val="Link"/>
          </w:rPr>
          <w:t xml:space="preserve">case at Wikipedia</w:t>
        </w:r>
      </w:hyperlink>
      <w:r>
        <w:t xml:space="preserve">.</w:t>
      </w:r>
    </w:p>
    <w:p>
      <w:r>
        <w:t xml:space="preserve">Justice SCALIA delivered the opinion of the Court.</w:t>
      </w:r>
    </w:p>
    <w:p>
      <w:r>
        <w:t xml:space="preserve">We consider whether a California law imposing restrictions on violent video games comports with the First Amendment.</w:t>
      </w:r>
    </w:p>
    <w:p>
      <w:pPr>
        <w:pStyle w:val="Heading3"/>
      </w:pPr>
      <w:bookmarkStart w:id="37" w:name="i"/>
      <w:bookmarkEnd w:id="37"/>
      <w:r>
        <w:t xml:space="preserve">I</w:t>
      </w:r>
    </w:p>
    <w:p>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Quote"/>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r>
        <w:t xml:space="preserve">Violation of the Act is punishable by a civil fine of up to $1,000.</w:t>
      </w:r>
    </w:p>
    <w:p>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8">
        <w:r>
          <w:rPr>
            <w:i/>
            <w:rStyle w:val="Link"/>
          </w:rPr>
          <w:t xml:space="preserve">Video Software Dealers Assn. v. Schwarzenegger</w:t>
        </w:r>
      </w:hyperlink>
      <w:r>
        <w:t xml:space="preserve"> </w:t>
      </w:r>
      <w:r>
        <w:t xml:space="preserve">… The Court of Appeals affirmed,</w:t>
      </w:r>
      <w:r>
        <w:t xml:space="preserve"> </w:t>
      </w:r>
      <w:hyperlink r:id="rId38">
        <w:r>
          <w:rPr>
            <w:i/>
            <w:rStyle w:val="Link"/>
          </w:rPr>
          <w:t xml:space="preserve">Video Software Dealers Assn. v. Schwarzenegger,</w:t>
        </w:r>
        <w:r>
          <w:rPr>
            <w:rStyle w:val="Link"/>
          </w:rPr>
          <w:t xml:space="preserve"> </w:t>
        </w:r>
        <w:r>
          <w:rPr>
            <w:rStyle w:val="Link"/>
          </w:rPr>
          <w:t xml:space="preserve">556 F.3d 950 (C.A.9 2009),</w:t>
        </w:r>
      </w:hyperlink>
      <w:r>
        <w:t xml:space="preserve"> </w:t>
      </w:r>
      <w:r>
        <w:t xml:space="preserve">and we granted certiorari …</w:t>
      </w:r>
    </w:p>
    <w:p>
      <w:pPr>
        <w:pStyle w:val="Heading2"/>
      </w:pPr>
      <w:bookmarkStart w:id="39" w:name="ii"/>
      <w:bookmarkEnd w:id="39"/>
      <w:r>
        <w:t xml:space="preserve">II</w:t>
      </w:r>
    </w:p>
    <w:p>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0">
        <w:r>
          <w:rPr>
            <w:i/>
            <w:rStyle w:val="Link"/>
          </w:rPr>
          <w:t xml:space="preserve">Winters v. New York,</w:t>
        </w:r>
        <w:r>
          <w:rPr>
            <w:rStyle w:val="Link"/>
          </w:rPr>
          <w:t xml:space="preserve"> </w:t>
        </w:r>
        <w:r>
          <w:rPr>
            <w:rStyle w:val="Link"/>
          </w:rPr>
          <w:t xml:space="preserve">333 U.S. 507, 510, 68 S.Ct. 665, 92 L.Ed. 840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1">
        <w:r>
          <w:rPr>
            <w:i/>
            <w:rStyle w:val="Link"/>
          </w:rPr>
          <w:t xml:space="preserve">United States v. Playboy Entertainment Group, Inc.,</w:t>
        </w:r>
        <w:r>
          <w:rPr>
            <w:rStyle w:val="Link"/>
          </w:rPr>
          <w:t xml:space="preserve"> </w:t>
        </w:r>
        <w:r>
          <w:rPr>
            <w:rStyle w:val="Link"/>
          </w:rPr>
          <w:t xml:space="preserve">529 U.S. 803, 818, 120 S.Ct. 1878, 146 L.Ed.2d 865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2">
        <w:r>
          <w:rPr>
            <w:i/>
            <w:rStyle w:val="Link"/>
          </w:rPr>
          <w:t xml:space="preserve">Joseph Burstyn, Inc. v. Wilson,</w:t>
        </w:r>
        <w:r>
          <w:rPr>
            <w:rStyle w:val="Link"/>
          </w:rPr>
          <w:t xml:space="preserve"> </w:t>
        </w:r>
        <w:r>
          <w:rPr>
            <w:rStyle w:val="Link"/>
          </w:rPr>
          <w:t xml:space="preserve">343 U.S. 495, 503, 72 S.Ct. 777, 96 L.Ed. 1098 (1952)</w:t>
        </w:r>
      </w:hyperlink>
      <w:r>
        <w:t xml:space="preserve">.</w:t>
      </w:r>
    </w:p>
    <w:p>
      <w:r>
        <w:t xml:space="preserve">The most basic of those principles is this: "[A]s a general matter … government has no power to restrict expression because of its message, its ideas, its subject matter, or its content."</w:t>
      </w:r>
      <w:r>
        <w:t xml:space="preserve"> </w:t>
      </w:r>
      <w:hyperlink r:id="rId43">
        <w:r>
          <w:rPr>
            <w:i/>
            <w:rStyle w:val="Link"/>
          </w:rPr>
          <w:t xml:space="preserve">Ashcroft v. American Civil Liberties Union,</w:t>
        </w:r>
        <w:r>
          <w:rPr>
            <w:rStyle w:val="Link"/>
          </w:rPr>
          <w:t xml:space="preserve"> </w:t>
        </w:r>
        <w:r>
          <w:rPr>
            <w:rStyle w:val="Link"/>
          </w:rPr>
          <w:t xml:space="preserve">535 U.S. 564, 573, 122 S.Ct. 1700, 152 L.Ed.2d 771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4">
        <w:r>
          <w:rPr>
            <w:i/>
            <w:rStyle w:val="Link"/>
          </w:rPr>
          <w:t xml:space="preserve">United States v. Stevens,</w:t>
        </w:r>
        <w:r>
          <w:rPr>
            <w:rStyle w:val="Link"/>
          </w:rPr>
          <w:t xml:space="preserve"> </w:t>
        </w:r>
        <w:r>
          <w:rPr>
            <w:rStyle w:val="Link"/>
          </w:rPr>
          <w:t xml:space="preserve">(Sct. 2010)</w:t>
        </w:r>
      </w:hyperlink>
      <w:r>
        <w:t xml:space="preserve"> </w:t>
      </w:r>
      <w:r>
        <w:t xml:space="preserve">(quoting</w:t>
      </w:r>
      <w:r>
        <w:t xml:space="preserve"> </w:t>
      </w:r>
      <w:hyperlink r:id="rId45">
        <w:r>
          <w:rPr>
            <w:i/>
            <w:rStyle w:val="Link"/>
          </w:rPr>
          <w:t xml:space="preserve">R.A.V. v. St. Paul,</w:t>
        </w:r>
        <w:r>
          <w:rPr>
            <w:rStyle w:val="Link"/>
          </w:rPr>
          <w:t xml:space="preserve"> </w:t>
        </w:r>
        <w:r>
          <w:rPr>
            <w:rStyle w:val="Link"/>
          </w:rPr>
          <w:t xml:space="preserve">505 U.S. 377, 382-383, 112 S.Ct. 2538, 120 L.Ed.2d 305 (1992)</w:t>
        </w:r>
      </w:hyperlink>
      <w:r>
        <w:t xml:space="preserve">). These limited areas—such as obscenity,</w:t>
      </w:r>
      <w:r>
        <w:t xml:space="preserve"> </w:t>
      </w:r>
      <w:hyperlink r:id="rId46">
        <w:r>
          <w:rPr>
            <w:i/>
            <w:rStyle w:val="Link"/>
          </w:rPr>
          <w:t xml:space="preserve">Roth v. United States,</w:t>
        </w:r>
        <w:r>
          <w:rPr>
            <w:rStyle w:val="Link"/>
          </w:rPr>
          <w:t xml:space="preserve"> </w:t>
        </w:r>
        <w:r>
          <w:rPr>
            <w:rStyle w:val="Link"/>
          </w:rPr>
          <w:t xml:space="preserve">354 U.S. 476, 483, 77 S.Ct. 1304, 1 L.Ed.2d 1498 (1957),</w:t>
        </w:r>
      </w:hyperlink>
      <w:r>
        <w:t xml:space="preserve"> </w:t>
      </w:r>
      <w:r>
        <w:t xml:space="preserve">incitement,</w:t>
      </w:r>
      <w:r>
        <w:t xml:space="preserve"> </w:t>
      </w:r>
      <w:hyperlink r:id="rId47">
        <w:r>
          <w:rPr>
            <w:i/>
            <w:rStyle w:val="Link"/>
          </w:rPr>
          <w:t xml:space="preserve">Brandenburg v. Ohio,</w:t>
        </w:r>
        <w:r>
          <w:rPr>
            <w:rStyle w:val="Link"/>
          </w:rPr>
          <w:t xml:space="preserve"> </w:t>
        </w:r>
        <w:r>
          <w:rPr>
            <w:rStyle w:val="Link"/>
          </w:rPr>
          <w:t xml:space="preserve">395 U.S. 444, 447-449, 89 S.Ct. 1827, 23 L.Ed.2d 430 (1969)</w:t>
        </w:r>
        <w:r>
          <w:rPr>
            <w:rStyle w:val="Link"/>
          </w:rPr>
          <w:t xml:space="preserve"> </w:t>
        </w:r>
        <w:r>
          <w:rPr>
            <w:i/>
            <w:rStyle w:val="Link"/>
          </w:rPr>
          <w:t xml:space="preserve">(per curiam)</w:t>
        </w:r>
      </w:hyperlink>
      <w:r>
        <w:rPr>
          <w:i/>
        </w:rPr>
        <w:t xml:space="preserve">,</w:t>
      </w:r>
      <w:r>
        <w:t xml:space="preserve"> </w:t>
      </w:r>
      <w:r>
        <w:t xml:space="preserve">and fighting words,</w:t>
      </w:r>
      <w:r>
        <w:t xml:space="preserve"> </w:t>
      </w:r>
      <w:hyperlink r:id="rId48">
        <w:r>
          <w:rPr>
            <w:i/>
            <w:rStyle w:val="Link"/>
          </w:rPr>
          <w:t xml:space="preserve">Chaplinsky v. New Hampshire,</w:t>
        </w:r>
        <w:r>
          <w:rPr>
            <w:rStyle w:val="Link"/>
          </w:rPr>
          <w:t xml:space="preserve"> </w:t>
        </w:r>
        <w:r>
          <w:rPr>
            <w:rStyle w:val="Link"/>
          </w:rPr>
          <w:t xml:space="preserve">315 U.S. 568, 572, 62 S.Ct. 766, 86 L.Ed. 1031 (1942)</w:t>
        </w:r>
      </w:hyperlink>
      <w:r>
        <w:t xml:space="preserve">—represent "well-defined and narrowly limited classes of speech, the prevention and punishment of which have never been thought to raise any Constitutional problem,"</w:t>
      </w:r>
      <w:r>
        <w:t xml:space="preserve"> </w:t>
      </w:r>
      <w:r>
        <w:rPr>
          <w:i/>
        </w:rPr>
        <w:t xml:space="preserve">id.,</w:t>
      </w:r>
      <w:r>
        <w:t xml:space="preserve"> </w:t>
      </w:r>
      <w:r>
        <w:t xml:space="preserve">at 571-572, 62 S.Ct. 766.</w:t>
      </w:r>
    </w:p>
    <w:p>
      <w:r>
        <w:t xml:space="preserve">Last Term, in</w:t>
      </w:r>
      <w:r>
        <w:t xml:space="preserve"> </w:t>
      </w:r>
      <w:r>
        <w:rPr>
          <w:i/>
        </w:rPr>
        <w:t xml:space="preserve">Stevens,</w:t>
      </w:r>
      <w:r>
        <w:t xml:space="preserve"> </w:t>
      </w:r>
      <w:r>
        <w:t xml:space="preserve">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9">
        <w:r>
          <w:rPr>
            <w:i/>
            <w:rStyle w:val="Link"/>
          </w:rPr>
          <w:t xml:space="preserve">Miller v. California,</w:t>
        </w:r>
        <w:r>
          <w:rPr>
            <w:rStyle w:val="Link"/>
          </w:rPr>
          <w:t xml:space="preserve"> </w:t>
        </w:r>
        <w:r>
          <w:rPr>
            <w:rStyle w:val="Link"/>
          </w:rPr>
          <w:t xml:space="preserve">413 U.S. 15, 24, 93 S.Ct. 2607, 37 L.Ed.2d 419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4">
        <w:r>
          <w:rPr>
            <w:i/>
            <w:rStyle w:val="Link"/>
          </w:rPr>
          <w:t xml:space="preserve">Stevens,</w:t>
        </w:r>
        <w:r>
          <w:rPr>
            <w:rStyle w:val="Link"/>
          </w:rPr>
          <w:t xml:space="preserve"> </w:t>
        </w:r>
        <w:r>
          <w:rPr>
            <w:rStyle w:val="Link"/>
          </w:rPr>
          <w:t xml:space="preserve">559 U.S., at ___, 130 S.Ct., at 1585</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50">
        <w:r>
          <w:rPr>
            <w:i/>
            <w:rStyle w:val="Link"/>
          </w:rPr>
          <w:t xml:space="preserve">Miller, supra,</w:t>
        </w:r>
        <w:r>
          <w:rPr>
            <w:rStyle w:val="Link"/>
          </w:rPr>
          <w:t xml:space="preserve"> </w:t>
        </w:r>
        <w:r>
          <w:rPr>
            <w:rStyle w:val="Link"/>
          </w:rPr>
          <w:t xml:space="preserve">at 24</w:t>
        </w:r>
      </w:hyperlink>
      <w:r>
        <w:t xml:space="preserve">,</w:t>
      </w:r>
      <w:r>
        <w:t xml:space="preserve"> </w:t>
      </w:r>
      <w:hyperlink r:id="rId50">
        <w:r>
          <w:rPr>
            <w:rStyle w:val="Link"/>
          </w:rPr>
          <w:t xml:space="preserve">93 S.Ct. 2607</w:t>
        </w:r>
      </w:hyperlink>
      <w:r>
        <w:t xml:space="preserve">. See also</w:t>
      </w:r>
      <w:r>
        <w:t xml:space="preserve"> </w:t>
      </w:r>
      <w:hyperlink r:id="rId51">
        <w:r>
          <w:rPr>
            <w:i/>
            <w:rStyle w:val="Link"/>
          </w:rPr>
          <w:t xml:space="preserve">Cohen v. California,</w:t>
        </w:r>
        <w:r>
          <w:rPr>
            <w:rStyle w:val="Link"/>
          </w:rPr>
          <w:t xml:space="preserve"> </w:t>
        </w:r>
        <w:r>
          <w:rPr>
            <w:rStyle w:val="Link"/>
          </w:rPr>
          <w:t xml:space="preserve">403 U.S. 15, 20, 91 S.Ct. 1780, 29 L.Ed.2d 284 (1971)</w:t>
        </w:r>
      </w:hyperlink>
      <w:r>
        <w:t xml:space="preserve">;</w:t>
      </w:r>
      <w:r>
        <w:t xml:space="preserve"> </w:t>
      </w:r>
      <w:hyperlink r:id="rId52">
        <w:r>
          <w:rPr>
            <w:i/>
            <w:rStyle w:val="Link"/>
          </w:rPr>
          <w:t xml:space="preserve">Roth, supra,</w:t>
        </w:r>
        <w:r>
          <w:rPr>
            <w:rStyle w:val="Link"/>
          </w:rPr>
          <w:t xml:space="preserve"> </w:t>
        </w:r>
        <w:r>
          <w:rPr>
            <w:rStyle w:val="Link"/>
          </w:rPr>
          <w:t xml:space="preserve">at 487</w:t>
        </w:r>
      </w:hyperlink>
      <w:r>
        <w:t xml:space="preserve">, and n. 20,</w:t>
      </w:r>
      <w:r>
        <w:t xml:space="preserve"> </w:t>
      </w:r>
      <w:hyperlink r:id="rId52">
        <w:r>
          <w:rPr>
            <w:rStyle w:val="Link"/>
          </w:rPr>
          <w:t xml:space="preserve">77 S.Ct. 1304</w:t>
        </w:r>
      </w:hyperlink>
      <w:r>
        <w:t xml:space="preserve">.</w:t>
      </w:r>
    </w:p>
    <w:p>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40">
        <w:r>
          <w:rPr>
            <w:rStyle w:val="Link"/>
          </w:rPr>
          <w:t xml:space="preserve">333 U.S., at 514, 68 S.Ct. 665</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40">
        <w:r>
          <w:rPr>
            <w:rStyle w:val="Link"/>
          </w:rPr>
          <w:t xml:space="preserve">333 U.S., at 517-519, 68 S.Ct. 665,</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r>
        <w:t xml:space="preserve">Because speech about violence is not obscene, it is of no consequence that California's statute mimics the New York statute regulating obscenity-for-minors that we upheld in</w:t>
      </w:r>
      <w:r>
        <w:t xml:space="preserve"> </w:t>
      </w:r>
      <w:hyperlink r:id="rId53">
        <w:r>
          <w:rPr>
            <w:i/>
            <w:rStyle w:val="Link"/>
          </w:rPr>
          <w:t xml:space="preserve">Ginsberg v. New York,</w:t>
        </w:r>
        <w:r>
          <w:rPr>
            <w:rStyle w:val="Link"/>
          </w:rPr>
          <w:t xml:space="preserve"> </w:t>
        </w:r>
        <w:r>
          <w:rPr>
            <w:rStyle w:val="Link"/>
          </w:rPr>
          <w:t xml:space="preserve">390 U.S. 629, 88 S.Ct. 1274, 20 L.Ed.2d 195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3">
        <w:r>
          <w:rPr>
            <w:rStyle w:val="Link"/>
          </w:rPr>
          <w:t xml:space="preserve">88 S.Ct. 1274</w:t>
        </w:r>
      </w:hyperlink>
      <w:r>
        <w:t xml:space="preserve"> </w:t>
      </w:r>
      <w:r>
        <w:t xml:space="preserve">(quoting</w:t>
      </w:r>
      <w:r>
        <w:t xml:space="preserve"> </w:t>
      </w:r>
      <w:hyperlink r:id="rId54">
        <w:r>
          <w:rPr>
            <w:i/>
            <w:rStyle w:val="Link"/>
          </w:rPr>
          <w:t xml:space="preserve">Mishkin v. New York,</w:t>
        </w:r>
        <w:r>
          <w:rPr>
            <w:rStyle w:val="Link"/>
          </w:rPr>
          <w:t xml:space="preserve"> </w:t>
        </w:r>
        <w:r>
          <w:rPr>
            <w:rStyle w:val="Link"/>
          </w:rPr>
          <w:t xml:space="preserve">383 U.S. 502, 509, 86 S.Ct. 958, 16 L.Ed.2d 56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3">
        <w:r>
          <w:rPr>
            <w:rStyle w:val="Link"/>
          </w:rPr>
          <w:t xml:space="preserve">390 U.S., at 641, 88 S.Ct. 1274</w:t>
        </w:r>
      </w:hyperlink>
      <w:r>
        <w:t xml:space="preserve">.</w:t>
      </w:r>
    </w:p>
    <w:p>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5">
        <w:r>
          <w:rPr>
            <w:i/>
            <w:rStyle w:val="Link"/>
          </w:rPr>
          <w:t xml:space="preserve">Erznoznik v. Jacksonville,</w:t>
        </w:r>
        <w:r>
          <w:rPr>
            <w:rStyle w:val="Link"/>
          </w:rPr>
          <w:t xml:space="preserve"> </w:t>
        </w:r>
        <w:r>
          <w:rPr>
            <w:rStyle w:val="Link"/>
          </w:rPr>
          <w:t xml:space="preserve">422 U.S. 205, 212-213, 95 S.Ct.</w:t>
        </w:r>
      </w:hyperlink>
      <w:hyperlink r:id="rId55">
        <w:r>
          <w:rPr>
            <w:rStyle w:val="Link"/>
          </w:rPr>
          <w:t xml:space="preserve">2268, 45 L.Ed.2d 125 (1975)</w:t>
        </w:r>
      </w:hyperlink>
      <w:r>
        <w:t xml:space="preserve"> </w:t>
      </w:r>
      <w:r>
        <w:t xml:space="preserve">(citation omitted). No doubt a State possesses legitimate power to protect children from harm,</w:t>
      </w:r>
      <w:r>
        <w:t xml:space="preserve"> </w:t>
      </w:r>
      <w:hyperlink r:id="rId53">
        <w:r>
          <w:rPr>
            <w:i/>
            <w:rStyle w:val="Link"/>
          </w:rPr>
          <w:t xml:space="preserve">Ginsberg, supra,</w:t>
        </w:r>
        <w:r>
          <w:rPr>
            <w:rStyle w:val="Link"/>
          </w:rPr>
          <w:t xml:space="preserve"> </w:t>
        </w:r>
        <w:r>
          <w:rPr>
            <w:rStyle w:val="Link"/>
          </w:rPr>
          <w:t xml:space="preserve">at 640-641, 88 S.Ct. 1274</w:t>
        </w:r>
      </w:hyperlink>
      <w:r>
        <w:t xml:space="preserve">;</w:t>
      </w:r>
      <w:r>
        <w:t xml:space="preserve"> </w:t>
      </w:r>
      <w:hyperlink r:id="rId56">
        <w:r>
          <w:rPr>
            <w:i/>
            <w:rStyle w:val="Link"/>
          </w:rPr>
          <w:t xml:space="preserve">Prince v. Massachusetts,</w:t>
        </w:r>
        <w:r>
          <w:rPr>
            <w:rStyle w:val="Link"/>
          </w:rPr>
          <w:t xml:space="preserve"> </w:t>
        </w:r>
        <w:r>
          <w:rPr>
            <w:rStyle w:val="Link"/>
          </w:rPr>
          <w:t xml:space="preserve">321 U.S. 158, 165, 64 S.Ct. 438, 88 L.Ed. 645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5">
        <w:r>
          <w:rPr>
            <w:i/>
            <w:rStyle w:val="Link"/>
          </w:rPr>
          <w:t xml:space="preserve">Erznoznik, supra,</w:t>
        </w:r>
        <w:r>
          <w:rPr>
            <w:rStyle w:val="Link"/>
          </w:rPr>
          <w:t xml:space="preserve"> </w:t>
        </w:r>
        <w:r>
          <w:rPr>
            <w:rStyle w:val="Link"/>
          </w:rPr>
          <w:t xml:space="preserve">at 213-214, 95 S.Ct. 2268</w:t>
        </w:r>
      </w:hyperlink>
      <w:r>
        <w:t xml:space="preserve">.</w:t>
      </w:r>
    </w:p>
    <w:p>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7">
        <w:r>
          <w:rPr>
            <w:i/>
            <w:rStyle w:val="Link"/>
          </w:rPr>
          <w:t xml:space="preserve">Mutual Film Corp. v. Industrial Comm'n of Ohio,</w:t>
        </w:r>
        <w:r>
          <w:rPr>
            <w:rStyle w:val="Link"/>
          </w:rPr>
          <w:t xml:space="preserve"> </w:t>
        </w:r>
        <w:r>
          <w:rPr>
            <w:rStyle w:val="Link"/>
          </w:rPr>
          <w:t xml:space="preserve">236 U.S. 230, 242, 35 S.Ct. 387, 59 L.Ed. 552 (1915),</w:t>
        </w:r>
      </w:hyperlink>
      <w:r>
        <w:t xml:space="preserve"> </w:t>
      </w:r>
      <w:r>
        <w:t xml:space="preserve">but we eventually reversed course,</w:t>
      </w:r>
      <w:r>
        <w:t xml:space="preserve"> </w:t>
      </w:r>
      <w:hyperlink r:id="rId42">
        <w:r>
          <w:rPr>
            <w:i/>
            <w:rStyle w:val="Link"/>
          </w:rPr>
          <w:t xml:space="preserve">Joseph Burstyn, Inc.,</w:t>
        </w:r>
        <w:r>
          <w:rPr>
            <w:rStyle w:val="Link"/>
          </w:rPr>
          <w:t xml:space="preserve"> </w:t>
        </w:r>
        <w:r>
          <w:rPr>
            <w:rStyle w:val="Link"/>
          </w:rPr>
          <w:t xml:space="preserve">343 U.S., at 502, 72 S.Ct. 777</w:t>
        </w:r>
      </w:hyperlink>
      <w:r>
        <w:t xml:space="preserve">; see also</w:t>
      </w:r>
      <w:r>
        <w:t xml:space="preserve"> </w:t>
      </w:r>
      <w:hyperlink r:id="rId55">
        <w:r>
          <w:rPr>
            <w:i/>
            <w:rStyle w:val="Link"/>
          </w:rPr>
          <w:t xml:space="preserve">Erznoznik, supra,</w:t>
        </w:r>
        <w:r>
          <w:rPr>
            <w:rStyle w:val="Link"/>
          </w:rPr>
          <w:t xml:space="preserve"> </w:t>
        </w:r>
        <w:r>
          <w:rPr>
            <w:rStyle w:val="Link"/>
          </w:rPr>
          <w:t xml:space="preserve">at 212-214, 95 S.Ct. 2268</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8">
        <w:r>
          <w:rPr>
            <w:i/>
            <w:rStyle w:val="Link"/>
          </w:rPr>
          <w:t xml:space="preserve">American Amusement Machine Assn. v. Kendrick,</w:t>
        </w:r>
        <w:r>
          <w:rPr>
            <w:rStyle w:val="Link"/>
          </w:rPr>
          <w:t xml:space="preserve"> </w:t>
        </w:r>
        <w:r>
          <w:rPr>
            <w:rStyle w:val="Link"/>
          </w:rPr>
          <w:t xml:space="preserve">244 F.3d 572, 577 (C.A.7 2001)</w:t>
        </w:r>
      </w:hyperlink>
      <w:r>
        <w:t xml:space="preserve"> </w:t>
      </w:r>
      <w:r>
        <w:t xml:space="preserve">(striking down a similar restriction on violent video games).</w:t>
      </w:r>
    </w:p>
    <w:p>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9" w:name="iii"/>
      <w:bookmarkEnd w:id="59"/>
      <w:r>
        <w:t xml:space="preserve">III</w:t>
      </w:r>
    </w:p>
    <w:p>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60">
        <w:r>
          <w:rPr>
            <w:i/>
            <w:rStyle w:val="Link"/>
          </w:rPr>
          <w:t xml:space="preserve">R.A.V.,</w:t>
        </w:r>
        <w:r>
          <w:rPr>
            <w:rStyle w:val="Link"/>
          </w:rPr>
          <w:t xml:space="preserve"> </w:t>
        </w:r>
        <w:r>
          <w:rPr>
            <w:rStyle w:val="Link"/>
          </w:rPr>
          <w:t xml:space="preserve">505 U.S., at 395, 112 S.Ct. 2538</w:t>
        </w:r>
      </w:hyperlink>
      <w:r>
        <w:t xml:space="preserve">. The State must specifically identify an "actual problem" in need of solving,</w:t>
      </w:r>
      <w:r>
        <w:t xml:space="preserve"> </w:t>
      </w:r>
      <w:hyperlink r:id="rId61">
        <w:r>
          <w:rPr>
            <w:i/>
            <w:rStyle w:val="Link"/>
          </w:rPr>
          <w:t xml:space="preserve">Playboy,</w:t>
        </w:r>
        <w:r>
          <w:rPr>
            <w:rStyle w:val="Link"/>
          </w:rPr>
          <w:t xml:space="preserve"> </w:t>
        </w:r>
        <w:r>
          <w:rPr>
            <w:rStyle w:val="Link"/>
          </w:rPr>
          <w:t xml:space="preserve">529 U.S., at 822-823, 120 S.Ct. 1878,</w:t>
        </w:r>
      </w:hyperlink>
      <w:r>
        <w:t xml:space="preserve"> </w:t>
      </w:r>
      <w:r>
        <w:t xml:space="preserve">and the curtailment of free speech must be actually necessary to the solution, see</w:t>
      </w:r>
      <w:r>
        <w:t xml:space="preserve"> </w:t>
      </w:r>
      <w:hyperlink r:id="rId60">
        <w:r>
          <w:rPr>
            <w:i/>
            <w:rStyle w:val="Link"/>
          </w:rPr>
          <w:t xml:space="preserve">R.A.V., supra,</w:t>
        </w:r>
        <w:r>
          <w:rPr>
            <w:rStyle w:val="Link"/>
          </w:rPr>
          <w:t xml:space="preserve"> </w:t>
        </w:r>
        <w:r>
          <w:rPr>
            <w:rStyle w:val="Link"/>
          </w:rPr>
          <w:t xml:space="preserve">at 395</w:t>
        </w:r>
      </w:hyperlink>
      <w:r>
        <w:t xml:space="preserve">,</w:t>
      </w:r>
      <w:r>
        <w:t xml:space="preserve"> </w:t>
      </w:r>
      <w:hyperlink r:id="rId60">
        <w:r>
          <w:rPr>
            <w:rStyle w:val="Link"/>
          </w:rPr>
          <w:t xml:space="preserve">112 S.Ct. 2538</w:t>
        </w:r>
      </w:hyperlink>
      <w:r>
        <w:t xml:space="preserve">. That is a demanding standard. "It is rare that a regulation restricting speech because of its content will ever be permissible."</w:t>
      </w:r>
      <w:r>
        <w:t xml:space="preserve"> </w:t>
      </w:r>
      <w:hyperlink r:id="rId61">
        <w:r>
          <w:rPr>
            <w:i/>
            <w:rStyle w:val="Link"/>
          </w:rPr>
          <w:t xml:space="preserve">Playboy, supra,</w:t>
        </w:r>
        <w:r>
          <w:rPr>
            <w:rStyle w:val="Link"/>
          </w:rPr>
          <w:t xml:space="preserve"> </w:t>
        </w:r>
        <w:r>
          <w:rPr>
            <w:rStyle w:val="Link"/>
          </w:rPr>
          <w:t xml:space="preserve">at 818</w:t>
        </w:r>
      </w:hyperlink>
      <w:r>
        <w:t xml:space="preserve">,</w:t>
      </w:r>
      <w:r>
        <w:t xml:space="preserve"> </w:t>
      </w:r>
      <w:hyperlink r:id="rId61">
        <w:r>
          <w:rPr>
            <w:rStyle w:val="Link"/>
          </w:rPr>
          <w:t xml:space="preserve">120 S.Ct. 1878</w:t>
        </w:r>
      </w:hyperlink>
      <w:r>
        <w:t xml:space="preserve">.</w:t>
      </w:r>
    </w:p>
    <w:p>
      <w:r>
        <w:t xml:space="preserve">California cannot meet that standard. At the outset, it acknowledges that it cannot show a direct causal link between violent video games and harm to minors. Rather, relying upon our decision in</w:t>
      </w:r>
      <w:r>
        <w:t xml:space="preserve"> </w:t>
      </w:r>
      <w:hyperlink r:id="rId62">
        <w:r>
          <w:rPr>
            <w:i/>
            <w:rStyle w:val="Link"/>
          </w:rPr>
          <w:t xml:space="preserve">Turner Broadcasting System, Inc. v. FCC,</w:t>
        </w:r>
        <w:r>
          <w:rPr>
            <w:rStyle w:val="Link"/>
          </w:rPr>
          <w:t xml:space="preserve"> </w:t>
        </w:r>
        <w:r>
          <w:rPr>
            <w:rStyle w:val="Link"/>
          </w:rPr>
          <w:t xml:space="preserve">512 U.S. 622, 114 S.Ct. 2445, 129 L.Ed.2d 497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41">
        <w:r>
          <w:rPr>
            <w:i/>
            <w:rStyle w:val="Link"/>
          </w:rPr>
          <w:t xml:space="preserve">Playboy, supra,</w:t>
        </w:r>
        <w:r>
          <w:rPr>
            <w:rStyle w:val="Link"/>
          </w:rPr>
          <w:t xml:space="preserve"> </w:t>
        </w:r>
        <w:r>
          <w:rPr>
            <w:rStyle w:val="Link"/>
          </w:rPr>
          <w:t xml:space="preserve">at 816-817, 120 S.Ct. 1878,</w:t>
        </w:r>
      </w:hyperlink>
      <w:r>
        <w:t xml:space="preserve"> </w:t>
      </w:r>
      <w:r>
        <w:t xml:space="preserve">ambiguous proof will not suffice.</w:t>
      </w:r>
    </w:p>
    <w:p>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r>
        <w:rPr>
          <w:i/>
        </w:rPr>
        <w:t xml:space="preserve">Video Software Dealers Assn.</w:t>
      </w:r>
      <w:r>
        <w:t xml:space="preserve"> </w:t>
      </w:r>
      <w:hyperlink r:id="rId38">
        <w:r>
          <w:rPr>
            <w:rStyle w:val="Link"/>
          </w:rPr>
          <w:t xml:space="preserve">556 F.3d, at 964</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3">
        <w:r>
          <w:rPr>
            <w:i/>
            <w:rStyle w:val="Link"/>
          </w:rPr>
          <w:t xml:space="preserve">City of Ladue v. Gilleo,</w:t>
        </w:r>
        <w:r>
          <w:rPr>
            <w:rStyle w:val="Link"/>
          </w:rPr>
          <w:t xml:space="preserve"> </w:t>
        </w:r>
        <w:r>
          <w:rPr>
            <w:rStyle w:val="Link"/>
          </w:rPr>
          <w:t xml:space="preserve">512 U.S. 43, 51, 114 S.Ct. 2038, 129 L.Ed.2d 36 (1994)</w:t>
        </w:r>
      </w:hyperlink>
      <w:r>
        <w:t xml:space="preserve">;</w:t>
      </w:r>
      <w:r>
        <w:t xml:space="preserve"> </w:t>
      </w:r>
      <w:hyperlink r:id="rId64">
        <w:r>
          <w:rPr>
            <w:i/>
            <w:rStyle w:val="Link"/>
          </w:rPr>
          <w:t xml:space="preserve">Florida Star v. B.J.F.,</w:t>
        </w:r>
        <w:r>
          <w:rPr>
            <w:rStyle w:val="Link"/>
          </w:rPr>
          <w:t xml:space="preserve"> </w:t>
        </w:r>
        <w:r>
          <w:rPr>
            <w:rStyle w:val="Link"/>
          </w:rPr>
          <w:t xml:space="preserve">491 U.S. 524, 540, 109 S.Ct. 2603, 105 L.Ed.2d 443 (1989)</w:t>
        </w:r>
      </w:hyperlink>
      <w:r>
        <w:t xml:space="preserve">. Here, California has singled out the purveyors of video games for disfavored treatment--at least when compared to booksellers, cartoonists, and movie producers--and has given no persuasive reason why.</w:t>
      </w:r>
    </w:p>
    <w:p>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5">
        <w:r>
          <w:rPr>
            <w:i/>
            <w:rStyle w:val="Link"/>
          </w:rPr>
          <w:t xml:space="preserve">Erznoznik,</w:t>
        </w:r>
        <w:r>
          <w:rPr>
            <w:rStyle w:val="Link"/>
          </w:rPr>
          <w:t xml:space="preserve"> </w:t>
        </w:r>
        <w:r>
          <w:rPr>
            <w:rStyle w:val="Link"/>
          </w:rPr>
          <w:t xml:space="preserve">422 U.S., at 212-213, 95 S.Ct. 2268</w:t>
        </w:r>
      </w:hyperlink>
      <w:r>
        <w:t xml:space="preserve">.</w:t>
      </w:r>
    </w:p>
    <w:p>
      <w:r>
        <w:t xml:space="preserve">But leaving that aside, California cannot show that the Act's restrictions meet a substantial need of parents who wish to restrict their children's access to violent video games but cannot do so. The video-game industry has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5" w:name="section"/>
      <w:bookmarkEnd w:id="65"/>
      <w:r>
        <w:t xml:space="preserve">* * *</w:t>
      </w:r>
    </w:p>
    <w:p>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8">
        <w:r>
          <w:rPr>
            <w:i/>
            <w:rStyle w:val="Link"/>
          </w:rPr>
          <w:t xml:space="preserve">Chaplinsky,</w:t>
        </w:r>
        <w:r>
          <w:rPr>
            <w:rStyle w:val="Link"/>
          </w:rPr>
          <w:t xml:space="preserve"> </w:t>
        </w:r>
        <w:r>
          <w:rPr>
            <w:rStyle w:val="Link"/>
          </w:rPr>
          <w:t xml:space="preserve">315 U.S., at 571-572, 62 S.Ct. 766</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2742*2742 nor seriously overinclusive. See</w:t>
      </w:r>
      <w:r>
        <w:t xml:space="preserve"> </w:t>
      </w:r>
      <w:hyperlink r:id="rId66">
        <w:r>
          <w:rPr>
            <w:i/>
            <w:rStyle w:val="Link"/>
          </w:rPr>
          <w:t xml:space="preserve">Church of Lukumi Babalu Aye, Inc. v. Hialeah,</w:t>
        </w:r>
        <w:r>
          <w:rPr>
            <w:rStyle w:val="Link"/>
          </w:rPr>
          <w:t xml:space="preserve"> </w:t>
        </w:r>
        <w:r>
          <w:rPr>
            <w:rStyle w:val="Link"/>
          </w:rPr>
          <w:t xml:space="preserve">508 U.S. 520, 546, 113 S.Ct. 2217, 124 L.Ed.2d 472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r>
        <w:t xml:space="preserve">We affirm the judgment below.</w:t>
      </w:r>
    </w:p>
    <w:p>
      <w:r>
        <w:rPr>
          <w:i/>
        </w:rPr>
        <w:t xml:space="preserve">It is so ordered.</w:t>
      </w:r>
    </w:p>
    <w:p>
      <w:r>
        <w:t xml:space="preserve">[Justice ALITO and Chief Justice ROBERTS concurred; Justice THOMAS dissented.]</w:t>
      </w:r>
    </w:p>
    <w:p>
      <w:pPr>
        <w:pStyle w:val="Heading2"/>
      </w:pPr>
      <w:bookmarkStart w:id="67" w:name="james-v.-meow-media-inc"/>
      <w:bookmarkEnd w:id="67"/>
      <w:r>
        <w:t xml:space="preserve">James v. Meow Media, Inc</w:t>
      </w:r>
    </w:p>
    <w:p>
      <w:pPr>
        <w:pStyle w:val="Heading6"/>
      </w:pPr>
      <w:bookmarkStart w:id="68" w:name="sixth-circuit-court-of-appeals-2002"/>
      <w:bookmarkEnd w:id="68"/>
      <w:r>
        <w:t xml:space="preserve">Sixth Circuit Court of Appeals (2002)</w:t>
      </w:r>
    </w:p>
    <w:p>
      <w:pPr>
        <w:pStyle w:val="Compact"/>
        <w:numPr>
          <w:numId w:val="1002"/>
          <w:ilvl w:val="0"/>
        </w:numPr>
      </w:pPr>
      <w:hyperlink r:id="rId69">
        <w:r>
          <w:rPr>
            <w:rStyle w:val="Link"/>
          </w:rPr>
          <w:t xml:space="preserve">case at Google Scholar</w:t>
        </w:r>
      </w:hyperlink>
    </w:p>
    <w:p>
      <w:pPr>
        <w:pStyle w:val="Compact"/>
        <w:numPr>
          <w:numId w:val="1002"/>
          <w:ilvl w:val="0"/>
        </w:numPr>
      </w:pPr>
      <w:hyperlink r:id="rId70">
        <w:r>
          <w:rPr>
            <w:rStyle w:val="Link"/>
          </w:rPr>
          <w:t xml:space="preserve">how cited at Google Scholar</w:t>
        </w:r>
      </w:hyperlink>
    </w:p>
    <w:p>
      <w:pPr>
        <w:pStyle w:val="Compact"/>
        <w:numPr>
          <w:numId w:val="1002"/>
          <w:ilvl w:val="0"/>
        </w:numPr>
      </w:pPr>
      <w:hyperlink r:id="rId71">
        <w:r>
          <w:rPr>
            <w:rStyle w:val="Link"/>
          </w:rPr>
          <w:t xml:space="preserve">case at Westlaw</w:t>
        </w:r>
      </w:hyperlink>
    </w:p>
    <w:p>
      <w:pPr>
        <w:pStyle w:val="Compact"/>
        <w:numPr>
          <w:numId w:val="1002"/>
          <w:ilvl w:val="0"/>
        </w:numPr>
      </w:pPr>
      <w:hyperlink r:id="rId72">
        <w:r>
          <w:rPr>
            <w:rStyle w:val="Link"/>
          </w:rPr>
          <w:t xml:space="preserve">case at Wikipedia</w:t>
        </w:r>
      </w:hyperlink>
      <w:r>
        <w:t xml:space="preserve">.</w:t>
      </w:r>
    </w:p>
    <w:p>
      <w:pPr>
        <w:pStyle w:val="Heading3"/>
      </w:pPr>
      <w:bookmarkStart w:id="73" w:name="i-1"/>
      <w:bookmarkEnd w:id="73"/>
      <w:r>
        <w:t xml:space="preserve">I</w:t>
      </w:r>
    </w:p>
    <w:p>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r>
        <w:t xml:space="preserve">[Section II setting forth the standard of review omitted.]</w:t>
      </w:r>
    </w:p>
    <w:p>
      <w:pPr>
        <w:pStyle w:val="Heading3"/>
      </w:pPr>
      <w:bookmarkStart w:id="74" w:name="iii-1"/>
      <w:bookmarkEnd w:id="74"/>
      <w:r>
        <w:t xml:space="preserve">III</w:t>
      </w:r>
    </w:p>
    <w:p>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75" w:name="a.-the-existence-of-a-duty-of-care"/>
      <w:bookmarkEnd w:id="75"/>
      <w:r>
        <w:t xml:space="preserve">A. The Existence of a Duty of Care</w:t>
      </w:r>
    </w:p>
    <w:p>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76">
        <w:r>
          <w:rPr>
            <w:i/>
            <w:rStyle w:val="Link"/>
          </w:rPr>
          <w:t xml:space="preserve">Palsgraf v. Long Island Railroad Co.,</w:t>
        </w:r>
        <w:r>
          <w:rPr>
            <w:rStyle w:val="Link"/>
          </w:rPr>
          <w:t xml:space="preserve"> </w:t>
        </w:r>
        <w:r>
          <w:rPr>
            <w:rStyle w:val="Link"/>
          </w:rPr>
          <w:t xml:space="preserve">248 N.Y. 339, 162 N.E. 99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has held that an automobile accident injuring third parties was a</w:t>
      </w:r>
      <w:r>
        <w:t xml:space="preserve"> </w:t>
      </w:r>
      <w:hyperlink r:id="rId77">
        <w:r>
          <w:rPr>
            <w:rStyle w:val="Link"/>
          </w:rPr>
          <w:t xml:space="preserve">reasonably foreseeable result of the negligent act of serving alcohol to an intoxicated individual</w:t>
        </w:r>
      </w:hyperlink>
      <w:r>
        <w:t xml:space="preserve">. But twelve years later the court held that</w:t>
      </w:r>
      <w:r>
        <w:t xml:space="preserve"> </w:t>
      </w:r>
      <w:hyperlink r:id="rId78">
        <w:r>
          <w:rPr>
            <w:rStyle w:val="Link"/>
          </w:rPr>
          <w:t xml:space="preserve">an intoxicated patron fighting with and shooting a fellow customer was simply not a foreseeable result of continuing to serve the patron alcohol.</w:t>
        </w:r>
      </w:hyperlink>
      <w:r>
        <w:t xml:space="preserve">]</w:t>
      </w:r>
    </w:p>
    <w:p>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r>
        <w:t xml:space="preserve">This court has encountered this foreseeability inquiry under Kentucky law before in a situation similar to this case. In</w:t>
      </w:r>
      <w:r>
        <w:t xml:space="preserve"> </w:t>
      </w:r>
      <w:hyperlink r:id="rId79">
        <w:r>
          <w:rPr>
            <w:i/>
            <w:rStyle w:val="Link"/>
          </w:rPr>
          <w:t xml:space="preserve">Watters v. TSR, Inc.,</w:t>
        </w:r>
        <w:r>
          <w:rPr>
            <w:rStyle w:val="Link"/>
          </w:rPr>
          <w:t xml:space="preserve"> </w:t>
        </w:r>
        <w:r>
          <w:rPr>
            <w:rStyle w:val="Link"/>
          </w:rPr>
          <w:t xml:space="preserve">904 F.2d 378 (6th Cir.1990),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0" w:name="the-duty-to-protect-against-intentional-criminal-actions"/>
      <w:bookmarkEnd w:id="80"/>
      <w:r>
        <w:t xml:space="preserve">1. The Duty to Protect Against Intentional Criminal Actions</w:t>
      </w:r>
    </w:p>
    <w:p>
      <w:r>
        <w:t xml:space="preserve">First, courts have held that, except under extraordinary circumstances, individuals are generally entitled to assume that third parties will not commit intentional criminal acts.…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r>
        <w:t xml:space="preserve">We can find nothing close to a "special relationship" in this case. The defendants did not even know James, Steger, and Hadley prior to Carneal's actions, much less take any affirmative steps that disabled them from protecting themselves.</w:t>
      </w:r>
    </w:p>
    <w:p>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1">
        <w:r>
          <w:rPr>
            <w:i/>
            <w:rStyle w:val="Link"/>
          </w:rPr>
          <w:t xml:space="preserve">Vills v. City of Cloquet,</w:t>
        </w:r>
        <w:r>
          <w:rPr>
            <w:rStyle w:val="Link"/>
          </w:rPr>
          <w:t xml:space="preserve"> </w:t>
        </w:r>
        <w:r>
          <w:rPr>
            <w:rStyle w:val="Link"/>
          </w:rPr>
          <w:t xml:space="preserve">119 Minn. 277, 138 N.W. 33 (1912),</w:t>
        </w:r>
      </w:hyperlink>
      <w:r>
        <w:t xml:space="preserve"> </w:t>
      </w:r>
      <w:r>
        <w:t xml:space="preserve">or firearms.</w:t>
      </w:r>
      <w:r>
        <w:t xml:space="preserve"> </w:t>
      </w:r>
      <w:hyperlink r:id="rId82">
        <w:r>
          <w:rPr>
            <w:i/>
            <w:rStyle w:val="Link"/>
          </w:rPr>
          <w:t xml:space="preserve">Spivey v. Sheeler,</w:t>
        </w:r>
        <w:r>
          <w:rPr>
            <w:rStyle w:val="Link"/>
          </w:rPr>
          <w:t xml:space="preserve"> </w:t>
        </w:r>
        <w:r>
          <w:rPr>
            <w:rStyle w:val="Link"/>
          </w:rPr>
          <w:t xml:space="preserve">514 S.W.2d 667 (Ky.1974)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3">
        <w:r>
          <w:rPr>
            <w:i/>
            <w:rStyle w:val="Link"/>
          </w:rPr>
          <w:t xml:space="preserve">Meers v. McDowell,</w:t>
        </w:r>
        <w:r>
          <w:rPr>
            <w:rStyle w:val="Link"/>
          </w:rPr>
          <w:t xml:space="preserve"> </w:t>
        </w:r>
        <w:r>
          <w:rPr>
            <w:rStyle w:val="Link"/>
          </w:rPr>
          <w:t xml:space="preserve">110 Ky. 926, 62 S.W. 1013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84" w:name="first-amendment-problems"/>
      <w:bookmarkEnd w:id="84"/>
      <w:r>
        <w:t xml:space="preserve">2. First Amendment Problems</w:t>
      </w:r>
    </w:p>
    <w:p>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85">
        <w:r>
          <w:rPr>
            <w:i/>
            <w:rStyle w:val="Link"/>
          </w:rPr>
          <w:t xml:space="preserve">New York Times v. Sullivan,</w:t>
        </w:r>
        <w:r>
          <w:rPr>
            <w:rStyle w:val="Link"/>
          </w:rPr>
          <w:t xml:space="preserve"> </w:t>
        </w:r>
        <w:r>
          <w:rPr>
            <w:rStyle w:val="Link"/>
          </w:rPr>
          <w:t xml:space="preserve">376 U.S. 254, 265, 84 S.Ct. 710, 11 L.Ed.2d 686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r>
        <w:t xml:space="preserve">[The court found that movies and video games are protected speech under the First Amendment.</w:t>
      </w:r>
    </w:p>
    <w:p>
      <w:pPr>
        <w:pStyle w:val="BlockQuote"/>
      </w:pPr>
      <w:r>
        <w:t xml:space="preserve">Expression, to be constitutionally protected, need not constitute the reasoned discussion of the public affairs, but may also be for purposes of entertainment.]</w:t>
      </w:r>
    </w:p>
    <w:p>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86">
        <w:r>
          <w:rPr>
            <w:i/>
            <w:rStyle w:val="Link"/>
          </w:rPr>
          <w:t xml:space="preserve">Sable Communications v. FCC,</w:t>
        </w:r>
        <w:r>
          <w:rPr>
            <w:rStyle w:val="Link"/>
          </w:rPr>
          <w:t xml:space="preserve"> </w:t>
        </w:r>
        <w:r>
          <w:rPr>
            <w:rStyle w:val="Link"/>
          </w:rPr>
          <w:t xml:space="preserve">492 U.S. 115, 126, 109 S.Ct. 2829, 106 L.Ed.2d 93 (1989)</w:t>
        </w:r>
      </w:hyperlink>
      <w:r>
        <w:t xml:space="preserve">;</w:t>
      </w:r>
      <w:r>
        <w:t xml:space="preserve"> </w:t>
      </w:r>
      <w:hyperlink r:id="rId87">
        <w:r>
          <w:rPr>
            <w:i/>
            <w:rStyle w:val="Link"/>
          </w:rPr>
          <w:t xml:space="preserve">Connection Distrib. Co. v. Reno,</w:t>
        </w:r>
        <w:r>
          <w:rPr>
            <w:rStyle w:val="Link"/>
          </w:rPr>
          <w:t xml:space="preserve"> </w:t>
        </w:r>
        <w:r>
          <w:rPr>
            <w:rStyle w:val="Link"/>
          </w:rPr>
          <w:t xml:space="preserve">154 F.3d 281, 291-92 (6th Cir.1998)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88">
        <w:r>
          <w:rPr>
            <w:i/>
            <w:rStyle w:val="Link"/>
          </w:rPr>
          <w:t xml:space="preserve">Reno v. American Civil Liberties Union,</w:t>
        </w:r>
        <w:r>
          <w:rPr>
            <w:rStyle w:val="Link"/>
          </w:rPr>
          <w:t xml:space="preserve"> </w:t>
        </w:r>
        <w:r>
          <w:rPr>
            <w:rStyle w:val="Link"/>
          </w:rPr>
          <w:t xml:space="preserve">521 U.S. 844, 874-75, 117 S.Ct. 2329, 138 L.Ed.2d 874 (1997)</w:t>
        </w:r>
      </w:hyperlink>
      <w:r>
        <w:t xml:space="preserve">;</w:t>
      </w:r>
      <w:r>
        <w:t xml:space="preserve"> </w:t>
      </w:r>
      <w:hyperlink r:id="rId89">
        <w:r>
          <w:rPr>
            <w:i/>
            <w:rStyle w:val="Link"/>
          </w:rPr>
          <w:t xml:space="preserve">United States v. Playboy Entm't Group, Inc.,</w:t>
        </w:r>
        <w:r>
          <w:rPr>
            <w:rStyle w:val="Link"/>
          </w:rPr>
          <w:t xml:space="preserve"> </w:t>
        </w:r>
        <w:r>
          <w:rPr>
            <w:rStyle w:val="Link"/>
          </w:rPr>
          <w:t xml:space="preserve">529 U.S. 803, 812-13, 120 S.Ct. 1878, 146 L.Ed.2d 865 (2000)</w:t>
        </w:r>
      </w:hyperlink>
      <w:r>
        <w:t xml:space="preserve">;</w:t>
      </w:r>
      <w:r>
        <w:t xml:space="preserve"> </w:t>
      </w:r>
      <w:hyperlink r:id="rId87">
        <w:r>
          <w:rPr>
            <w:i/>
            <w:rStyle w:val="Link"/>
          </w:rPr>
          <w:t xml:space="preserve">Connection Distrib.,</w:t>
        </w:r>
        <w:r>
          <w:rPr>
            <w:rStyle w:val="Link"/>
          </w:rPr>
          <w:t xml:space="preserve"> </w:t>
        </w:r>
        <w:r>
          <w:rPr>
            <w:rStyle w:val="Link"/>
          </w:rPr>
          <w:t xml:space="preserve">154 F.3d at 292</w:t>
        </w:r>
      </w:hyperlink>
      <w:r>
        <w:t xml:space="preserve">.</w:t>
      </w:r>
    </w:p>
    <w:p>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0">
        <w:r>
          <w:rPr>
            <w:i/>
            <w:rStyle w:val="Link"/>
          </w:rPr>
          <w:t xml:space="preserve">Paris Adult Theatre I v. Slaton,</w:t>
        </w:r>
        <w:r>
          <w:rPr>
            <w:rStyle w:val="Link"/>
          </w:rPr>
          <w:t xml:space="preserve"> </w:t>
        </w:r>
        <w:r>
          <w:rPr>
            <w:rStyle w:val="Link"/>
          </w:rPr>
          <w:t xml:space="preserve">413 U.S. 49, 69, 93 S.Ct. 2628, 37 L.Ed.2d 446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1">
        <w:r>
          <w:rPr>
            <w:i/>
            <w:rStyle w:val="Link"/>
          </w:rPr>
          <w:t xml:space="preserve">Miller v. California,</w:t>
        </w:r>
        <w:r>
          <w:rPr>
            <w:rStyle w:val="Link"/>
          </w:rPr>
          <w:t xml:space="preserve"> </w:t>
        </w:r>
        <w:r>
          <w:rPr>
            <w:rStyle w:val="Link"/>
          </w:rPr>
          <w:t xml:space="preserve">413 U.S. 15, 23-24, 93 S.Ct. 2607, 37 L.Ed.2d 419 (1973)</w:t>
        </w:r>
      </w:hyperlink>
      <w:r>
        <w:t xml:space="preserve"> </w:t>
      </w:r>
      <w:r>
        <w:t xml:space="preserve">("We now confine the scope of [obscene material] to works which depict or describe sexual conduct.");</w:t>
      </w:r>
      <w:r>
        <w:t xml:space="preserve"> </w:t>
      </w:r>
      <w:hyperlink r:id="rId92">
        <w:r>
          <w:rPr>
            <w:i/>
            <w:rStyle w:val="Link"/>
          </w:rPr>
          <w:t xml:space="preserve">United States v. Thoma,</w:t>
        </w:r>
        <w:r>
          <w:rPr>
            <w:rStyle w:val="Link"/>
          </w:rPr>
          <w:t xml:space="preserve"> </w:t>
        </w:r>
        <w:r>
          <w:rPr>
            <w:rStyle w:val="Link"/>
          </w:rPr>
          <w:t xml:space="preserve">726 F.2d 1191, 1200 (7th Cir.1984)</w:t>
        </w:r>
      </w:hyperlink>
      <w:r>
        <w:t xml:space="preserve"> </w:t>
      </w:r>
      <w:r>
        <w:t xml:space="preserve">(holding that because depictions of violence are not sexual, obscenity jurisprudence does not apply).</w:t>
      </w:r>
    </w:p>
    <w:p>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93">
        <w:r>
          <w:rPr>
            <w:i/>
            <w:rStyle w:val="Link"/>
          </w:rPr>
          <w:t xml:space="preserve">American Amusement Mach. Ass'n v. Kendrick,</w:t>
        </w:r>
        <w:r>
          <w:rPr>
            <w:rStyle w:val="Link"/>
          </w:rPr>
          <w:t xml:space="preserve"> </w:t>
        </w:r>
        <w:r>
          <w:rPr>
            <w:rStyle w:val="Link"/>
          </w:rPr>
          <w:t xml:space="preserve">244 F.3d 572, 574 (7th Cir.2001)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94">
        <w:r>
          <w:rPr>
            <w:i/>
            <w:rStyle w:val="Link"/>
          </w:rPr>
          <w:t xml:space="preserve">R.A.V. v. City of St. Paul,</w:t>
        </w:r>
        <w:r>
          <w:rPr>
            <w:rStyle w:val="Link"/>
          </w:rPr>
          <w:t xml:space="preserve"> </w:t>
        </w:r>
        <w:r>
          <w:rPr>
            <w:rStyle w:val="Link"/>
          </w:rPr>
          <w:t xml:space="preserve">505 U.S. 377, 384-85, 112 S.Ct. 2538, 120 L.Ed.2d 305 (1992)</w:t>
        </w:r>
      </w:hyperlink>
      <w:r>
        <w:t xml:space="preserve">. The Court firmly set out the test for whether speech constitutes unprotected incitement to violence in</w:t>
      </w:r>
      <w:r>
        <w:t xml:space="preserve"> </w:t>
      </w:r>
      <w:hyperlink r:id="rId95">
        <w:r>
          <w:rPr>
            <w:i/>
            <w:rStyle w:val="Link"/>
          </w:rPr>
          <w:t xml:space="preserve">Brandenburg v. Ohio,</w:t>
        </w:r>
        <w:r>
          <w:rPr>
            <w:rStyle w:val="Link"/>
          </w:rPr>
          <w:t xml:space="preserve"> </w:t>
        </w:r>
        <w:r>
          <w:rPr>
            <w:rStyle w:val="Link"/>
          </w:rPr>
          <w:t xml:space="preserve">395 U.S. 444, 89 S.Ct. 1827, 23 L.Ed.2d 430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96">
        <w:r>
          <w:rPr>
            <w:i/>
            <w:rStyle w:val="Link"/>
          </w:rPr>
          <w:t xml:space="preserve">Hess v. Indiana,</w:t>
        </w:r>
        <w:r>
          <w:rPr>
            <w:rStyle w:val="Link"/>
          </w:rPr>
          <w:t xml:space="preserve"> </w:t>
        </w:r>
        <w:r>
          <w:rPr>
            <w:rStyle w:val="Link"/>
          </w:rPr>
          <w:t xml:space="preserve">414 U.S. 105, 108, 94 S.Ct. 326, 38 L.Ed.2d 303</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97">
        <w:r>
          <w:rPr>
            <w:i/>
            <w:rStyle w:val="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98">
        <w:r>
          <w:rPr>
            <w:i/>
            <w:rStyle w:val="Link"/>
          </w:rPr>
          <w:t xml:space="preserve">McCoy v. Stewart,</w:t>
        </w:r>
        <w:r>
          <w:rPr>
            <w:rStyle w:val="Link"/>
          </w:rPr>
          <w:t xml:space="preserve"> </w:t>
        </w:r>
        <w:r>
          <w:rPr>
            <w:rStyle w:val="Link"/>
          </w:rPr>
          <w:t xml:space="preserve">282 F.3d 626, 631 (9th Cir.2002)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99">
        <w:r>
          <w:rPr>
            <w:i/>
            <w:rStyle w:val="Link"/>
          </w:rPr>
          <w:t xml:space="preserve">Dworkin v. Hustler Magazine, Inc.,</w:t>
        </w:r>
        <w:r>
          <w:rPr>
            <w:rStyle w:val="Link"/>
          </w:rPr>
          <w:t xml:space="preserve"> </w:t>
        </w:r>
        <w:r>
          <w:rPr>
            <w:rStyle w:val="Link"/>
          </w:rPr>
          <w:t xml:space="preserve">867 F.2d 1188, 1199-1200 (9th Cir.1989)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0">
        <w:r>
          <w:rPr>
            <w:i/>
            <w:rStyle w:val="Link"/>
          </w:rPr>
          <w:t xml:space="preserve">Herceg v. Hustler Magazine, Inc.,</w:t>
        </w:r>
        <w:r>
          <w:rPr>
            <w:rStyle w:val="Link"/>
          </w:rPr>
          <w:t xml:space="preserve"> </w:t>
        </w:r>
        <w:r>
          <w:rPr>
            <w:rStyle w:val="Link"/>
          </w:rPr>
          <w:t xml:space="preserve">814 F.2d 1017, 1024 (5th Cir.1987)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r>
        <w:t xml:space="preserve">[The court's discussion of proximate causation omitted.]</w:t>
      </w:r>
    </w:p>
    <w:p>
      <w:pPr>
        <w:pStyle w:val="Heading3"/>
      </w:pPr>
      <w:bookmarkStart w:id="101" w:name="iv"/>
      <w:bookmarkEnd w:id="101"/>
      <w:r>
        <w:t xml:space="preserve">IV</w:t>
      </w:r>
    </w:p>
    <w:p>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2">
        <w:r>
          <w:rPr>
            <w:i/>
            <w:rStyle w:val="Link"/>
          </w:rPr>
          <w:t xml:space="preserve">Clark v. Hauck Mfg. Co.,</w:t>
        </w:r>
        <w:r>
          <w:rPr>
            <w:rStyle w:val="Link"/>
          </w:rPr>
          <w:t xml:space="preserve"> </w:t>
        </w:r>
        <w:r>
          <w:rPr>
            <w:rStyle w:val="Link"/>
          </w:rPr>
          <w:t xml:space="preserve">910 S.W.2d 247, 250 (Ky.1995)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3">
        <w:r>
          <w:rPr>
            <w:i/>
            <w:rStyle w:val="Link"/>
          </w:rPr>
          <w:t xml:space="preserve">Embs v. Pepsi-Cola Bottling Co. of Lexington,</w:t>
        </w:r>
        <w:r>
          <w:rPr>
            <w:rStyle w:val="Link"/>
          </w:rPr>
          <w:t xml:space="preserve"> </w:t>
        </w:r>
        <w:r>
          <w:rPr>
            <w:rStyle w:val="Link"/>
          </w:rPr>
          <w:t xml:space="preserve">528 S.W.2d 703 (Ky.1975)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r>
        <w:t xml:space="preserve">This court has already substantially resolved the question of Kentucky law presented. In</w:t>
      </w:r>
      <w:r>
        <w:t xml:space="preserve"> </w:t>
      </w:r>
      <w:hyperlink r:id="rId79">
        <w:r>
          <w:rPr>
            <w:i/>
            <w:rStyle w:val="Link"/>
          </w:rPr>
          <w:t xml:space="preserve">Watters v. TSR,</w:t>
        </w:r>
        <w:r>
          <w:rPr>
            <w:rStyle w:val="Link"/>
          </w:rPr>
          <w:t xml:space="preserve"> </w:t>
        </w:r>
        <w:r>
          <w:rPr>
            <w:rStyle w:val="Link"/>
          </w:rPr>
          <w:t xml:space="preserve">904 F.2d 378 (6th Cir.1990),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04">
        <w:r>
          <w:rPr>
            <w:i/>
            <w:rStyle w:val="Link"/>
          </w:rPr>
          <w:t xml:space="preserve">C.G. Bryant v. Tri-County Elec. Membership Corp.,</w:t>
        </w:r>
        <w:r>
          <w:rPr>
            <w:rStyle w:val="Link"/>
          </w:rPr>
          <w:t xml:space="preserve"> </w:t>
        </w:r>
        <w:r>
          <w:rPr>
            <w:rStyle w:val="Link"/>
          </w:rPr>
          <w:t xml:space="preserve">844 F.Supp. 347, 352 (W.D.Ky.1994)</w:t>
        </w:r>
      </w:hyperlink>
      <w:r>
        <w:t xml:space="preserve">. Internet sites are nothing more than communicative electrical pulses, James contends. James argues that there is no relevant difference between the internet transmissions and the electricity.</w:t>
      </w:r>
    </w:p>
    <w:p>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r>
        <w:t xml:space="preserve">[</w:t>
      </w:r>
      <w:r>
        <w:rPr>
          <w:i/>
        </w:rPr>
        <w:t xml:space="preserve">See, e.g.,</w:t>
      </w:r>
      <w:r>
        <w:t xml:space="preserve"> </w:t>
      </w:r>
      <w:hyperlink r:id="rId105">
        <w:r>
          <w:rPr>
            <w:i/>
            <w:rStyle w:val="Link"/>
          </w:rPr>
          <w:t xml:space="preserve">Winter v. G.P. Putnam's Sons,</w:t>
        </w:r>
        <w:r>
          <w:rPr>
            <w:rStyle w:val="Link"/>
          </w:rPr>
          <w:t xml:space="preserve"> </w:t>
        </w:r>
        <w:r>
          <w:rPr>
            <w:rStyle w:val="Link"/>
          </w:rPr>
          <w:t xml:space="preserve">938 F.2d 1033, 1036 (9th Cir.1991)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06">
        <w:r>
          <w:rPr>
            <w:i/>
            <w:rStyle w:val="Link"/>
          </w:rPr>
          <w:t xml:space="preserve">Jones v. J.B. Lippincott Co.,</w:t>
        </w:r>
        <w:r>
          <w:rPr>
            <w:rStyle w:val="Link"/>
          </w:rPr>
          <w:t xml:space="preserve"> </w:t>
        </w:r>
        <w:r>
          <w:rPr>
            <w:rStyle w:val="Link"/>
          </w:rPr>
          <w:t xml:space="preserve">694 F.Supp. 1216, 1217-18 (D.Md. 1988)</w:t>
        </w:r>
      </w:hyperlink>
      <w:r>
        <w:t xml:space="preserve">(publisher of medical text not liable for injuries suffered by nursing student who treated herself for constipation after consulting the text and suffered injury).]</w:t>
      </w:r>
    </w:p>
    <w:p>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07" w:name="v"/>
      <w:bookmarkEnd w:id="107"/>
      <w:r>
        <w:t xml:space="preserve">V</w:t>
      </w:r>
    </w:p>
    <w:p>
      <w:r>
        <w:t xml:space="preserve">For all the foregoing reasons, we AFFIRM the district court's dismissal of all James's claims.</w:t>
      </w:r>
    </w:p>
    <w:p>
      <w:pPr>
        <w:pStyle w:val="Heading2"/>
      </w:pPr>
      <w:bookmarkStart w:id="108" w:name="herceg-v.-hustler-magazine-inc."/>
      <w:bookmarkEnd w:id="108"/>
      <w:r>
        <w:t xml:space="preserve">Herceg v. Hustler Magazine, Inc.</w:t>
      </w:r>
    </w:p>
    <w:p>
      <w:pPr>
        <w:pStyle w:val="Heading6"/>
      </w:pPr>
      <w:bookmarkStart w:id="109" w:name="fifth-circuit-court-of-appeals-1987"/>
      <w:bookmarkEnd w:id="109"/>
      <w:r>
        <w:t xml:space="preserve">Fifth Circuit Court of Appeals (1987)</w:t>
      </w:r>
    </w:p>
    <w:p>
      <w:pPr>
        <w:pStyle w:val="Compact"/>
        <w:numPr>
          <w:numId w:val="1003"/>
          <w:ilvl w:val="0"/>
        </w:numPr>
      </w:pPr>
      <w:hyperlink r:id="rId110">
        <w:r>
          <w:rPr>
            <w:rStyle w:val="Link"/>
          </w:rPr>
          <w:t xml:space="preserve">case at Google Scholar</w:t>
        </w:r>
      </w:hyperlink>
    </w:p>
    <w:p>
      <w:pPr>
        <w:pStyle w:val="Compact"/>
        <w:numPr>
          <w:numId w:val="1003"/>
          <w:ilvl w:val="0"/>
        </w:numPr>
      </w:pPr>
      <w:hyperlink r:id="rId111">
        <w:r>
          <w:rPr>
            <w:rStyle w:val="Link"/>
          </w:rPr>
          <w:t xml:space="preserve">case at Westlaw</w:t>
        </w:r>
      </w:hyperlink>
    </w:p>
    <w:p>
      <w:pPr>
        <w:pStyle w:val="Compact"/>
        <w:numPr>
          <w:numId w:val="1003"/>
          <w:ilvl w:val="0"/>
        </w:numPr>
      </w:pPr>
      <w:hyperlink r:id="rId25">
        <w:r>
          <w:rPr>
            <w:rStyle w:val="Link"/>
          </w:rPr>
          <w:t xml:space="preserve">Erotic asphyxiation at Wikipedia</w:t>
        </w:r>
      </w:hyperlink>
      <w:r>
        <w:t xml:space="preserve">.</w:t>
      </w:r>
    </w:p>
    <w:p>
      <w:r>
        <w:t xml:space="preserve">An adolescent read a magazine article that prompted him to commit an act that proved fatal. The issue is whether the publisher of the magazine may be held liable for civil damages.</w:t>
      </w:r>
    </w:p>
    <w:p>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incitment claim and the case was allowed to go to the jury on incitement alone.</w:t>
      </w:r>
    </w:p>
    <w:p>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 ]</w:t>
      </w:r>
    </w:p>
    <w:p>
      <w:pPr>
        <w:pStyle w:val="Heading3"/>
      </w:pPr>
      <w:bookmarkStart w:id="112" w:name="incitement"/>
      <w:bookmarkEnd w:id="112"/>
      <w:r>
        <w:t xml:space="preserve">Incitement</w:t>
      </w:r>
    </w:p>
    <w:p>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impermissibly infringing upon freedom of speech.</w:t>
      </w:r>
    </w:p>
    <w:p>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13">
        <w:r>
          <w:rPr>
            <w:i/>
            <w:rStyle w:val="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4" w:name="civil-liability"/>
      <w:bookmarkEnd w:id="114"/>
      <w:r>
        <w:t xml:space="preserve">Civil Liability?</w:t>
      </w:r>
    </w:p>
    <w:p>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15">
        <w:r>
          <w:rPr>
            <w:i/>
            <w:rStyle w:val="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r>
        <w:t xml:space="preserve">For the reasons stated above, the judgment of the district court is REVERSED.</w:t>
      </w:r>
    </w:p>
    <w:p>
      <w:pPr>
        <w:pStyle w:val="Heading3"/>
      </w:pPr>
      <w:bookmarkStart w:id="116" w:name="concurrence-dissent"/>
      <w:bookmarkEnd w:id="116"/>
      <w:r>
        <w:t xml:space="preserve">Concurrence &amp; Dissent</w:t>
      </w:r>
    </w:p>
    <w:p>
      <w:r>
        <w:t xml:space="preserve">EDITH H. JONES, Circuit Judge, Concurring and Dissenting:</w:t>
      </w:r>
    </w:p>
    <w:p>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17" w:name="i."/>
      <w:bookmarkEnd w:id="117"/>
      <w:r>
        <w:t xml:space="preserve">I.</w:t>
      </w:r>
    </w:p>
    <w:p>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r>
        <w:t xml:space="preserve">Not only is Hustler's appeal noncognitive, but the magazine derives its profit from that fact. If Hustler stopped being pornographic, its readership would vanish.</w:t>
      </w:r>
    </w:p>
    <w:p>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18" w:name="ii."/>
      <w:bookmarkEnd w:id="118"/>
      <w:r>
        <w:t xml:space="preserve">II.</w:t>
      </w:r>
    </w:p>
    <w:p>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19">
        <w:r>
          <w:rPr>
            <w:i/>
            <w:rStyle w:val="Link"/>
          </w:rPr>
          <w:t xml:space="preserve">NAACP v. Claiborne Hardware Company,</w:t>
        </w:r>
        <w:r>
          <w:rPr>
            <w:rStyle w:val="Link"/>
          </w:rPr>
          <w:t xml:space="preserve"> </w:t>
        </w:r>
        <w:r>
          <w:rPr>
            <w:rStyle w:val="Link"/>
          </w:rPr>
          <w:t xml:space="preserve">458 U.S. 886, 102 S.Ct. 3409, 73 L.Ed.2d 1215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0">
        <w:r>
          <w:rPr>
            <w:i/>
            <w:rStyle w:val="Link"/>
          </w:rPr>
          <w:t xml:space="preserve">Chaplinsky v. New Hampshire,</w:t>
        </w:r>
        <w:r>
          <w:rPr>
            <w:rStyle w:val="Link"/>
          </w:rPr>
          <w:t xml:space="preserve"> </w:t>
        </w:r>
        <w:r>
          <w:rPr>
            <w:rStyle w:val="Link"/>
          </w:rPr>
          <w:t xml:space="preserve">315 U.S. 568, 62 S.Ct. 766, 86 L.Ed. 1031 (1942)</w:t>
        </w:r>
      </w:hyperlink>
      <w:r>
        <w:t xml:space="preserve">. The Supreme Court has also dealt favorably with state regulations designed to protect minors from performing sexual acts by prohibiting distribution of films containing such acts.</w:t>
      </w:r>
      <w:r>
        <w:t xml:space="preserve"> </w:t>
      </w:r>
      <w:hyperlink r:id="rId121">
        <w:r>
          <w:rPr>
            <w:i/>
            <w:rStyle w:val="Link"/>
          </w:rPr>
          <w:t xml:space="preserve">New York v. Ferber,</w:t>
        </w:r>
        <w:r>
          <w:rPr>
            <w:rStyle w:val="Link"/>
          </w:rPr>
          <w:t xml:space="preserve"> </w:t>
        </w:r>
        <w:r>
          <w:rPr>
            <w:rStyle w:val="Link"/>
          </w:rPr>
          <w:t xml:space="preserve">458 U.S. 747, 102 S.Ct. 3348, 73 L.Ed.2d 1113 (1982)</w:t>
        </w:r>
      </w:hyperlink>
      <w:r>
        <w:t xml:space="preserve">. There the Court found it "evident beyond the need for elaboration that a State's interest in `safeguarding the physical and psychological wellbeing of a minor' is `compelling'."</w:t>
      </w:r>
      <w:r>
        <w:t xml:space="preserve"> </w:t>
      </w:r>
      <w:hyperlink r:id="rId121">
        <w:r>
          <w:rPr>
            <w:rStyle w:val="Link"/>
          </w:rPr>
          <w:t xml:space="preserve">458 U.S. at 756-57, 102 S.Ct. at 3354,</w:t>
        </w:r>
      </w:hyperlink>
      <w:r>
        <w:t xml:space="preserve"> </w:t>
      </w:r>
      <w:r>
        <w:t xml:space="preserve">(quoting</w:t>
      </w:r>
      <w:r>
        <w:t xml:space="preserve"> </w:t>
      </w:r>
      <w:hyperlink r:id="rId122">
        <w:r>
          <w:rPr>
            <w:i/>
            <w:rStyle w:val="Link"/>
          </w:rPr>
          <w:t xml:space="preserve">Globe Newspaper Co. v. Superior Court,</w:t>
        </w:r>
        <w:r>
          <w:rPr>
            <w:rStyle w:val="Link"/>
          </w:rPr>
          <w:t xml:space="preserve"> </w:t>
        </w:r>
        <w:r>
          <w:rPr>
            <w:rStyle w:val="Link"/>
          </w:rPr>
          <w:t xml:space="preserve">457 U.S. 596, 607, 102 S.Ct. 2613, 2620, 73 L.Ed.2d 248 (1982)</w:t>
        </w:r>
      </w:hyperlink>
      <w:r>
        <w:t xml:space="preserve">). The Court has even gone so far as to uphold an FCC regulation banning "indecent" speech from the airwaves at the times when children would be in the audience.</w:t>
      </w:r>
      <w:r>
        <w:t xml:space="preserve"> </w:t>
      </w:r>
      <w:hyperlink r:id="rId123">
        <w:r>
          <w:rPr>
            <w:i/>
            <w:rStyle w:val="Link"/>
          </w:rPr>
          <w:t xml:space="preserve">F.C.C. v. Pacifica Foundation,</w:t>
        </w:r>
        <w:r>
          <w:rPr>
            <w:rStyle w:val="Link"/>
          </w:rPr>
          <w:t xml:space="preserve"> </w:t>
        </w:r>
        <w:r>
          <w:rPr>
            <w:rStyle w:val="Link"/>
          </w:rPr>
          <w:t xml:space="preserve">438 U.S. 726, 98 S.Ct. 3026, 57 L.Ed.2d 1073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r>
        <w:rPr>
          <w:i/>
        </w:rPr>
        <w:t xml:space="preserve">Gertz.</w:t>
      </w:r>
      <w:r>
        <w:t xml:space="preserve"> </w:t>
      </w:r>
      <w:hyperlink r:id="rId124">
        <w:r>
          <w:rPr>
            <w:rStyle w:val="Link"/>
          </w:rPr>
          <w:t xml:space="preserve">472 U.S. at 758, 105 S.Ct. at 2945</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25">
        <w:r>
          <w:rPr>
            <w:i/>
            <w:rStyle w:val="Link"/>
          </w:rPr>
          <w:t xml:space="preserve">Connick v. Myers,</w:t>
        </w:r>
        <w:r>
          <w:rPr>
            <w:rStyle w:val="Link"/>
          </w:rPr>
          <w:t xml:space="preserve"> </w:t>
        </w:r>
        <w:r>
          <w:rPr>
            <w:rStyle w:val="Link"/>
          </w:rPr>
          <w:t xml:space="preserve">461 U.S. 138, 148-49, 103 S.Ct. 1684, 1690, 75 L.Ed.2d 708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4">
        <w:r>
          <w:rPr>
            <w:rStyle w:val="Link"/>
          </w:rPr>
          <w:t xml:space="preserve">472 U.S. at 762, 105 S.Ct. at 2947,</w:t>
        </w:r>
      </w:hyperlink>
      <w:r>
        <w:t xml:space="preserve"> </w:t>
      </w:r>
      <w:r>
        <w:t xml:space="preserve">(quoting</w:t>
      </w:r>
      <w:r>
        <w:t xml:space="preserve"> </w:t>
      </w:r>
      <w:hyperlink r:id="rId115">
        <w:r>
          <w:rPr>
            <w:i/>
            <w:rStyle w:val="Link"/>
          </w:rPr>
          <w:t xml:space="preserve">New York Times</w:t>
        </w:r>
      </w:hyperlink>
      <w:hyperlink r:id="rId115">
        <w:r>
          <w:rPr>
            <w:i/>
            <w:rStyle w:val="Link"/>
          </w:rPr>
          <w:t xml:space="preserve">Co. v. Sullivan,</w:t>
        </w:r>
        <w:r>
          <w:rPr>
            <w:rStyle w:val="Link"/>
          </w:rPr>
          <w:t xml:space="preserve"> </w:t>
        </w:r>
        <w:r>
          <w:rPr>
            <w:rStyle w:val="Link"/>
          </w:rPr>
          <w:t xml:space="preserve">376 U.S. 254, 270, 84 S.Ct. 710, 721, 11 L.Ed.2d 686 (1967)</w:t>
        </w:r>
      </w:hyperlink>
      <w:r>
        <w:t xml:space="preserve">).</w:t>
      </w:r>
    </w:p>
    <w:p>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19">
        <w:r>
          <w:rPr>
            <w:i/>
            <w:rStyle w:val="Link"/>
          </w:rPr>
          <w:t xml:space="preserve">NAACP v. Claiborne Hardware Co.,</w:t>
        </w:r>
        <w:r>
          <w:rPr>
            <w:rStyle w:val="Link"/>
          </w:rPr>
          <w:t xml:space="preserve"> </w:t>
        </w:r>
        <w:r>
          <w:rPr>
            <w:rStyle w:val="Link"/>
          </w:rPr>
          <w:t xml:space="preserve">458 U.S. at 917-919, 102 S.Ct. at 3427-28</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26">
        <w:r>
          <w:rPr>
            <w:i/>
            <w:rStyle w:val="Link"/>
          </w:rPr>
          <w:t xml:space="preserve">Roth v. United States,</w:t>
        </w:r>
        <w:r>
          <w:rPr>
            <w:rStyle w:val="Link"/>
          </w:rPr>
          <w:t xml:space="preserve"> </w:t>
        </w:r>
        <w:r>
          <w:rPr>
            <w:rStyle w:val="Link"/>
          </w:rPr>
          <w:t xml:space="preserve">354 U.S. 476, 77 S.Ct. 1304, 1 L.Ed.2d 1498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r>
        <w:t xml:space="preserve">The foregoing analysis immediately differentiates this case from</w:t>
      </w:r>
      <w:r>
        <w:t xml:space="preserve"> </w:t>
      </w:r>
      <w:hyperlink r:id="rId113">
        <w:r>
          <w:rPr>
            <w:i/>
            <w:rStyle w:val="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2"/>
      </w:pPr>
      <w:bookmarkStart w:id="127" w:name="iii."/>
      <w:bookmarkEnd w:id="127"/>
      <w:r>
        <w:t xml:space="preserve">III.</w:t>
      </w:r>
    </w:p>
    <w:p>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13">
        <w:r>
          <w:rPr>
            <w:i/>
            <w:rStyle w:val="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r>
        <w:t xml:space="preserve">End of excerpts from Judge Edith Grossman's concurring &amp; dissenting opinion.</w:t>
      </w:r>
    </w:p>
    <w:p>
      <w:pPr>
        <w:pStyle w:val="Heading4"/>
      </w:pPr>
      <w:bookmarkStart w:id="128" w:name="note-on-weirum-v.-rko"/>
      <w:bookmarkEnd w:id="128"/>
      <w:r>
        <w:t xml:space="preserve">Note on</w:t>
      </w:r>
      <w:r>
        <w:t xml:space="preserve"> </w:t>
      </w:r>
      <w:r>
        <w:rPr>
          <w:i/>
        </w:rPr>
        <w:t xml:space="preserve">Weirum v. RKO</w:t>
      </w:r>
    </w:p>
    <w:p>
      <w:r>
        <w:t xml:space="preserve">In</w:t>
      </w:r>
      <w:r>
        <w:t xml:space="preserve"> </w:t>
      </w:r>
      <w:hyperlink r:id="rId129">
        <w:r>
          <w:rPr>
            <w:i/>
            <w:rStyle w:val="Link"/>
          </w:rPr>
          <w:t xml:space="preserve">Weirum v. RKO,</w:t>
        </w:r>
        <w:r>
          <w:rPr>
            <w:rStyle w:val="Link"/>
          </w:rPr>
          <w:t xml:space="preserve"> </w:t>
        </w:r>
        <w:r>
          <w:rPr>
            <w:rStyle w:val="Link"/>
          </w:rPr>
          <w:t xml:space="preserve">15 Cal.3d 40, 123 Cal.Rptr. 468, 539 P.2d 36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0">
        <w:r>
          <w:rPr>
            <w:i/>
            <w:rStyle w:val="Link"/>
          </w:rPr>
          <w:t xml:space="preserve">Hyde v. Missouri,</w:t>
        </w:r>
        <w:r>
          <w:rPr>
            <w:rStyle w:val="Link"/>
          </w:rPr>
          <w:t xml:space="preserve"> </w:t>
        </w:r>
        <w:r>
          <w:rPr>
            <w:rStyle w:val="Link"/>
          </w:rPr>
          <w:t xml:space="preserve">637 S.W.2d 251 (Mo.Ct.App.1982)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1" w:name="note-on-rice-v.-paladin"/>
      <w:bookmarkEnd w:id="131"/>
      <w:r>
        <w:t xml:space="preserve">Note on</w:t>
      </w:r>
      <w:r>
        <w:t xml:space="preserve"> </w:t>
      </w:r>
      <w:r>
        <w:rPr>
          <w:i/>
        </w:rPr>
        <w:t xml:space="preserve">Rice v. Paladin,</w:t>
      </w:r>
    </w:p>
    <w:p>
      <w:pPr>
        <w:pStyle w:val="Heading6"/>
      </w:pPr>
      <w:bookmarkStart w:id="132" w:name="fourth-circuit-1997"/>
      <w:bookmarkEnd w:id="132"/>
      <w:r>
        <w:t xml:space="preserve">Fourth Circuit (1997)</w:t>
      </w:r>
    </w:p>
    <w:p>
      <w:pPr>
        <w:pStyle w:val="Compact"/>
        <w:numPr>
          <w:numId w:val="1005"/>
          <w:ilvl w:val="0"/>
        </w:numPr>
      </w:pPr>
      <w:hyperlink r:id="rId133">
        <w:r>
          <w:rPr>
            <w:rStyle w:val="Link"/>
          </w:rPr>
          <w:t xml:space="preserve">Reason Magazine: The Day They Came To Sue The Book</w:t>
        </w:r>
      </w:hyperlink>
    </w:p>
    <w:p>
      <w:pPr>
        <w:pStyle w:val="Compact"/>
        <w:numPr>
          <w:numId w:val="1005"/>
          <w:ilvl w:val="0"/>
        </w:numPr>
      </w:pPr>
      <w:hyperlink r:id="rId134">
        <w:r>
          <w:rPr>
            <w:rStyle w:val="Link"/>
          </w:rPr>
          <w:t xml:space="preserve">Case at Google Scholar</w:t>
        </w:r>
      </w:hyperlink>
    </w:p>
    <w:p>
      <w:pPr>
        <w:pStyle w:val="Compact"/>
        <w:numPr>
          <w:numId w:val="1005"/>
          <w:ilvl w:val="0"/>
        </w:numPr>
      </w:pPr>
      <w:hyperlink r:id="rId135">
        <w:r>
          <w:rPr>
            <w:rStyle w:val="Link"/>
          </w:rPr>
          <w:t xml:space="preserve">Case at Westlaw</w:t>
        </w:r>
      </w:hyperlink>
      <w:r>
        <w:t xml:space="preserve">.</w:t>
      </w:r>
    </w:p>
    <w:p>
      <w:pPr>
        <w:pStyle w:val="Compact"/>
        <w:numPr>
          <w:numId w:val="1005"/>
          <w:ilvl w:val="0"/>
        </w:numPr>
      </w:pPr>
      <w:hyperlink r:id="rId136">
        <w:r>
          <w:rPr>
            <w:rStyle w:val="Link"/>
          </w:rPr>
          <w:t xml:space="preserve">Case at Wikipedia</w:t>
        </w:r>
      </w:hyperlink>
      <w:r>
        <w:t xml:space="preserve">.</w:t>
      </w:r>
    </w:p>
    <w:p>
      <w:pPr>
        <w:pStyle w:val="Compact"/>
        <w:numPr>
          <w:numId w:val="1005"/>
          <w:ilvl w:val="0"/>
        </w:numPr>
      </w:pPr>
      <w:hyperlink r:id="rId137">
        <w:r>
          <w:rPr>
            <w:i/>
            <w:rStyle w:val="Link"/>
          </w:rPr>
          <w:t xml:space="preserve">Hit Man: A Technical Manual For Independent Contractors</w:t>
        </w:r>
        <w:r>
          <w:rPr>
            <w:rStyle w:val="Link"/>
          </w:rPr>
          <w:t xml:space="preserve"> </w:t>
        </w:r>
        <w:r>
          <w:rPr>
            <w:rStyle w:val="Link"/>
          </w:rPr>
          <w:t xml:space="preserve">- complete text</w:t>
        </w:r>
      </w:hyperlink>
    </w:p>
    <w:p>
      <w:pPr>
        <w:pStyle w:val="Heading3"/>
      </w:pPr>
      <w:bookmarkStart w:id="138" w:name="referenced-cases"/>
      <w:bookmarkEnd w:id="138"/>
      <w:r>
        <w:t xml:space="preserve">Referenced Cases</w:t>
      </w:r>
    </w:p>
    <w:p>
      <w:pPr>
        <w:pStyle w:val="Compact"/>
        <w:numPr>
          <w:numId w:val="1006"/>
          <w:ilvl w:val="0"/>
        </w:numPr>
      </w:pPr>
      <w:hyperlink r:id="rId139">
        <w:r>
          <w:rPr>
            <w:i/>
            <w:rStyle w:val="Link"/>
          </w:rPr>
          <w:t xml:space="preserve">U.S. v. Stevens</w:t>
        </w:r>
      </w:hyperlink>
      <w:r>
        <w:t xml:space="preserve">, 130 S.Ct. 1577 (2010).</w:t>
      </w:r>
      <w:r>
        <w:t xml:space="preserve"> </w:t>
      </w:r>
      <w:hyperlink r:id="rId27">
        <w:r>
          <w:rPr>
            <w:rStyle w:val="Link"/>
          </w:rPr>
          <w:t xml:space="preserve">Wikipedia</w:t>
        </w:r>
      </w:hyperlink>
      <w:r>
        <w:t xml:space="preserve">.</w:t>
      </w:r>
      <w:r>
        <w:br w:type="textWrapping"/>
      </w:r>
    </w:p>
    <w:p>
      <w:pPr>
        <w:pStyle w:val="Compact"/>
        <w:numPr>
          <w:numId w:val="1006"/>
          <w:ilvl w:val="0"/>
        </w:numPr>
      </w:pPr>
      <w:hyperlink r:id="rId140">
        <w:r>
          <w:rPr>
            <w:i/>
            <w:rStyle w:val="Link"/>
          </w:rPr>
          <w:t xml:space="preserve">Weirum v. RKO</w:t>
        </w:r>
      </w:hyperlink>
      <w:r>
        <w:t xml:space="preserve">, 539 P.2d 36 (1975).</w:t>
      </w:r>
      <w:r>
        <w:t xml:space="preserve"> </w:t>
      </w:r>
      <w:hyperlink r:id="rId141">
        <w:r>
          <w:rPr>
            <w:rStyle w:val="Link"/>
          </w:rPr>
          <w:t xml:space="preserve">Wikipedia</w:t>
        </w:r>
      </w:hyperlink>
      <w:r>
        <w:t xml:space="preserve">.</w:t>
      </w:r>
      <w:r>
        <w:br w:type="textWrapping"/>
      </w:r>
    </w:p>
    <w:p>
      <w:pPr>
        <w:pStyle w:val="Compact"/>
        <w:numPr>
          <w:numId w:val="1006"/>
          <w:ilvl w:val="0"/>
        </w:numPr>
      </w:pPr>
      <w:hyperlink r:id="rId142">
        <w:r>
          <w:rPr>
            <w:i/>
            <w:rStyle w:val="Link"/>
          </w:rPr>
          <w:t xml:space="preserve">Byers v. Edmundson</w:t>
        </w:r>
      </w:hyperlink>
      <w:r>
        <w:t xml:space="preserve">, 826 So.2d 551 (1st Cir. 2002).</w:t>
      </w:r>
      <w:r>
        <w:t xml:space="preserve"> </w:t>
      </w:r>
      <w:hyperlink r:id="rId26">
        <w:r>
          <w:rPr>
            <w:rStyle w:val="Link"/>
          </w:rPr>
          <w:t xml:space="preserve">Wikipedia list of copycat crimes committed by individuals allegedly influenced by the 1994 film</w:t>
        </w:r>
        <w:r>
          <w:rPr>
            <w:rStyle w:val="Link"/>
          </w:rPr>
          <w:t xml:space="preserve"> </w:t>
        </w:r>
        <w:r>
          <w:rPr>
            <w:i/>
            <w:rStyle w:val="Link"/>
          </w:rPr>
          <w:t xml:space="preserve">Natural Born Killers</w:t>
        </w:r>
      </w:hyperlink>
      <w:r>
        <w:t xml:space="preserve">.</w:t>
      </w:r>
      <w:r>
        <w:br w:type="textWrapping"/>
      </w:r>
    </w:p>
    <w:p>
      <w:pPr>
        <w:pStyle w:val="Compact"/>
        <w:numPr>
          <w:numId w:val="1006"/>
          <w:ilvl w:val="0"/>
        </w:numPr>
      </w:pPr>
      <w:hyperlink r:id="rId143">
        <w:r>
          <w:rPr>
            <w:i/>
            <w:rStyle w:val="Link"/>
          </w:rPr>
          <w:t xml:space="preserve">Davidson v. Time Warner,</w:t>
        </w:r>
      </w:hyperlink>
      <w:r>
        <w:t xml:space="preserve"> </w:t>
      </w:r>
      <w:r>
        <w:t xml:space="preserve">1997 WL 405907 (S.D.Tx 1997).</w:t>
      </w:r>
      <w:r>
        <w:t xml:space="preserve"> </w:t>
      </w:r>
      <w:hyperlink r:id="rId144">
        <w:r>
          <w:rPr>
            <w:rStyle w:val="Link"/>
          </w:rPr>
          <w:t xml:space="preserve">Case note on</w:t>
        </w:r>
        <w:r>
          <w:rPr>
            <w:rStyle w:val="Link"/>
          </w:rPr>
          <w:t xml:space="preserve"> </w:t>
        </w:r>
        <w:r>
          <w:rPr>
            <w:i/>
            <w:rStyle w:val="Link"/>
          </w:rPr>
          <w:t xml:space="preserve">Davidson v. Time-Warner</w:t>
        </w:r>
      </w:hyperlink>
      <w:r>
        <w:t xml:space="preserve">.</w:t>
      </w:r>
    </w:p>
    <w:p>
      <w:pPr>
        <w:pStyle w:val="Compact"/>
        <w:numPr>
          <w:numId w:val="1006"/>
          <w:ilvl w:val="0"/>
        </w:numPr>
      </w:pPr>
      <w:hyperlink r:id="rId145">
        <w:r>
          <w:rPr>
            <w:i/>
            <w:rStyle w:val="Link"/>
          </w:rPr>
          <w:t xml:space="preserve">Miramax Films v. MPAA</w:t>
        </w:r>
      </w:hyperlink>
      <w:r>
        <w:t xml:space="preserve">, 560 N.Y.S.2d 730 (1990).</w:t>
      </w:r>
    </w:p>
    <w:p>
      <w:pPr>
        <w:pStyle w:val="Compact"/>
        <w:numPr>
          <w:numId w:val="1006"/>
          <w:ilvl w:val="0"/>
        </w:numPr>
      </w:pPr>
      <w:r>
        <w:t xml:space="preserve">Trailer for</w:t>
      </w:r>
      <w:r>
        <w:t xml:space="preserve"> </w:t>
      </w:r>
      <w:hyperlink r:id="rId146">
        <w:r>
          <w:rPr>
            <w:i/>
            <w:rStyle w:val="Link"/>
          </w:rPr>
          <w:t xml:space="preserve">This Film Is Not Yet Rated</w:t>
        </w:r>
      </w:hyperlink>
      <w:r>
        <w:t xml:space="preserve">.</w:t>
      </w:r>
    </w:p>
    <w:p>
      <w:pPr>
        <w:pStyle w:val="Heading3"/>
      </w:pPr>
      <w:bookmarkStart w:id="147" w:name="recommended"/>
      <w:bookmarkEnd w:id="147"/>
      <w:r>
        <w:t xml:space="preserve">Recommended</w:t>
      </w:r>
    </w:p>
    <w:p>
      <w:pPr>
        <w:pStyle w:val="Compact"/>
        <w:numPr>
          <w:numId w:val="1007"/>
          <w:ilvl w:val="0"/>
        </w:numPr>
      </w:pPr>
      <w:hyperlink r:id="rId148">
        <w:r>
          <w:rPr>
            <w:i/>
            <w:rStyle w:val="Link"/>
          </w:rPr>
          <w:t xml:space="preserve">The People v. Larry Flynt</w:t>
        </w:r>
      </w:hyperlink>
      <w:r>
        <w:t xml:space="preserve">.</w:t>
      </w:r>
    </w:p>
    <w:p>
      <w:pPr>
        <w:pStyle w:val="Compact"/>
        <w:numPr>
          <w:numId w:val="1007"/>
          <w:ilvl w:val="0"/>
        </w:numPr>
      </w:pPr>
      <w:hyperlink r:id="rId149">
        <w:r>
          <w:rPr>
            <w:rStyle w:val="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46">
        <w:r>
          <w:rPr>
            <w:i/>
            <w:rStyle w:val="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5319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a74d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83e3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scholar_case?case=11989907166283121695&amp;q=brown+entertainment+merchants&amp;hl=en&amp;as_sdt=2006&amp;scilh=0" TargetMode="External" /><Relationship Type="http://schemas.openxmlformats.org/officeDocument/2006/relationships/hyperlink" Id="rId60" Target="/scholar_case?case=14621372290934958371&amp;q=brown+entertainment+merchants&amp;hl=en&amp;as_sdt=2006&amp;scilh=0" TargetMode="External" /><Relationship Type="http://schemas.openxmlformats.org/officeDocument/2006/relationships/hyperlink" Id="rId52" Target="/scholar_case?case=14778925784015245625&amp;q=brown+entertainment+merchants&amp;hl=en&amp;as_sdt=2006&amp;scilh=0" TargetMode="External" /><Relationship Type="http://schemas.openxmlformats.org/officeDocument/2006/relationships/hyperlink" Id="rId50" Target="/scholar_case?case=287180442152313659&amp;q=brown+entertainment+merchants&amp;hl=en&amp;as_sdt=2006&amp;scilh=0" TargetMode="External" /><Relationship Type="http://schemas.openxmlformats.org/officeDocument/2006/relationships/hyperlink" Id="rId51" Target="/scholar_case?case=7398433541275578772&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25" Target="http://en.wikipedia.org/wiki/Erotic_asphyxiation" TargetMode="External" /><Relationship Type="http://schemas.openxmlformats.org/officeDocument/2006/relationships/hyperlink" Id="rId72" Target="http://en.wikipedia.org/wiki/Heath_High_School_shooting" TargetMode="External" /><Relationship Type="http://schemas.openxmlformats.org/officeDocument/2006/relationships/hyperlink" Id="rId136"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1" Target="http://en.wikipedia.org/wiki/RKO_General#Notable_Legal_Case" TargetMode="External" /><Relationship Type="http://schemas.openxmlformats.org/officeDocument/2006/relationships/hyperlink" Id="rId148"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5" Target="http://lawschool.westlaw.com/shared/westlawRedirect.aspx?task=find&amp;cite=128f3d233&amp;appflag=67.12" TargetMode="External" /><Relationship Type="http://schemas.openxmlformats.org/officeDocument/2006/relationships/hyperlink" Id="rId139"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3" Target="http://lawschool.westlaw.com/shared/westlawRedirect.aspx?task=find&amp;cite=1997+WL+405907&amp;appflag=67.12" TargetMode="External" /><Relationship Type="http://schemas.openxmlformats.org/officeDocument/2006/relationships/hyperlink" Id="rId71" Target="http://lawschool.westlaw.com/shared/westlawRedirect.aspx?task=find&amp;cite=300f3d683&amp;appflag=67.12" TargetMode="External" /><Relationship Type="http://schemas.openxmlformats.org/officeDocument/2006/relationships/hyperlink" Id="rId140" Target="http://lawschool.westlaw.com/shared/westlawRedirect.aspx?task=find&amp;cite=539+P.2d+36&amp;appflag=67.12" TargetMode="External" /><Relationship Type="http://schemas.openxmlformats.org/officeDocument/2006/relationships/hyperlink" Id="rId145" Target="http://lawschool.westlaw.com/shared/westlawRedirect.aspx?task=find&amp;cite=560nys2d730&amp;appflag=67.12" TargetMode="External" /><Relationship Type="http://schemas.openxmlformats.org/officeDocument/2006/relationships/hyperlink" Id="rId111" Target="http://lawschool.westlaw.com/shared/westlawRedirect.aspx?task=find&amp;cite=814f2d1017&amp;appflag=67.12" TargetMode="External" /><Relationship Type="http://schemas.openxmlformats.org/officeDocument/2006/relationships/hyperlink" Id="rId142" Target="http://lawschool.westlaw.com/shared/westlawRedirect.aspx?task=find&amp;cite=826+So.2d+551&amp;appflag=67.12" TargetMode="External" /><Relationship Type="http://schemas.openxmlformats.org/officeDocument/2006/relationships/hyperlink" Id="rId133" Target="http://reason.com/archives/1999/08/01/the-day-they-came-to-sue-the-b" TargetMode="External" /><Relationship Type="http://schemas.openxmlformats.org/officeDocument/2006/relationships/hyperlink" Id="rId83" Target="http://scholar.google.com/scholar_case?about=13723756947186741433&amp;q=james+meow&amp;hl=en&amp;as_sdt=6,28&amp;scilh=0" TargetMode="External" /><Relationship Type="http://schemas.openxmlformats.org/officeDocument/2006/relationships/hyperlink" Id="rId81" Target="http://scholar.google.com/scholar_case?about=15516340448157145729&amp;q=james+meow&amp;hl=en&amp;as_sdt=6,28&amp;scilh=0" TargetMode="External" /><Relationship Type="http://schemas.openxmlformats.org/officeDocument/2006/relationships/hyperlink" Id="rId70" Target="http://scholar.google.com/scholar_case?about=2909369074319697416" TargetMode="External" /><Relationship Type="http://schemas.openxmlformats.org/officeDocument/2006/relationships/hyperlink" Id="rId76" Target="http://scholar.google.com/scholar_case?about=8468647111215907111&amp;q=james+meow&amp;hl=en&amp;as_sdt=6,28&amp;scilh=0" TargetMode="External" /><Relationship Type="http://schemas.openxmlformats.org/officeDocument/2006/relationships/hyperlink" Id="rId115" Target="http://scholar.google.com/scholar_case?case=10183527771703896207&amp;q=herceg+hustler&amp;hl=en&amp;as_sdt=6,28&amp;scilh=0" TargetMode="External" /><Relationship Type="http://schemas.openxmlformats.org/officeDocument/2006/relationships/hyperlink" Id="rId85" Target="http://scholar.google.com/scholar_case?case=10183527771703896207&amp;q=james+meow&amp;hl=en&amp;as_sdt=6,28&amp;scilh=0" TargetMode="External" /><Relationship Type="http://schemas.openxmlformats.org/officeDocument/2006/relationships/hyperlink" Id="rId79" Target="http://scholar.google.com/scholar_case?case=10196421278862987651&amp;q=james+meow&amp;hl=en&amp;as_sdt=6,28&amp;scilh=0" TargetMode="External" /><Relationship Type="http://schemas.openxmlformats.org/officeDocument/2006/relationships/hyperlink" Id="rId64" Target="http://scholar.google.com/scholar_case?case=11083261902857685106&amp;q=brown+entertainment+merchants&amp;hl=en&amp;as_sdt=2006&amp;scilh=0" TargetMode="External" /><Relationship Type="http://schemas.openxmlformats.org/officeDocument/2006/relationships/hyperlink" Id="rId134" Target="http://scholar.google.com/scholar_case?case=11246858167733420309&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89" Target="http://scholar.google.com/scholar_case?case=11989907166283121695&amp;q=james+meow&amp;hl=en&amp;as_sdt=6,28&amp;scilh=0" TargetMode="External" /><Relationship Type="http://schemas.openxmlformats.org/officeDocument/2006/relationships/hyperlink" Id="rId106" Target="http://scholar.google.com/scholar_case?case=12134749983314046468&amp;q=james+meow&amp;hl=en&amp;as_sdt=6,28&amp;scilh=0" TargetMode="External" /><Relationship Type="http://schemas.openxmlformats.org/officeDocument/2006/relationships/hyperlink" Id="rId82" Target="http://scholar.google.com/scholar_case?case=12187369012283356840&amp;q=james+meow&amp;hl=en&amp;as_sdt=6,28&amp;scilh=0" TargetMode="External" /><Relationship Type="http://schemas.openxmlformats.org/officeDocument/2006/relationships/hyperlink" Id="rId121" Target="http://scholar.google.com/scholar_case?case=1226851723986989726&amp;q=herceg+hustler&amp;hl=en&amp;as_sdt=6,28&amp;scilh=0" TargetMode="External" /><Relationship Type="http://schemas.openxmlformats.org/officeDocument/2006/relationships/hyperlink" Id="rId125"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0" Target="http://scholar.google.com/scholar_case?case=124249671461500618&amp;q=herceg+hustler&amp;hl=en&amp;as_sdt=6,28&amp;scilh=0" TargetMode="External" /><Relationship Type="http://schemas.openxmlformats.org/officeDocument/2006/relationships/hyperlink" Id="rId86" Target="http://scholar.google.com/scholar_case?case=12959937071120946576&amp;q=james+meow&amp;hl=en&amp;as_sdt=6,28&amp;scilh=0"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93" Target="http://scholar.google.com/scholar_case?case=13025078069235542866&amp;q=james+meow&amp;hl=en&amp;as_sdt=6,28&amp;scilh=0" TargetMode="External" /><Relationship Type="http://schemas.openxmlformats.org/officeDocument/2006/relationships/hyperlink" Id="rId103" Target="http://scholar.google.com/scholar_case?case=14151903145400687453&amp;q=james+meow&amp;hl=en&amp;as_sdt=6,28&amp;scilh=0" TargetMode="External" /><Relationship Type="http://schemas.openxmlformats.org/officeDocument/2006/relationships/hyperlink" Id="rId124" Target="http://scholar.google.com/scholar_case?case=14343170427684392260&amp;q=herceg+hustler&amp;hl=en&amp;as_sdt=6,28&amp;scilh=0" TargetMode="External" /><Relationship Type="http://schemas.openxmlformats.org/officeDocument/2006/relationships/hyperlink" Id="rId104"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4"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26"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3" Target="http://scholar.google.com/scholar_case?case=15538842772335942956&amp;q=herceg+hustler&amp;hl=en&amp;as_sdt=6,28&amp;scilh=0" TargetMode="External" /><Relationship Type="http://schemas.openxmlformats.org/officeDocument/2006/relationships/hyperlink" Id="rId95" Target="http://scholar.google.com/scholar_case?case=15538842772335942956&amp;q=james+meow&amp;hl=en&amp;as_sdt=6,28&amp;scilh=0" TargetMode="External" /><Relationship Type="http://schemas.openxmlformats.org/officeDocument/2006/relationships/hyperlink" Id="rId88"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77" Target="http://scholar.google.com/scholar_case?case=16532176860606685190&amp;q=james+meow&amp;hl=en&amp;as_sdt=6,28&amp;scilh=0" TargetMode="External" /><Relationship Type="http://schemas.openxmlformats.org/officeDocument/2006/relationships/hyperlink" Id="rId87"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2"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1" Target="http://scholar.google.com/scholar_case?case=287180442152313659&amp;q=james+meow&amp;hl=en&amp;as_sdt=6,28&amp;scilh=0" TargetMode="External" /><Relationship Type="http://schemas.openxmlformats.org/officeDocument/2006/relationships/hyperlink" Id="rId69"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3" Target="http://scholar.google.com/scholar_case?case=3859249994867287155&amp;q=brown+entertainment+merchants&amp;hl=en&amp;as_sdt=2006&amp;scilh=0" TargetMode="External" /><Relationship Type="http://schemas.openxmlformats.org/officeDocument/2006/relationships/hyperlink" Id="rId99" Target="http://scholar.google.com/scholar_case?case=391927733878660348&amp;q=james+meow&amp;hl=en&amp;as_sdt=6,28&amp;scilh=0" TargetMode="External" /><Relationship Type="http://schemas.openxmlformats.org/officeDocument/2006/relationships/hyperlink" Id="rId97" Target="http://scholar.google.com/scholar_case?case=4016009721484982910&amp;q=james+meow&amp;hl=en&amp;as_sdt=6,28&amp;scilh=0" TargetMode="External" /><Relationship Type="http://schemas.openxmlformats.org/officeDocument/2006/relationships/hyperlink" Id="rId96" Target="http://scholar.google.com/scholar_case?case=4042159652386241321&amp;q=james+meow&amp;hl=en&amp;as_sdt=6,28&amp;scilh=0"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98" Target="http://scholar.google.com/scholar_case?case=4786465207502783304&amp;q=james+meow&amp;hl=en&amp;as_sdt=6,28&amp;scilh=0" TargetMode="External" /><Relationship Type="http://schemas.openxmlformats.org/officeDocument/2006/relationships/hyperlink" Id="rId62"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0" Target="http://scholar.google.com/scholar_case?case=6013208883755367940&amp;q=herceg+hustler&amp;hl=en&amp;as_sdt=6,28&amp;scilh=0" TargetMode="External" /><Relationship Type="http://schemas.openxmlformats.org/officeDocument/2006/relationships/hyperlink" Id="rId92"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19" Target="http://scholar.google.com/scholar_case?case=7271075303659098319&amp;q=herceg+hustler&amp;hl=en&amp;as_sdt=6,28&amp;scilh=0" TargetMode="External" /><Relationship Type="http://schemas.openxmlformats.org/officeDocument/2006/relationships/hyperlink" Id="rId90"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0" Target="http://scholar.google.com/scholar_case?case=7844372980201599517" TargetMode="External" /><Relationship Type="http://schemas.openxmlformats.org/officeDocument/2006/relationships/hyperlink" Id="rId100"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5" Target="http://scholar.google.com/scholar_case?case=8197049031942033273&amp;q=james+meow&amp;hl=en&amp;as_sdt=6,28&amp;scilh=0" TargetMode="External" /><Relationship Type="http://schemas.openxmlformats.org/officeDocument/2006/relationships/hyperlink" Id="rId129" Target="http://scholar.google.com/scholar_case?case=836093554391354911&amp;q=herceg+hustler&amp;hl=en&amp;as_sdt=6,28&amp;scilh=0" TargetMode="External" /><Relationship Type="http://schemas.openxmlformats.org/officeDocument/2006/relationships/hyperlink" Id="rId78" Target="http://scholar.google.com/scholar_case?case=8378611870130381594&amp;q=james+meow&amp;hl=en&amp;as_sdt=6,28&amp;scilh=0"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2" Target="http://scholar.google.com/scholar_case?case=9138451588502129368&amp;q=herceg+hustler&amp;hl=en&amp;as_sdt=6,28&amp;scilh=0" TargetMode="External" /><Relationship Type="http://schemas.openxmlformats.org/officeDocument/2006/relationships/hyperlink" Id="rId123" Target="http://scholar.google.com/scholar_case?case=9738309099999149495&amp;q=herceg+hustler&amp;hl=en&amp;as_sdt=6,28&amp;scilh=0" TargetMode="External" /><Relationship Type="http://schemas.openxmlformats.org/officeDocument/2006/relationships/hyperlink" Id="rId66"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4" Target="http://tinyurl.com/ml5vvz8" TargetMode="External" /><Relationship Type="http://schemas.openxmlformats.org/officeDocument/2006/relationships/hyperlink" Id="rId137"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49" Target="http://www.theatlantic.com/national/archive/2014/09/in-cambridge-md-a-soviet-style-punishment-for-a-novelist/379431/" TargetMode="External" /><Relationship Type="http://schemas.openxmlformats.org/officeDocument/2006/relationships/hyperlink" Id="rId146"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61" Target="/scholar_case?case=11989907166283121695&amp;q=brown+entertainment+merchants&amp;hl=en&amp;as_sdt=2006&amp;scilh=0" TargetMode="External" /><Relationship Type="http://schemas.openxmlformats.org/officeDocument/2006/relationships/hyperlink" Id="rId60" Target="/scholar_case?case=14621372290934958371&amp;q=brown+entertainment+merchants&amp;hl=en&amp;as_sdt=2006&amp;scilh=0" TargetMode="External" /><Relationship Type="http://schemas.openxmlformats.org/officeDocument/2006/relationships/hyperlink" Id="rId52" Target="/scholar_case?case=14778925784015245625&amp;q=brown+entertainment+merchants&amp;hl=en&amp;as_sdt=2006&amp;scilh=0" TargetMode="External" /><Relationship Type="http://schemas.openxmlformats.org/officeDocument/2006/relationships/hyperlink" Id="rId50" Target="/scholar_case?case=287180442152313659&amp;q=brown+entertainment+merchants&amp;hl=en&amp;as_sdt=2006&amp;scilh=0" TargetMode="External" /><Relationship Type="http://schemas.openxmlformats.org/officeDocument/2006/relationships/hyperlink" Id="rId51" Target="/scholar_case?case=7398433541275578772&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25" Target="http://en.wikipedia.org/wiki/Erotic_asphyxiation" TargetMode="External" /><Relationship Type="http://schemas.openxmlformats.org/officeDocument/2006/relationships/hyperlink" Id="rId72" Target="http://en.wikipedia.org/wiki/Heath_High_School_shooting" TargetMode="External" /><Relationship Type="http://schemas.openxmlformats.org/officeDocument/2006/relationships/hyperlink" Id="rId136"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1" Target="http://en.wikipedia.org/wiki/RKO_General#Notable_Legal_Case" TargetMode="External" /><Relationship Type="http://schemas.openxmlformats.org/officeDocument/2006/relationships/hyperlink" Id="rId148"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5" Target="http://lawschool.westlaw.com/shared/westlawRedirect.aspx?task=find&amp;cite=128f3d233&amp;appflag=67.12" TargetMode="External" /><Relationship Type="http://schemas.openxmlformats.org/officeDocument/2006/relationships/hyperlink" Id="rId139"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3" Target="http://lawschool.westlaw.com/shared/westlawRedirect.aspx?task=find&amp;cite=1997+WL+405907&amp;appflag=67.12" TargetMode="External" /><Relationship Type="http://schemas.openxmlformats.org/officeDocument/2006/relationships/hyperlink" Id="rId71" Target="http://lawschool.westlaw.com/shared/westlawRedirect.aspx?task=find&amp;cite=300f3d683&amp;appflag=67.12" TargetMode="External" /><Relationship Type="http://schemas.openxmlformats.org/officeDocument/2006/relationships/hyperlink" Id="rId140" Target="http://lawschool.westlaw.com/shared/westlawRedirect.aspx?task=find&amp;cite=539+P.2d+36&amp;appflag=67.12" TargetMode="External" /><Relationship Type="http://schemas.openxmlformats.org/officeDocument/2006/relationships/hyperlink" Id="rId145" Target="http://lawschool.westlaw.com/shared/westlawRedirect.aspx?task=find&amp;cite=560nys2d730&amp;appflag=67.12" TargetMode="External" /><Relationship Type="http://schemas.openxmlformats.org/officeDocument/2006/relationships/hyperlink" Id="rId111" Target="http://lawschool.westlaw.com/shared/westlawRedirect.aspx?task=find&amp;cite=814f2d1017&amp;appflag=67.12" TargetMode="External" /><Relationship Type="http://schemas.openxmlformats.org/officeDocument/2006/relationships/hyperlink" Id="rId142" Target="http://lawschool.westlaw.com/shared/westlawRedirect.aspx?task=find&amp;cite=826+So.2d+551&amp;appflag=67.12" TargetMode="External" /><Relationship Type="http://schemas.openxmlformats.org/officeDocument/2006/relationships/hyperlink" Id="rId133" Target="http://reason.com/archives/1999/08/01/the-day-they-came-to-sue-the-b" TargetMode="External" /><Relationship Type="http://schemas.openxmlformats.org/officeDocument/2006/relationships/hyperlink" Id="rId83" Target="http://scholar.google.com/scholar_case?about=13723756947186741433&amp;q=james+meow&amp;hl=en&amp;as_sdt=6,28&amp;scilh=0" TargetMode="External" /><Relationship Type="http://schemas.openxmlformats.org/officeDocument/2006/relationships/hyperlink" Id="rId81" Target="http://scholar.google.com/scholar_case?about=15516340448157145729&amp;q=james+meow&amp;hl=en&amp;as_sdt=6,28&amp;scilh=0" TargetMode="External" /><Relationship Type="http://schemas.openxmlformats.org/officeDocument/2006/relationships/hyperlink" Id="rId70" Target="http://scholar.google.com/scholar_case?about=2909369074319697416" TargetMode="External" /><Relationship Type="http://schemas.openxmlformats.org/officeDocument/2006/relationships/hyperlink" Id="rId76" Target="http://scholar.google.com/scholar_case?about=8468647111215907111&amp;q=james+meow&amp;hl=en&amp;as_sdt=6,28&amp;scilh=0" TargetMode="External" /><Relationship Type="http://schemas.openxmlformats.org/officeDocument/2006/relationships/hyperlink" Id="rId115" Target="http://scholar.google.com/scholar_case?case=10183527771703896207&amp;q=herceg+hustler&amp;hl=en&amp;as_sdt=6,28&amp;scilh=0" TargetMode="External" /><Relationship Type="http://schemas.openxmlformats.org/officeDocument/2006/relationships/hyperlink" Id="rId85" Target="http://scholar.google.com/scholar_case?case=10183527771703896207&amp;q=james+meow&amp;hl=en&amp;as_sdt=6,28&amp;scilh=0" TargetMode="External" /><Relationship Type="http://schemas.openxmlformats.org/officeDocument/2006/relationships/hyperlink" Id="rId79" Target="http://scholar.google.com/scholar_case?case=10196421278862987651&amp;q=james+meow&amp;hl=en&amp;as_sdt=6,28&amp;scilh=0" TargetMode="External" /><Relationship Type="http://schemas.openxmlformats.org/officeDocument/2006/relationships/hyperlink" Id="rId64" Target="http://scholar.google.com/scholar_case?case=11083261902857685106&amp;q=brown+entertainment+merchants&amp;hl=en&amp;as_sdt=2006&amp;scilh=0" TargetMode="External" /><Relationship Type="http://schemas.openxmlformats.org/officeDocument/2006/relationships/hyperlink" Id="rId134" Target="http://scholar.google.com/scholar_case?case=11246858167733420309&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89" Target="http://scholar.google.com/scholar_case?case=11989907166283121695&amp;q=james+meow&amp;hl=en&amp;as_sdt=6,28&amp;scilh=0" TargetMode="External" /><Relationship Type="http://schemas.openxmlformats.org/officeDocument/2006/relationships/hyperlink" Id="rId106" Target="http://scholar.google.com/scholar_case?case=12134749983314046468&amp;q=james+meow&amp;hl=en&amp;as_sdt=6,28&amp;scilh=0" TargetMode="External" /><Relationship Type="http://schemas.openxmlformats.org/officeDocument/2006/relationships/hyperlink" Id="rId82" Target="http://scholar.google.com/scholar_case?case=12187369012283356840&amp;q=james+meow&amp;hl=en&amp;as_sdt=6,28&amp;scilh=0" TargetMode="External" /><Relationship Type="http://schemas.openxmlformats.org/officeDocument/2006/relationships/hyperlink" Id="rId121" Target="http://scholar.google.com/scholar_case?case=1226851723986989726&amp;q=herceg+hustler&amp;hl=en&amp;as_sdt=6,28&amp;scilh=0" TargetMode="External" /><Relationship Type="http://schemas.openxmlformats.org/officeDocument/2006/relationships/hyperlink" Id="rId125"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0" Target="http://scholar.google.com/scholar_case?case=124249671461500618&amp;q=herceg+hustler&amp;hl=en&amp;as_sdt=6,28&amp;scilh=0" TargetMode="External" /><Relationship Type="http://schemas.openxmlformats.org/officeDocument/2006/relationships/hyperlink" Id="rId86" Target="http://scholar.google.com/scholar_case?case=12959937071120946576&amp;q=james+meow&amp;hl=en&amp;as_sdt=6,28&amp;scilh=0"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93" Target="http://scholar.google.com/scholar_case?case=13025078069235542866&amp;q=james+meow&amp;hl=en&amp;as_sdt=6,28&amp;scilh=0" TargetMode="External" /><Relationship Type="http://schemas.openxmlformats.org/officeDocument/2006/relationships/hyperlink" Id="rId103" Target="http://scholar.google.com/scholar_case?case=14151903145400687453&amp;q=james+meow&amp;hl=en&amp;as_sdt=6,28&amp;scilh=0" TargetMode="External" /><Relationship Type="http://schemas.openxmlformats.org/officeDocument/2006/relationships/hyperlink" Id="rId124" Target="http://scholar.google.com/scholar_case?case=14343170427684392260&amp;q=herceg+hustler&amp;hl=en&amp;as_sdt=6,28&amp;scilh=0" TargetMode="External" /><Relationship Type="http://schemas.openxmlformats.org/officeDocument/2006/relationships/hyperlink" Id="rId104"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4"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26"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3" Target="http://scholar.google.com/scholar_case?case=15538842772335942956&amp;q=herceg+hustler&amp;hl=en&amp;as_sdt=6,28&amp;scilh=0" TargetMode="External" /><Relationship Type="http://schemas.openxmlformats.org/officeDocument/2006/relationships/hyperlink" Id="rId95" Target="http://scholar.google.com/scholar_case?case=15538842772335942956&amp;q=james+meow&amp;hl=en&amp;as_sdt=6,28&amp;scilh=0" TargetMode="External" /><Relationship Type="http://schemas.openxmlformats.org/officeDocument/2006/relationships/hyperlink" Id="rId88"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77" Target="http://scholar.google.com/scholar_case?case=16532176860606685190&amp;q=james+meow&amp;hl=en&amp;as_sdt=6,28&amp;scilh=0" TargetMode="External" /><Relationship Type="http://schemas.openxmlformats.org/officeDocument/2006/relationships/hyperlink" Id="rId87"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2"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1" Target="http://scholar.google.com/scholar_case?case=287180442152313659&amp;q=james+meow&amp;hl=en&amp;as_sdt=6,28&amp;scilh=0" TargetMode="External" /><Relationship Type="http://schemas.openxmlformats.org/officeDocument/2006/relationships/hyperlink" Id="rId69"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3" Target="http://scholar.google.com/scholar_case?case=3859249994867287155&amp;q=brown+entertainment+merchants&amp;hl=en&amp;as_sdt=2006&amp;scilh=0" TargetMode="External" /><Relationship Type="http://schemas.openxmlformats.org/officeDocument/2006/relationships/hyperlink" Id="rId99" Target="http://scholar.google.com/scholar_case?case=391927733878660348&amp;q=james+meow&amp;hl=en&amp;as_sdt=6,28&amp;scilh=0" TargetMode="External" /><Relationship Type="http://schemas.openxmlformats.org/officeDocument/2006/relationships/hyperlink" Id="rId97" Target="http://scholar.google.com/scholar_case?case=4016009721484982910&amp;q=james+meow&amp;hl=en&amp;as_sdt=6,28&amp;scilh=0" TargetMode="External" /><Relationship Type="http://schemas.openxmlformats.org/officeDocument/2006/relationships/hyperlink" Id="rId96" Target="http://scholar.google.com/scholar_case?case=4042159652386241321&amp;q=james+meow&amp;hl=en&amp;as_sdt=6,28&amp;scilh=0"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98" Target="http://scholar.google.com/scholar_case?case=4786465207502783304&amp;q=james+meow&amp;hl=en&amp;as_sdt=6,28&amp;scilh=0" TargetMode="External" /><Relationship Type="http://schemas.openxmlformats.org/officeDocument/2006/relationships/hyperlink" Id="rId62"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0" Target="http://scholar.google.com/scholar_case?case=6013208883755367940&amp;q=herceg+hustler&amp;hl=en&amp;as_sdt=6,28&amp;scilh=0" TargetMode="External" /><Relationship Type="http://schemas.openxmlformats.org/officeDocument/2006/relationships/hyperlink" Id="rId92"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19" Target="http://scholar.google.com/scholar_case?case=7271075303659098319&amp;q=herceg+hustler&amp;hl=en&amp;as_sdt=6,28&amp;scilh=0" TargetMode="External" /><Relationship Type="http://schemas.openxmlformats.org/officeDocument/2006/relationships/hyperlink" Id="rId90"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0" Target="http://scholar.google.com/scholar_case?case=7844372980201599517" TargetMode="External" /><Relationship Type="http://schemas.openxmlformats.org/officeDocument/2006/relationships/hyperlink" Id="rId100"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5" Target="http://scholar.google.com/scholar_case?case=8197049031942033273&amp;q=james+meow&amp;hl=en&amp;as_sdt=6,28&amp;scilh=0" TargetMode="External" /><Relationship Type="http://schemas.openxmlformats.org/officeDocument/2006/relationships/hyperlink" Id="rId129" Target="http://scholar.google.com/scholar_case?case=836093554391354911&amp;q=herceg+hustler&amp;hl=en&amp;as_sdt=6,28&amp;scilh=0" TargetMode="External" /><Relationship Type="http://schemas.openxmlformats.org/officeDocument/2006/relationships/hyperlink" Id="rId78" Target="http://scholar.google.com/scholar_case?case=8378611870130381594&amp;q=james+meow&amp;hl=en&amp;as_sdt=6,28&amp;scilh=0"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2" Target="http://scholar.google.com/scholar_case?case=9138451588502129368&amp;q=herceg+hustler&amp;hl=en&amp;as_sdt=6,28&amp;scilh=0" TargetMode="External" /><Relationship Type="http://schemas.openxmlformats.org/officeDocument/2006/relationships/hyperlink" Id="rId123" Target="http://scholar.google.com/scholar_case?case=9738309099999149495&amp;q=herceg+hustler&amp;hl=en&amp;as_sdt=6,28&amp;scilh=0" TargetMode="External" /><Relationship Type="http://schemas.openxmlformats.org/officeDocument/2006/relationships/hyperlink" Id="rId66"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4" Target="http://tinyurl.com/ml5vvz8" TargetMode="External" /><Relationship Type="http://schemas.openxmlformats.org/officeDocument/2006/relationships/hyperlink" Id="rId137"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49" Target="http://www.theatlantic.com/national/archive/2014/09/in-cambridge-md-a-soviet-style-punishment-for-a-novelist/379431/" TargetMode="External" /><Relationship Type="http://schemas.openxmlformats.org/officeDocument/2006/relationships/hyperlink" Id="rId146"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