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30-Aug-2014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violence"/>
      <w:bookmarkEnd w:id="23"/>
      <w:r>
        <w:t xml:space="preserve">First Amendment - Violence</w:t>
      </w:r>
    </w:p>
    <w:p>
      <w:r>
        <w:t xml:space="preserve">If speech is just too "sexy," it can be banned. If its indecent, it can be regulated. But what if speech is just too violent? What if your client's rap song arguably "inspires" or</w:t>
      </w:r>
      <w:r>
        <w:t xml:space="preserve"> </w:t>
      </w:r>
      <w:hyperlink r:id="rId24">
        <w:r>
          <w:rPr>
            <w:rStyle w:val="Link"/>
          </w:rPr>
          <w:t xml:space="preserve">"causes" somebody to shoot a cop?</w:t>
        </w:r>
      </w:hyperlink>
      <w:r>
        <w:t xml:space="preserve"> </w:t>
      </w:r>
      <w:r>
        <w:t xml:space="preserve">Or your client's lurid magazine article about erotic asphyxiation arguably “causes” somebody to try it out for themselves,</w:t>
      </w:r>
      <w:r>
        <w:t xml:space="preserve"> </w:t>
      </w:r>
      <w:hyperlink r:id="rId25">
        <w:r>
          <w:rPr>
            <w:rStyle w:val="Link"/>
          </w:rPr>
          <w:t xml:space="preserve">accidentally hanging themselves</w:t>
        </w:r>
      </w:hyperlink>
      <w:r>
        <w:t xml:space="preserve">. At trial the victim's family argues that your client's lurid article about erotic asphyxiation was really just a how-to for teenage thrill-seekers.</w:t>
      </w:r>
    </w:p>
    <w:p>
      <w:r>
        <w:t xml:space="preserve">What if Subliminal lyrics in your heavy metal song arguably "cause" somebody to commit suicide? Or your violent video game arguably "causes" or "inspires" a school shooting?</w:t>
      </w:r>
    </w:p>
    <w:p>
      <w:r>
        <w:t xml:space="preserve">Shall we allow the family members of these victims to sue you in tort for indirectly "causing" the death of their loved ones? Fourteen different murderers have said that Oliver Stone’s</w:t>
      </w:r>
      <w:r>
        <w:t xml:space="preserve"> </w:t>
      </w:r>
      <w:r>
        <w:rPr>
          <w:i/>
        </w:rPr>
        <w:t xml:space="preserve">Natural Born Killers</w:t>
      </w:r>
      <w:r>
        <w:t xml:space="preserve"> </w:t>
      </w:r>
      <w:hyperlink r:id="rId26">
        <w:r>
          <w:rPr>
            <w:rStyle w:val="Link"/>
          </w:rPr>
          <w:t xml:space="preserve">inspired them to go on crime sprees of their own</w:t>
        </w:r>
      </w:hyperlink>
      <w:r>
        <w:t xml:space="preserve">.</w:t>
      </w:r>
    </w:p>
    <w:p>
      <w:r>
        <w:t xml:space="preserve">What if somebody hires you to make a documentary about the production and sale of so-called</w:t>
      </w:r>
      <w:r>
        <w:t xml:space="preserve"> </w:t>
      </w:r>
      <w:hyperlink r:id="rId27">
        <w:r>
          <w:rPr>
            <w:rStyle w:val="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regulated?</w:t>
      </w:r>
    </w:p>
    <w:p>
      <w:r>
        <w:t xml:space="preserve">Do we need a</w:t>
      </w:r>
      <w:r>
        <w:t xml:space="preserve"> </w:t>
      </w:r>
      <w:hyperlink r:id="rId28">
        <w:r>
          <w:rPr>
            <w:i/>
            <w:rStyle w:val="Link"/>
          </w:rPr>
          <w:t xml:space="preserve">Miller</w:t>
        </w:r>
        <w:r>
          <w:rPr>
            <w:rStyle w:val="Link"/>
          </w:rPr>
          <w:t xml:space="preserve"> </w:t>
        </w:r>
        <w:r>
          <w:rPr>
            <w:rStyle w:val="Link"/>
          </w:rPr>
          <w:t xml:space="preserve">test</w:t>
        </w:r>
      </w:hyperlink>
      <w:r>
        <w:t xml:space="preserve"> </w:t>
      </w:r>
      <w:r>
        <w:t xml:space="preserve">for violence? If regulation is required, who should regulate? The government? Industry groups, like the</w:t>
      </w:r>
      <w:r>
        <w:t xml:space="preserve"> </w:t>
      </w:r>
      <w:hyperlink r:id="rId29">
        <w:r>
          <w:rPr>
            <w:rStyle w:val="Link"/>
          </w:rPr>
          <w:t xml:space="preserve">Motion Picture Association of America (MPAA)</w:t>
        </w:r>
      </w:hyperlink>
      <w:r>
        <w:t xml:space="preserve"> </w:t>
      </w:r>
      <w:r>
        <w:t xml:space="preserve">or the</w:t>
      </w:r>
      <w:r>
        <w:t xml:space="preserve"> </w:t>
      </w:r>
      <w:hyperlink r:id="rId30">
        <w:r>
          <w:rPr>
            <w:rStyle w:val="Link"/>
          </w:rPr>
          <w:t xml:space="preserve">Entertainment Software Ratings Board (ESRB)</w:t>
        </w:r>
      </w:hyperlink>
      <w:r>
        <w:t xml:space="preserve">? Or shall we allow civil liability in the form of tort suits against content providers who publish material that arguably amounts to incitement to violence?</w:t>
      </w:r>
    </w:p>
    <w:p>
      <w:r>
        <w:t xml:space="preserve">In</w:t>
      </w:r>
      <w:r>
        <w:t xml:space="preserve"> </w:t>
      </w:r>
      <w:r>
        <w:rPr>
          <w:i/>
        </w:rPr>
        <w:t xml:space="preserve">Ginsberg v. New York</w:t>
      </w:r>
      <w:r>
        <w:t xml:space="preserve"> </w:t>
      </w:r>
      <w:r>
        <w:t xml:space="preserve">(discussed below), the Supreme Court upheld a New York statute that regulated obscenity-for-minors, prohibiting the sale of</w:t>
      </w:r>
      <w:r>
        <w:t xml:space="preserve"> </w:t>
      </w:r>
      <w:r>
        <w:rPr>
          <w:i/>
        </w:rPr>
        <w:t xml:space="preserve">sexual</w:t>
      </w:r>
      <w:r>
        <w:t xml:space="preserve"> </w:t>
      </w:r>
      <w:r>
        <w:t xml:space="preserve">material that, while not obscene to adults, would be obscene from the perspective of a child.</w:t>
      </w:r>
    </w:p>
    <w:p>
      <w:r>
        <w:t xml:space="preserve">Using some of language, California passed a law banning the sale of violent video games to minors.It was immediate challenged in court by a consortium of video game and software companies, who eventually took their case all the way to the United States Supreme Court.</w:t>
      </w:r>
    </w:p>
    <w:p>
      <w:pPr>
        <w:pStyle w:val="Heading2"/>
      </w:pPr>
      <w:bookmarkStart w:id="31" w:name="brown-v.-entertainment-merchants"/>
      <w:bookmarkEnd w:id="31"/>
      <w:r>
        <w:rPr>
          <w:i/>
        </w:rPr>
        <w:t xml:space="preserve">Brown v. Entertainment Merchants</w:t>
      </w:r>
    </w:p>
    <w:p>
      <w:pPr>
        <w:pStyle w:val="Heading6"/>
      </w:pPr>
      <w:bookmarkStart w:id="32" w:name="u.s.-supreme-court-2011"/>
      <w:bookmarkEnd w:id="32"/>
      <w:r>
        <w:t xml:space="preserve">U.S. Supreme Court (2011)</w:t>
      </w:r>
    </w:p>
    <w:p>
      <w:pPr>
        <w:pStyle w:val="Compact"/>
        <w:numPr>
          <w:numId w:val="1001"/>
          <w:ilvl w:val="0"/>
        </w:numPr>
      </w:pPr>
      <w:hyperlink r:id="rId33">
        <w:r>
          <w:rPr>
            <w:rStyle w:val="Link"/>
          </w:rPr>
          <w:t xml:space="preserve">case at Google Scholar</w:t>
        </w:r>
      </w:hyperlink>
    </w:p>
    <w:p>
      <w:pPr>
        <w:pStyle w:val="Compact"/>
        <w:numPr>
          <w:numId w:val="1001"/>
          <w:ilvl w:val="0"/>
        </w:numPr>
      </w:pPr>
      <w:hyperlink r:id="rId34">
        <w:r>
          <w:rPr>
            <w:rStyle w:val="Link"/>
          </w:rPr>
          <w:t xml:space="preserve">how cited at Google Scholar</w:t>
        </w:r>
      </w:hyperlink>
    </w:p>
    <w:p>
      <w:pPr>
        <w:pStyle w:val="Compact"/>
        <w:numPr>
          <w:numId w:val="1001"/>
          <w:ilvl w:val="0"/>
        </w:numPr>
      </w:pPr>
      <w:hyperlink r:id="rId35">
        <w:r>
          <w:rPr>
            <w:rStyle w:val="Link"/>
          </w:rPr>
          <w:t xml:space="preserve">case at Westlaw</w:t>
        </w:r>
      </w:hyperlink>
    </w:p>
    <w:p>
      <w:pPr>
        <w:pStyle w:val="Compact"/>
        <w:numPr>
          <w:numId w:val="1001"/>
          <w:ilvl w:val="0"/>
        </w:numPr>
      </w:pPr>
      <w:hyperlink r:id="rId36">
        <w:r>
          <w:rPr>
            <w:rStyle w:val="Link"/>
          </w:rPr>
          <w:t xml:space="preserve">case at Wikipedia</w:t>
        </w:r>
      </w:hyperlink>
      <w:r>
        <w:t xml:space="preserve">.</w:t>
      </w:r>
    </w:p>
    <w:p>
      <w:r>
        <w:t xml:space="preserve">Justice SCALIA delivered the opinion of the Court.</w:t>
      </w:r>
    </w:p>
    <w:p>
      <w:r>
        <w:t xml:space="preserve">We consider whether a California law imposing restrictions on violent video games comports with the First Amendment.</w:t>
      </w:r>
    </w:p>
    <w:p>
      <w:pPr>
        <w:pStyle w:val="Heading3"/>
      </w:pPr>
      <w:bookmarkStart w:id="37" w:name="i"/>
      <w:bookmarkEnd w:id="37"/>
      <w:r>
        <w:t xml:space="preserve">I</w:t>
      </w:r>
    </w:p>
    <w:p>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Quote"/>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r>
        <w:t xml:space="preserve">Violation of the Act is punishable by a civil fine of up to $1,000.</w:t>
      </w:r>
    </w:p>
    <w:p>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8">
        <w:r>
          <w:rPr>
            <w:i/>
            <w:rStyle w:val="Link"/>
          </w:rPr>
          <w:t xml:space="preserve">Video Software Dealers Assn. v. Schwarzenegger</w:t>
        </w:r>
      </w:hyperlink>
      <w:r>
        <w:t xml:space="preserve"> </w:t>
      </w:r>
      <w:r>
        <w:t xml:space="preserve">… The Court of Appeals affirmed,</w:t>
      </w:r>
      <w:r>
        <w:t xml:space="preserve"> </w:t>
      </w:r>
      <w:hyperlink r:id="rId38">
        <w:r>
          <w:rPr>
            <w:i/>
            <w:rStyle w:val="Link"/>
          </w:rPr>
          <w:t xml:space="preserve">Video Software Dealers Assn. v. Schwarzenegger,</w:t>
        </w:r>
        <w:r>
          <w:rPr>
            <w:rStyle w:val="Link"/>
          </w:rPr>
          <w:t xml:space="preserve"> </w:t>
        </w:r>
        <w:r>
          <w:rPr>
            <w:rStyle w:val="Link"/>
          </w:rPr>
          <w:t xml:space="preserve">(C.A.9 2009),</w:t>
        </w:r>
      </w:hyperlink>
      <w:r>
        <w:t xml:space="preserve"> </w:t>
      </w:r>
      <w:r>
        <w:t xml:space="preserve">and we granted certiorari …</w:t>
      </w:r>
    </w:p>
    <w:p>
      <w:pPr>
        <w:pStyle w:val="Heading3"/>
      </w:pPr>
      <w:bookmarkStart w:id="39" w:name="ii"/>
      <w:bookmarkEnd w:id="39"/>
      <w:r>
        <w:t xml:space="preserve">II</w:t>
      </w:r>
    </w:p>
    <w:p>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40">
        <w:r>
          <w:rPr>
            <w:i/>
            <w:rStyle w:val="Link"/>
          </w:rPr>
          <w:t xml:space="preserve">Winters v. New York,</w:t>
        </w:r>
        <w:r>
          <w:rPr>
            <w:rStyle w:val="Link"/>
          </w:rPr>
          <w:t xml:space="preserve"> </w:t>
        </w:r>
        <w:r>
          <w:rPr>
            <w:rStyle w:val="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1">
        <w:r>
          <w:rPr>
            <w:i/>
            <w:rStyle w:val="Link"/>
          </w:rPr>
          <w:t xml:space="preserve">United States v. Playboy Entertainment Group, Inc.,</w:t>
        </w:r>
        <w:r>
          <w:rPr>
            <w:rStyle w:val="Link"/>
          </w:rPr>
          <w:t xml:space="preserve"> </w:t>
        </w:r>
        <w:r>
          <w:rPr>
            <w:rStyle w:val="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2">
        <w:r>
          <w:rPr>
            <w:i/>
            <w:rStyle w:val="Link"/>
          </w:rPr>
          <w:t xml:space="preserve">Joseph Burstyn, Inc. v. Wilson,</w:t>
        </w:r>
        <w:r>
          <w:rPr>
            <w:rStyle w:val="Link"/>
          </w:rPr>
          <w:t xml:space="preserve"> </w:t>
        </w:r>
        <w:r>
          <w:rPr>
            <w:rStyle w:val="Link"/>
          </w:rPr>
          <w:t xml:space="preserve">(Sct. 1952)</w:t>
        </w:r>
      </w:hyperlink>
      <w:r>
        <w:t xml:space="preserve">.</w:t>
      </w:r>
    </w:p>
    <w:p>
      <w:r>
        <w:t xml:space="preserve">The most basic of those principles is this: "[A]s a general matter … government has no power to restrict expression because of its message, its ideas, its subject matter, or its content."</w:t>
      </w:r>
      <w:r>
        <w:t xml:space="preserve"> </w:t>
      </w:r>
      <w:hyperlink r:id="rId43">
        <w:r>
          <w:rPr>
            <w:i/>
            <w:rStyle w:val="Link"/>
          </w:rPr>
          <w:t xml:space="preserve">Ashcroft v. American Civil Liberties Union,</w:t>
        </w:r>
        <w:r>
          <w:rPr>
            <w:rStyle w:val="Link"/>
          </w:rPr>
          <w:t xml:space="preserve"> </w:t>
        </w:r>
        <w:r>
          <w:rPr>
            <w:rStyle w:val="Link"/>
          </w:rPr>
          <w:t xml:space="preserve">535 U.S. 564, 573, 122 S.Ct. 1700, 152 L.Ed.2d 771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4">
        <w:r>
          <w:rPr>
            <w:i/>
            <w:rStyle w:val="Link"/>
          </w:rPr>
          <w:t xml:space="preserve">United States v. Stevens,</w:t>
        </w:r>
        <w:r>
          <w:rPr>
            <w:rStyle w:val="Link"/>
          </w:rPr>
          <w:t xml:space="preserve"> </w:t>
        </w:r>
        <w:r>
          <w:rPr>
            <w:rStyle w:val="Link"/>
          </w:rPr>
          <w:t xml:space="preserve">(Sct. 2010)</w:t>
        </w:r>
      </w:hyperlink>
      <w:r>
        <w:t xml:space="preserve"> </w:t>
      </w:r>
      <w:r>
        <w:t xml:space="preserve">(quoting</w:t>
      </w:r>
      <w:r>
        <w:t xml:space="preserve"> </w:t>
      </w:r>
      <w:hyperlink r:id="rId45">
        <w:r>
          <w:rPr>
            <w:i/>
            <w:rStyle w:val="Link"/>
          </w:rPr>
          <w:t xml:space="preserve">R.A.V. v. St. Paul,</w:t>
        </w:r>
        <w:r>
          <w:rPr>
            <w:rStyle w:val="Link"/>
          </w:rPr>
          <w:t xml:space="preserve"> </w:t>
        </w:r>
        <w:r>
          <w:rPr>
            <w:rStyle w:val="Link"/>
          </w:rPr>
          <w:t xml:space="preserve">(Sct. 1992)</w:t>
        </w:r>
      </w:hyperlink>
      <w:r>
        <w:t xml:space="preserve">). These limited areas—such as obscenity,</w:t>
      </w:r>
      <w:r>
        <w:t xml:space="preserve"> </w:t>
      </w:r>
      <w:hyperlink r:id="rId46">
        <w:r>
          <w:rPr>
            <w:i/>
            <w:rStyle w:val="Link"/>
          </w:rPr>
          <w:t xml:space="preserve">Roth v. United States,</w:t>
        </w:r>
        <w:r>
          <w:rPr>
            <w:rStyle w:val="Link"/>
          </w:rPr>
          <w:t xml:space="preserve"> </w:t>
        </w:r>
        <w:r>
          <w:rPr>
            <w:rStyle w:val="Link"/>
          </w:rPr>
          <w:t xml:space="preserve">(Sct. 1957),</w:t>
        </w:r>
      </w:hyperlink>
      <w:r>
        <w:t xml:space="preserve"> </w:t>
      </w:r>
      <w:r>
        <w:t xml:space="preserve">incitement,</w:t>
      </w:r>
      <w:r>
        <w:t xml:space="preserve"> </w:t>
      </w:r>
      <w:hyperlink r:id="rId47">
        <w:r>
          <w:rPr>
            <w:i/>
            <w:rStyle w:val="Link"/>
          </w:rPr>
          <w:t xml:space="preserve">Brandenburg v. Ohio,</w:t>
        </w:r>
        <w:r>
          <w:rPr>
            <w:rStyle w:val="Link"/>
          </w:rPr>
          <w:t xml:space="preserve"> </w:t>
        </w:r>
        <w:r>
          <w:rPr>
            <w:rStyle w:val="Link"/>
          </w:rPr>
          <w:t xml:space="preserve">(Sct. 1969)</w:t>
        </w:r>
        <w:r>
          <w:rPr>
            <w:rStyle w:val="Link"/>
          </w:rPr>
          <w:t xml:space="preserve"> </w:t>
        </w:r>
        <w:r>
          <w:rPr>
            <w:i/>
            <w:rStyle w:val="Link"/>
          </w:rPr>
          <w:t xml:space="preserve">(per curiam)</w:t>
        </w:r>
      </w:hyperlink>
      <w:r>
        <w:rPr>
          <w:i/>
        </w:rPr>
        <w:t xml:space="preserve">,</w:t>
      </w:r>
      <w:r>
        <w:t xml:space="preserve"> </w:t>
      </w:r>
      <w:r>
        <w:t xml:space="preserve">and fighting words,</w:t>
      </w:r>
      <w:r>
        <w:t xml:space="preserve"> </w:t>
      </w:r>
      <w:hyperlink r:id="rId48">
        <w:r>
          <w:rPr>
            <w:i/>
            <w:rStyle w:val="Link"/>
          </w:rPr>
          <w:t xml:space="preserve">Chaplinsky v. New Hampshire,</w:t>
        </w:r>
        <w:r>
          <w:rPr>
            <w:rStyle w:val="Link"/>
          </w:rPr>
          <w:t xml:space="preserve"> </w:t>
        </w:r>
        <w:r>
          <w:rPr>
            <w:rStyle w:val="Link"/>
          </w:rPr>
          <w:t xml:space="preserve">Sct. 1942)</w:t>
        </w:r>
      </w:hyperlink>
      <w:r>
        <w:t xml:space="preserve">—represent "well-defined and narrowly limited classes of speech, the prevention and punishment of which have never been thought to raise any Constitutional problem,"</w:t>
      </w:r>
      <w:r>
        <w:t xml:space="preserve"> </w:t>
      </w:r>
      <w:r>
        <w:rPr>
          <w:i/>
        </w:rPr>
        <w:t xml:space="preserve">id.,</w:t>
      </w:r>
      <w:r>
        <w:t xml:space="preserve"> </w:t>
      </w:r>
      <w:r>
        <w:t xml:space="preserve">at 571-572, 62 S.Ct. 766.</w:t>
      </w:r>
    </w:p>
    <w:p>
      <w:r>
        <w:t xml:space="preserve">Last Term, in</w:t>
      </w:r>
      <w:r>
        <w:t xml:space="preserve"> </w:t>
      </w:r>
      <w:r>
        <w:rPr>
          <w:i/>
        </w:rPr>
        <w:t xml:space="preserve">Stevens,</w:t>
      </w:r>
      <w:r>
        <w:t xml:space="preserve"> </w:t>
      </w:r>
      <w:r>
        <w:t xml:space="preserve">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9">
        <w:r>
          <w:rPr>
            <w:i/>
            <w:rStyle w:val="Link"/>
          </w:rPr>
          <w:t xml:space="preserve">Miller v. California,</w:t>
        </w:r>
        <w:r>
          <w:rPr>
            <w:rStyle w:val="Link"/>
          </w:rPr>
          <w:t xml:space="preserve"> </w:t>
        </w:r>
        <w:r>
          <w:rPr>
            <w:rStyle w:val="Link"/>
          </w:rPr>
          <w:t xml:space="preserve">413 U.S. 15, 24, 93 S.Ct. 2607, 37 L.Ed.2d 419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4">
        <w:r>
          <w:rPr>
            <w:i/>
            <w:rStyle w:val="Link"/>
          </w:rPr>
          <w:t xml:space="preserve">Stevens,</w:t>
        </w:r>
        <w:r>
          <w:rPr>
            <w:rStyle w:val="Link"/>
          </w:rPr>
          <w:t xml:space="preserve"> </w:t>
        </w:r>
        <w:r>
          <w:rPr>
            <w:rStyle w:val="Link"/>
          </w:rPr>
          <w:t xml:space="preserve">559 U.S., at ___, 130 S.Ct., at 1585</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50">
        <w:r>
          <w:rPr>
            <w:i/>
            <w:rStyle w:val="Link"/>
          </w:rPr>
          <w:t xml:space="preserve">Miller, supra,</w:t>
        </w:r>
        <w:r>
          <w:rPr>
            <w:rStyle w:val="Link"/>
          </w:rPr>
          <w:t xml:space="preserve"> </w:t>
        </w:r>
        <w:r>
          <w:rPr>
            <w:rStyle w:val="Link"/>
          </w:rPr>
          <w:t xml:space="preserve">at 24</w:t>
        </w:r>
      </w:hyperlink>
      <w:r>
        <w:t xml:space="preserve">,</w:t>
      </w:r>
      <w:r>
        <w:t xml:space="preserve"> </w:t>
      </w:r>
      <w:hyperlink r:id="rId50">
        <w:r>
          <w:rPr>
            <w:rStyle w:val="Link"/>
          </w:rPr>
          <w:t xml:space="preserve">93 S.Ct. 2607</w:t>
        </w:r>
      </w:hyperlink>
      <w:r>
        <w:t xml:space="preserve">. See also</w:t>
      </w:r>
      <w:r>
        <w:t xml:space="preserve"> </w:t>
      </w:r>
      <w:hyperlink r:id="rId51">
        <w:r>
          <w:rPr>
            <w:i/>
            <w:rStyle w:val="Link"/>
          </w:rPr>
          <w:t xml:space="preserve">Cohen v. California,</w:t>
        </w:r>
        <w:r>
          <w:rPr>
            <w:rStyle w:val="Link"/>
          </w:rPr>
          <w:t xml:space="preserve"> </w:t>
        </w:r>
        <w:r>
          <w:rPr>
            <w:rStyle w:val="Link"/>
          </w:rPr>
          <w:t xml:space="preserve">(Sct. 1971)</w:t>
        </w:r>
      </w:hyperlink>
      <w:r>
        <w:t xml:space="preserve">;</w:t>
      </w:r>
      <w:r>
        <w:t xml:space="preserve"> </w:t>
      </w:r>
      <w:hyperlink r:id="rId52">
        <w:r>
          <w:rPr>
            <w:i/>
            <w:rStyle w:val="Link"/>
          </w:rPr>
          <w:t xml:space="preserve">Roth, supra,</w:t>
        </w:r>
        <w:r>
          <w:rPr>
            <w:rStyle w:val="Link"/>
          </w:rPr>
          <w:t xml:space="preserve"> </w:t>
        </w:r>
        <w:r>
          <w:rPr>
            <w:rStyle w:val="Link"/>
          </w:rPr>
          <w:t xml:space="preserve">at 487</w:t>
        </w:r>
      </w:hyperlink>
      <w:r>
        <w:t xml:space="preserve">, and n. 20,</w:t>
      </w:r>
      <w:r>
        <w:t xml:space="preserve"> </w:t>
      </w:r>
      <w:hyperlink r:id="rId52">
        <w:r>
          <w:rPr>
            <w:rStyle w:val="Link"/>
          </w:rPr>
          <w:t xml:space="preserve">77 S.Ct. 1304</w:t>
        </w:r>
      </w:hyperlink>
      <w:r>
        <w:t xml:space="preserve">.</w:t>
      </w:r>
    </w:p>
    <w:p>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40">
        <w:r>
          <w:rPr>
            <w:rStyle w:val="Link"/>
          </w:rPr>
          <w:t xml:space="preserve">333 U.S., at 514, 68 S.Ct. 665</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40">
        <w:r>
          <w:rPr>
            <w:rStyle w:val="Link"/>
          </w:rPr>
          <w:t xml:space="preserve">333 U.S., at 517-519, 68 S.Ct. 665,</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r>
        <w:t xml:space="preserve">Because speech about violence is not obscene, it is of no consequence that California's statute mimics the New York statute regulating obscenity-for-minors that we upheld in</w:t>
      </w:r>
      <w:r>
        <w:t xml:space="preserve"> </w:t>
      </w:r>
      <w:hyperlink r:id="rId53">
        <w:r>
          <w:rPr>
            <w:i/>
            <w:rStyle w:val="Link"/>
          </w:rPr>
          <w:t xml:space="preserve">Ginsberg v. New York,</w:t>
        </w:r>
        <w:r>
          <w:rPr>
            <w:rStyle w:val="Link"/>
          </w:rPr>
          <w:t xml:space="preserve"> </w:t>
        </w:r>
        <w:r>
          <w:rPr>
            <w:rStyle w:val="Link"/>
          </w:rPr>
          <w:t xml:space="preserve">390 U.S. 629, 88 S.Ct. 1274, 20 L.Ed.2d 195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3">
        <w:r>
          <w:rPr>
            <w:rStyle w:val="Link"/>
          </w:rPr>
          <w:t xml:space="preserve">88 S.Ct. 1274</w:t>
        </w:r>
      </w:hyperlink>
      <w:r>
        <w:t xml:space="preserve"> </w:t>
      </w:r>
      <w:r>
        <w:t xml:space="preserve">(quoting</w:t>
      </w:r>
      <w:r>
        <w:t xml:space="preserve"> </w:t>
      </w:r>
      <w:hyperlink r:id="rId54">
        <w:r>
          <w:rPr>
            <w:i/>
            <w:rStyle w:val="Link"/>
          </w:rPr>
          <w:t xml:space="preserve">Mishkin v. New York,</w:t>
        </w:r>
        <w:r>
          <w:rPr>
            <w:rStyle w:val="Link"/>
          </w:rPr>
          <w:t xml:space="preserve"> </w:t>
        </w:r>
        <w:r>
          <w:rPr>
            <w:rStyle w:val="Link"/>
          </w:rPr>
          <w:t xml:space="preserve">383 U.S. 502, 509, 86 S.Ct. 958, 16 L.Ed.2d 56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3">
        <w:r>
          <w:rPr>
            <w:rStyle w:val="Link"/>
          </w:rPr>
          <w:t xml:space="preserve">390 U.S., at 641, 88 S.Ct. 1274</w:t>
        </w:r>
      </w:hyperlink>
      <w:r>
        <w:t xml:space="preserve">.</w:t>
      </w:r>
    </w:p>
    <w:p>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5">
        <w:r>
          <w:rPr>
            <w:i/>
            <w:rStyle w:val="Link"/>
          </w:rPr>
          <w:t xml:space="preserve">Erznoznik v. Jacksonville,</w:t>
        </w:r>
      </w:hyperlink>
      <w:hyperlink r:id="rId55">
        <w:r>
          <w:rPr>
            <w:rStyle w:val="Link"/>
          </w:rPr>
          <w:t xml:space="preserve">2268, 45 L.Ed.2d 125 (1975)</w:t>
        </w:r>
      </w:hyperlink>
      <w:r>
        <w:t xml:space="preserve"> </w:t>
      </w:r>
      <w:r>
        <w:t xml:space="preserve">(citation omitted). No doubt a State possesses legitimate power to protect children from harm,</w:t>
      </w:r>
      <w:r>
        <w:t xml:space="preserve"> </w:t>
      </w:r>
      <w:hyperlink r:id="rId53">
        <w:r>
          <w:rPr>
            <w:i/>
            <w:rStyle w:val="Link"/>
          </w:rPr>
          <w:t xml:space="preserve">Ginsberg, supra,</w:t>
        </w:r>
      </w:hyperlink>
      <w:r>
        <w:t xml:space="preserve">;</w:t>
      </w:r>
      <w:r>
        <w:t xml:space="preserve"> </w:t>
      </w:r>
      <w:hyperlink r:id="rId56">
        <w:r>
          <w:rPr>
            <w:i/>
            <w:rStyle w:val="Link"/>
          </w:rPr>
          <w:t xml:space="preserve">Prince v. Massachusetts,</w:t>
        </w:r>
        <w:r>
          <w:rPr>
            <w:rStyle w:val="Link"/>
          </w:rPr>
          <w:t xml:space="preserve"> </w:t>
        </w:r>
        <w:r>
          <w:rPr>
            <w:rStyle w:val="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5">
        <w:r>
          <w:rPr>
            <w:i/>
            <w:rStyle w:val="Link"/>
          </w:rPr>
          <w:t xml:space="preserve">Erznoznik, supra,</w:t>
        </w:r>
      </w:hyperlink>
      <w:r>
        <w:t xml:space="preserve">.</w:t>
      </w:r>
    </w:p>
    <w:p>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r>
        <w:t xml:space="preserve">High-school reading lists are full of similar fare. Homer's Odysseus blinds Polyphemus the Cyclops by grinding out his eye with a heated stake. The Odyssey of Homer, Book IX, p. 125 (S. Butcher &amp; A. Lang transls. 1909)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7">
        <w:r>
          <w:rPr>
            <w:i/>
            <w:rStyle w:val="Link"/>
          </w:rPr>
          <w:t xml:space="preserve">Mutual Film Corp. v. Industrial Comm'n of Ohio,</w:t>
        </w:r>
        <w:r>
          <w:rPr>
            <w:rStyle w:val="Link"/>
          </w:rPr>
          <w:t xml:space="preserve"> </w:t>
        </w:r>
        <w:r>
          <w:rPr>
            <w:rStyle w:val="Link"/>
          </w:rPr>
          <w:t xml:space="preserve">(Sct. 1915),</w:t>
        </w:r>
      </w:hyperlink>
      <w:r>
        <w:t xml:space="preserve"> </w:t>
      </w:r>
      <w:r>
        <w:t xml:space="preserve">but we eventually reversed course,</w:t>
      </w:r>
      <w:r>
        <w:t xml:space="preserve"> </w:t>
      </w:r>
      <w:hyperlink r:id="rId42">
        <w:r>
          <w:rPr>
            <w:i/>
            <w:rStyle w:val="Link"/>
          </w:rPr>
          <w:t xml:space="preserve">Joseph Burstyn, Inc.,</w:t>
        </w:r>
      </w:hyperlink>
      <w:r>
        <w:t xml:space="preserve">; see also</w:t>
      </w:r>
      <w:r>
        <w:t xml:space="preserve"> </w:t>
      </w:r>
      <w:hyperlink r:id="rId55">
        <w:r>
          <w:rPr>
            <w:i/>
            <w:rStyle w:val="Link"/>
          </w:rPr>
          <w:t xml:space="preserve">Erznoznik, supra,</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8">
        <w:r>
          <w:rPr>
            <w:i/>
            <w:rStyle w:val="Link"/>
          </w:rPr>
          <w:t xml:space="preserve">American Amusement Machine Assn. v. Kendrick,</w:t>
        </w:r>
        <w:r>
          <w:rPr>
            <w:rStyle w:val="Link"/>
          </w:rPr>
          <w:t xml:space="preserve"> </w:t>
        </w:r>
        <w:r>
          <w:rPr>
            <w:rStyle w:val="Link"/>
          </w:rPr>
          <w:t xml:space="preserve">(C.A.7 2001)</w:t>
        </w:r>
      </w:hyperlink>
      <w:r>
        <w:t xml:space="preserve"> </w:t>
      </w:r>
      <w:r>
        <w:t xml:space="preserve">(striking down a similar restriction on violent video games).</w:t>
      </w:r>
    </w:p>
    <w:p>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9" w:name="iii"/>
      <w:bookmarkEnd w:id="59"/>
      <w:r>
        <w:t xml:space="preserve">III</w:t>
      </w:r>
    </w:p>
    <w:p>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60">
        <w:r>
          <w:rPr>
            <w:i/>
            <w:rStyle w:val="Link"/>
          </w:rPr>
          <w:t xml:space="preserve">R.A.V.,</w:t>
        </w:r>
      </w:hyperlink>
      <w:r>
        <w:t xml:space="preserve">. The State must specifically identify an "actual problem" in need of solving,</w:t>
      </w:r>
      <w:r>
        <w:t xml:space="preserve"> </w:t>
      </w:r>
      <w:hyperlink r:id="rId61">
        <w:r>
          <w:rPr>
            <w:i/>
            <w:rStyle w:val="Link"/>
          </w:rPr>
          <w:t xml:space="preserve">Playboy,</w:t>
        </w:r>
      </w:hyperlink>
      <w:r>
        <w:t xml:space="preserve"> </w:t>
      </w:r>
      <w:r>
        <w:t xml:space="preserve">and the curtailment of free speech must be actually necessary to the solution, see</w:t>
      </w:r>
      <w:r>
        <w:t xml:space="preserve"> </w:t>
      </w:r>
      <w:hyperlink r:id="rId60">
        <w:r>
          <w:rPr>
            <w:i/>
            <w:rStyle w:val="Link"/>
          </w:rPr>
          <w:t xml:space="preserve">R.A.V., supra,</w:t>
        </w:r>
      </w:hyperlink>
      <w:r>
        <w:t xml:space="preserve">,</w:t>
      </w:r>
      <w:r>
        <w:t xml:space="preserve"> </w:t>
      </w:r>
      <w:hyperlink r:id="rId60">
        <w:r>
          <w:rPr>
            <w:rStyle w:val="Link"/>
          </w:rPr>
          <w:t xml:space="preserve">112 S.Ct. 2538</w:t>
        </w:r>
      </w:hyperlink>
      <w:r>
        <w:t xml:space="preserve">. That is a demanding standard. "It is rare that a regulation restricting speech because of its content will ever be permissible."</w:t>
      </w:r>
      <w:r>
        <w:t xml:space="preserve"> </w:t>
      </w:r>
      <w:hyperlink r:id="rId61">
        <w:r>
          <w:rPr>
            <w:i/>
            <w:rStyle w:val="Link"/>
          </w:rPr>
          <w:t xml:space="preserve">Playboy, supra,</w:t>
        </w:r>
        <w:r>
          <w:rPr>
            <w:rStyle w:val="Link"/>
          </w:rPr>
          <w:t xml:space="preserve"> </w:t>
        </w:r>
        <w:r>
          <w:rPr>
            <w:rStyle w:val="Link"/>
          </w:rPr>
          <w:t xml:space="preserve">at 818</w:t>
        </w:r>
      </w:hyperlink>
      <w:r>
        <w:t xml:space="preserve">,</w:t>
      </w:r>
      <w:r>
        <w:t xml:space="preserve"> </w:t>
      </w:r>
      <w:hyperlink r:id="rId61">
        <w:r>
          <w:rPr>
            <w:rStyle w:val="Link"/>
          </w:rPr>
          <w:t xml:space="preserve">120 S.Ct. 1878</w:t>
        </w:r>
      </w:hyperlink>
      <w:r>
        <w:t xml:space="preserve">.</w:t>
      </w:r>
    </w:p>
    <w:p>
      <w:r>
        <w:t xml:space="preserve">California cannot meet that standard. At the outset, it acknowledges that it cannot show a direct causal link between violent video games and harm to minors. Rather, relying upon our decision in</w:t>
      </w:r>
      <w:r>
        <w:t xml:space="preserve"> </w:t>
      </w:r>
      <w:hyperlink r:id="rId62">
        <w:r>
          <w:rPr>
            <w:i/>
            <w:rStyle w:val="Link"/>
          </w:rPr>
          <w:t xml:space="preserve">Turner Broadcasting System, Inc. v. FCC,</w:t>
        </w:r>
        <w:r>
          <w:rPr>
            <w:rStyle w:val="Link"/>
          </w:rPr>
          <w:t xml:space="preserve"> </w:t>
        </w:r>
        <w:r>
          <w:rPr>
            <w:rStyle w:val="Link"/>
          </w:rPr>
          <w:t xml:space="preserve">512 U.S. 622, 114 S.Ct. 2445, 129 L.Ed.2d 497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41">
        <w:r>
          <w:rPr>
            <w:i/>
            <w:rStyle w:val="Link"/>
          </w:rPr>
          <w:t xml:space="preserve">Playboy, supra,</w:t>
        </w:r>
      </w:hyperlink>
      <w:r>
        <w:t xml:space="preserve"> </w:t>
      </w:r>
      <w:r>
        <w:t xml:space="preserve">ambiguous proof will not suffice.</w:t>
      </w:r>
    </w:p>
    <w:p>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r>
        <w:rPr>
          <w:i/>
        </w:rPr>
        <w:t xml:space="preserve">Video Software Dealers Assn.</w:t>
      </w:r>
      <w:r>
        <w:t xml:space="preserve"> </w:t>
      </w:r>
      <w:hyperlink r:id="rId38">
        <w:r>
          <w:rPr>
            <w:rStyle w:val="Link"/>
          </w:rPr>
          <w:t xml:space="preserve">556 F.3d, at 964</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3">
        <w:r>
          <w:rPr>
            <w:i/>
            <w:rStyle w:val="Link"/>
          </w:rPr>
          <w:t xml:space="preserve">City of Ladue v. Gilleo,</w:t>
        </w:r>
        <w:r>
          <w:rPr>
            <w:rStyle w:val="Link"/>
          </w:rPr>
          <w:t xml:space="preserve"> </w:t>
        </w:r>
        <w:r>
          <w:rPr>
            <w:rStyle w:val="Link"/>
          </w:rPr>
          <w:t xml:space="preserve">(Sct. 1994)</w:t>
        </w:r>
      </w:hyperlink>
      <w:r>
        <w:t xml:space="preserve">;</w:t>
      </w:r>
      <w:r>
        <w:t xml:space="preserve"> </w:t>
      </w:r>
      <w:hyperlink r:id="rId64">
        <w:r>
          <w:rPr>
            <w:i/>
            <w:rStyle w:val="Link"/>
          </w:rPr>
          <w:t xml:space="preserve">Florida Star v. B.J.F.,</w:t>
        </w:r>
        <w:r>
          <w:rPr>
            <w:rStyle w:val="Link"/>
          </w:rPr>
          <w:t xml:space="preserve"> </w:t>
        </w:r>
        <w:r>
          <w:rPr>
            <w:rStyle w:val="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5">
        <w:r>
          <w:rPr>
            <w:i/>
            <w:rStyle w:val="Link"/>
          </w:rPr>
          <w:t xml:space="preserve">Erznoznik,</w:t>
        </w:r>
      </w:hyperlink>
      <w:r>
        <w:t xml:space="preserve">.</w:t>
      </w:r>
    </w:p>
    <w:p>
      <w:r>
        <w:t xml:space="preserve">But leaving that aside, California cannot show that the Act's restrictions meet a substantial need of parents who wish to restrict their children's access to violent video games but cannot do so. The video-game industry has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5" w:name="section"/>
      <w:bookmarkEnd w:id="65"/>
      <w:r>
        <w:t xml:space="preserve">* * *</w:t>
      </w:r>
    </w:p>
    <w:p>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8">
        <w:r>
          <w:rPr>
            <w:i/>
            <w:rStyle w:val="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2742*2742 nor seriously overinclusive. See</w:t>
      </w:r>
      <w:r>
        <w:t xml:space="preserve"> </w:t>
      </w:r>
      <w:hyperlink r:id="rId66">
        <w:r>
          <w:rPr>
            <w:i/>
            <w:rStyle w:val="Link"/>
          </w:rPr>
          <w:t xml:space="preserve">Church of Lukumi Babalu Aye, Inc. v. Hialeah,</w:t>
        </w:r>
        <w:r>
          <w:rPr>
            <w:rStyle w:val="Link"/>
          </w:rPr>
          <w:t xml:space="preserve"> </w:t>
        </w:r>
        <w:r>
          <w:rPr>
            <w:rStyle w:val="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r>
        <w:t xml:space="preserve">We affirm the judgment below.</w:t>
      </w:r>
    </w:p>
    <w:p>
      <w:r>
        <w:rPr>
          <w:i/>
        </w:rPr>
        <w:t xml:space="preserve">It is so ordered.</w:t>
      </w:r>
    </w:p>
    <w:p>
      <w:r>
        <w:t xml:space="preserve">[Justice ALITO and Chief Justice ROBERTS concurred; Justice THOMAS dissented.]</w:t>
      </w:r>
    </w:p>
    <w:p>
      <w:pPr>
        <w:pStyle w:val="Heading2"/>
      </w:pPr>
      <w:bookmarkStart w:id="67" w:name="civil-liability-for-inciting-violence"/>
      <w:bookmarkEnd w:id="67"/>
      <w:r>
        <w:t xml:space="preserve">Civil Liability For Inciting Violence?</w:t>
      </w:r>
    </w:p>
    <w:p>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r>
        <w:t xml:space="preserve">If the First Amendment prevents states from regulating violent entertainment products, what about suing the manufacturers of such products after the fact? But here too the First Amendment, as well as well-settled principles of tort law (duty, foreseeability, causation), have so far prevented victims and family members from bringing civil suits against the manufacturers of video products.</w:t>
      </w:r>
    </w:p>
    <w:p>
      <w:r>
        <w:t xml:space="preserve">Even before the tragic shooting at Columbine,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68">
        <w:r>
          <w:rPr>
            <w:rStyle w:val="Link"/>
          </w:rPr>
          <w:t xml:space="preserve">both fans of video games like</w:t>
        </w:r>
        <w:r>
          <w:rPr>
            <w:rStyle w:val="Link"/>
          </w:rPr>
          <w:t xml:space="preserve"> </w:t>
        </w:r>
        <w:r>
          <w:rPr>
            <w:i/>
            <w:rStyle w:val="Link"/>
          </w:rPr>
          <w:t xml:space="preserve">Doom</w:t>
        </w:r>
        <w:r>
          <w:rPr>
            <w:rStyle w:val="Link"/>
          </w:rPr>
          <w:t xml:space="preserve"> </w:t>
        </w:r>
        <w:r>
          <w:rPr>
            <w:rStyle w:val="Link"/>
          </w:rPr>
          <w:t xml:space="preserve">and</w:t>
        </w:r>
        <w:r>
          <w:rPr>
            <w:rStyle w:val="Link"/>
          </w:rPr>
          <w:t xml:space="preserve"> </w:t>
        </w:r>
        <w:r>
          <w:rPr>
            <w:i/>
            <w:rStyle w:val="Link"/>
          </w:rPr>
          <w:t xml:space="preserve">Wolfenstein 3D</w:t>
        </w:r>
      </w:hyperlink>
      <w:r>
        <w:t xml:space="preserve"> </w:t>
      </w:r>
      <w:r>
        <w:t xml:space="preserve">and so (the argument goes) the makers of those games had a hand "causing" the appalling violence at Columbine, which has been called the Pearl Harbor of the American culture wars.</w:t>
      </w:r>
    </w:p>
    <w:p>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69" w:name="davidson-v.-time-warner-inc."/>
      <w:bookmarkEnd w:id="69"/>
      <w:r>
        <w:rPr>
          <w:i/>
        </w:rPr>
        <w:t xml:space="preserve">Davidson v. Time Warner, Inc.</w:t>
      </w:r>
    </w:p>
    <w:p>
      <w:pPr>
        <w:pStyle w:val="Heading6"/>
      </w:pPr>
      <w:bookmarkStart w:id="70" w:name="us-district-court-s.d.-texas-1997"/>
      <w:bookmarkEnd w:id="70"/>
      <w:r>
        <w:t xml:space="preserve">US District Court, S.D. Texas (1997)</w:t>
      </w:r>
    </w:p>
    <w:p>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 Hess v. Indiana, 414 U.S. 105, 108, 94 S.Ct. 326, 328, 38 L.Ed.2d 303 (1973). While the Davidsons may have shown that Shakur intended to produce imminent lawless conduct, the Davidson's cannot show that Howard's violent conduct was an imminent and likely result of listening to Shakur's songs.</w:t>
      </w:r>
    </w:p>
    <w:p>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w:t>
      </w:r>
      <w:r>
        <w:br w:type="textWrapping"/>
      </w:r>
      <w:r>
        <w:rPr>
          <w:rStyle w:val="VerbatimChar"/>
        </w:rPr>
        <w:t xml:space="preserve">When I'm rollin with my crew</w:t>
      </w:r>
      <w:r>
        <w:br w:type="textWrapping"/>
      </w:r>
      <w:r>
        <w:rPr>
          <w:rStyle w:val="VerbatimChar"/>
        </w:rPr>
        <w:t xml:space="preserve">Watch what crooked niggas do</w:t>
      </w:r>
      <w:r>
        <w:br w:type="textWrapping"/>
      </w:r>
      <w:r>
        <w:rPr>
          <w:rStyle w:val="VerbatimChar"/>
        </w:rPr>
        <w:t xml:space="preserve">I got a nine millimeter Glock pistol</w:t>
      </w:r>
      <w:r>
        <w:br w:type="textWrapping"/>
      </w:r>
      <w:r>
        <w:rPr>
          <w:rStyle w:val="VerbatimChar"/>
        </w:rPr>
        <w:t xml:space="preserve">I'm ready to get with you at the trip of the whistle </w:t>
      </w:r>
      <w:r>
        <w:br w:type="textWrapping"/>
      </w:r>
      <w:r>
        <w:rPr>
          <w:rStyle w:val="VerbatimChar"/>
        </w:rPr>
        <w:t xml:space="preserve">So make your move and act like you wanna flip</w:t>
      </w:r>
      <w:r>
        <w:br w:type="textWrapping"/>
      </w:r>
      <w:r>
        <w:rPr>
          <w:rStyle w:val="VerbatimChar"/>
        </w:rPr>
        <w:t xml:space="preserve">I fired 13 shots and popped another clip</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r>
        <w:t xml:space="preserve">In one of his interviews discussing a later recording, Shakur states:</w:t>
      </w:r>
    </w:p>
    <w:p>
      <w:pPr>
        <w:pStyle w:val="BlockQuote"/>
      </w:pPr>
      <w:r>
        <w:t xml:space="preserve">I think of me as fighting for the black man.... I'd rather die than go to jail.</w:t>
      </w:r>
    </w:p>
    <w:p>
      <w:r>
        <w:t xml:space="preserve">In another interview, Shakur is more forthcoming:</w:t>
      </w:r>
    </w:p>
    <w:p>
      <w:pPr>
        <w:pStyle w:val="BlockQuote"/>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 2Pacalypse Now.</w:t>
      </w:r>
    </w:p>
    <w:p>
      <w:r>
        <w:t xml:space="preserve">The Davidsons are the first to claim that</w:t>
      </w:r>
      <w:r>
        <w:t xml:space="preserve"> </w:t>
      </w:r>
      <w:r>
        <w:rPr>
          <w:i/>
        </w:rPr>
        <w:t xml:space="preserve">2Pacalypse Now</w:t>
      </w:r>
      <w:r>
        <w:t xml:space="preserve"> </w:t>
      </w:r>
      <w:r>
        <w:t xml:space="preserve">caused illegal conduct, three years after the recording 2Pacalypse Now and after more than 400,000 sales of the album. The Davidsons argue that, because Howard shot Officer Davidson while listening to 2Pacalypse Now,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r>
        <w:t xml:space="preserve">The Davidsons face the difficulty of arguing that 2Pacalypse Now caused imminent violence when Howard lashed out after listening to recorded music, not a live performance. Shakur's music, however, was not overtly directed at Howard. The Davidsons argue that 2Pacalypse Now is directed to the violent black “gangsta” subculture in general. However, this group is necessarily too large to remove First Amendment protection from the album: to hold otherwise would remove constitutional protection from speech directed to marginalized groups.</w:t>
      </w:r>
    </w:p>
    <w:p>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Quote"/>
      </w:pPr>
      <w:r>
        <w:t xml:space="preserve">25 Media L. Rep. 1705</w:t>
      </w:r>
    </w:p>
    <w:p>
      <w:pPr>
        <w:pStyle w:val="Heading2"/>
      </w:pPr>
      <w:bookmarkStart w:id="71" w:name="james-v.-meow-media-inc"/>
      <w:bookmarkEnd w:id="71"/>
      <w:r>
        <w:rPr>
          <w:i/>
        </w:rPr>
        <w:t xml:space="preserve">James v. Meow Media, Inc</w:t>
      </w:r>
    </w:p>
    <w:p>
      <w:pPr>
        <w:pStyle w:val="Heading6"/>
      </w:pPr>
      <w:bookmarkStart w:id="72" w:name="sixth-circuit-court-of-appeals-2002"/>
      <w:bookmarkEnd w:id="72"/>
      <w:r>
        <w:t xml:space="preserve">Sixth Circuit Court of Appeals (2002)</w:t>
      </w:r>
    </w:p>
    <w:p>
      <w:pPr>
        <w:pStyle w:val="Compact"/>
        <w:numPr>
          <w:numId w:val="1002"/>
          <w:ilvl w:val="0"/>
        </w:numPr>
      </w:pPr>
      <w:hyperlink r:id="rId73">
        <w:r>
          <w:rPr>
            <w:rStyle w:val="Link"/>
          </w:rPr>
          <w:t xml:space="preserve">case at Google Scholar</w:t>
        </w:r>
      </w:hyperlink>
    </w:p>
    <w:p>
      <w:pPr>
        <w:pStyle w:val="Compact"/>
        <w:numPr>
          <w:numId w:val="1002"/>
          <w:ilvl w:val="0"/>
        </w:numPr>
      </w:pPr>
      <w:hyperlink r:id="rId74">
        <w:r>
          <w:rPr>
            <w:rStyle w:val="Link"/>
          </w:rPr>
          <w:t xml:space="preserve">how cited at Google Scholar</w:t>
        </w:r>
      </w:hyperlink>
    </w:p>
    <w:p>
      <w:pPr>
        <w:pStyle w:val="Compact"/>
        <w:numPr>
          <w:numId w:val="1002"/>
          <w:ilvl w:val="0"/>
        </w:numPr>
      </w:pPr>
      <w:hyperlink r:id="rId75">
        <w:r>
          <w:rPr>
            <w:rStyle w:val="Link"/>
          </w:rPr>
          <w:t xml:space="preserve">case at Westlaw</w:t>
        </w:r>
      </w:hyperlink>
    </w:p>
    <w:p>
      <w:pPr>
        <w:pStyle w:val="Compact"/>
        <w:numPr>
          <w:numId w:val="1002"/>
          <w:ilvl w:val="0"/>
        </w:numPr>
      </w:pPr>
      <w:hyperlink r:id="rId76">
        <w:r>
          <w:rPr>
            <w:rStyle w:val="Link"/>
          </w:rPr>
          <w:t xml:space="preserve">case at Wikipedia</w:t>
        </w:r>
      </w:hyperlink>
      <w:r>
        <w:t xml:space="preserve">.</w:t>
      </w:r>
    </w:p>
    <w:p>
      <w:pPr>
        <w:pStyle w:val="Heading3"/>
      </w:pPr>
      <w:bookmarkStart w:id="77" w:name="i-1"/>
      <w:bookmarkEnd w:id="77"/>
      <w:r>
        <w:t xml:space="preserve">I</w:t>
      </w:r>
    </w:p>
    <w:p>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r>
        <w:t xml:space="preserve">[Section II setting forth the standard of review omitted.]</w:t>
      </w:r>
    </w:p>
    <w:p>
      <w:pPr>
        <w:pStyle w:val="Heading3"/>
      </w:pPr>
      <w:bookmarkStart w:id="78" w:name="iii-1"/>
      <w:bookmarkEnd w:id="78"/>
      <w:r>
        <w:t xml:space="preserve">III</w:t>
      </w:r>
    </w:p>
    <w:p>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79" w:name="a.-the-existence-of-a-duty-of-care"/>
      <w:bookmarkEnd w:id="79"/>
      <w:r>
        <w:t xml:space="preserve">A. The Existence of a Duty of Care</w:t>
      </w:r>
    </w:p>
    <w:p>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80">
        <w:r>
          <w:rPr>
            <w:i/>
            <w:rStyle w:val="Link"/>
          </w:rPr>
          <w:t xml:space="preserve">Palsgraf v. Long Island Railroad Co.,</w:t>
        </w:r>
        <w:r>
          <w:rPr>
            <w:rStyle w:val="Link"/>
          </w:rPr>
          <w:t xml:space="preserve"> </w:t>
        </w:r>
        <w:r>
          <w:rPr>
            <w:rStyle w:val="Link"/>
          </w:rPr>
          <w:t xml:space="preserve">248 N.Y. 339, 162 N.E. 99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has held that an automobile accident injuring third parties was a</w:t>
      </w:r>
      <w:r>
        <w:t xml:space="preserve"> </w:t>
      </w:r>
      <w:hyperlink r:id="rId81">
        <w:r>
          <w:rPr>
            <w:rStyle w:val="Link"/>
          </w:rPr>
          <w:t xml:space="preserve">reasonably foreseeable result of the negligent act of serving alcohol to an intoxicated individual</w:t>
        </w:r>
      </w:hyperlink>
      <w:r>
        <w:t xml:space="preserve">. But twelve years later the court held that</w:t>
      </w:r>
      <w:r>
        <w:t xml:space="preserve"> </w:t>
      </w:r>
      <w:hyperlink r:id="rId82">
        <w:r>
          <w:rPr>
            <w:rStyle w:val="Link"/>
          </w:rPr>
          <w:t xml:space="preserve">an intoxicated patron fighting with and shooting a fellow customer was simply not a foreseeable result of continuing to serve the patron alcohol.</w:t>
        </w:r>
      </w:hyperlink>
      <w:r>
        <w:t xml:space="preserve">]</w:t>
      </w:r>
    </w:p>
    <w:p>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r>
        <w:t xml:space="preserve">This court has encountered this foreseeability inquiry under Kentucky law before in a situation similar to this case. In</w:t>
      </w:r>
      <w:r>
        <w:t xml:space="preserve"> </w:t>
      </w:r>
      <w:hyperlink r:id="rId83">
        <w:r>
          <w:rPr>
            <w:i/>
            <w:rStyle w:val="Link"/>
          </w:rPr>
          <w:t xml:space="preserve">Watters v. TSR, Inc.,</w:t>
        </w:r>
        <w:r>
          <w:rPr>
            <w:rStyle w:val="Link"/>
          </w:rPr>
          <w:t xml:space="preserve"> </w:t>
        </w:r>
        <w:r>
          <w:rPr>
            <w:rStyle w:val="Link"/>
          </w:rPr>
          <w:t xml:space="preserve">904 F.2d 378 (6th Cir.1990),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4" w:name="the-duty-to-protect-against-intentional-criminal-actions"/>
      <w:bookmarkEnd w:id="84"/>
      <w:r>
        <w:t xml:space="preserve">1. The Duty to Protect Against Intentional Criminal Actions</w:t>
      </w:r>
    </w:p>
    <w:p>
      <w:r>
        <w:t xml:space="preserve">First, courts have held that, except under extraordinary circumstances, individuals are generally entitled to assume that third parties will not commit intentional criminal acts.…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r>
        <w:t xml:space="preserve">We can find nothing close to a "special relationship" in this case. The defendants did not even know James, Steger, and Hadley prior to Carneal's actions, much less take any affirmative steps that disabled them from protecting themselves.</w:t>
      </w:r>
    </w:p>
    <w:p>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5">
        <w:r>
          <w:rPr>
            <w:i/>
            <w:rStyle w:val="Link"/>
          </w:rPr>
          <w:t xml:space="preserve">Vills v. City of Cloquet,</w:t>
        </w:r>
        <w:r>
          <w:rPr>
            <w:rStyle w:val="Link"/>
          </w:rPr>
          <w:t xml:space="preserve"> </w:t>
        </w:r>
        <w:r>
          <w:rPr>
            <w:rStyle w:val="Link"/>
          </w:rPr>
          <w:t xml:space="preserve">119 Minn. 277, 138 N.W. 33 (1912),</w:t>
        </w:r>
      </w:hyperlink>
      <w:r>
        <w:t xml:space="preserve"> </w:t>
      </w:r>
      <w:r>
        <w:t xml:space="preserve">or firearms.</w:t>
      </w:r>
      <w:r>
        <w:t xml:space="preserve"> </w:t>
      </w:r>
      <w:hyperlink r:id="rId86">
        <w:r>
          <w:rPr>
            <w:i/>
            <w:rStyle w:val="Link"/>
          </w:rPr>
          <w:t xml:space="preserve">Spivey v. Sheeler,</w:t>
        </w:r>
        <w:r>
          <w:rPr>
            <w:rStyle w:val="Link"/>
          </w:rPr>
          <w:t xml:space="preserve"> </w:t>
        </w:r>
        <w:r>
          <w:rPr>
            <w:rStyle w:val="Link"/>
          </w:rPr>
          <w:t xml:space="preserve">514 S.W.2d 667 (Ky.1974)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7">
        <w:r>
          <w:rPr>
            <w:i/>
            <w:rStyle w:val="Link"/>
          </w:rPr>
          <w:t xml:space="preserve">Meers v. McDowell,</w:t>
        </w:r>
        <w:r>
          <w:rPr>
            <w:rStyle w:val="Link"/>
          </w:rPr>
          <w:t xml:space="preserve"> </w:t>
        </w:r>
        <w:r>
          <w:rPr>
            <w:rStyle w:val="Link"/>
          </w:rPr>
          <w:t xml:space="preserve">110 Ky. 926, 62 S.W. 1013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88" w:name="first-amendment-problems"/>
      <w:bookmarkEnd w:id="88"/>
      <w:r>
        <w:t xml:space="preserve">2. First Amendment Problems</w:t>
      </w:r>
    </w:p>
    <w:p>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89">
        <w:r>
          <w:rPr>
            <w:i/>
            <w:rStyle w:val="Link"/>
          </w:rPr>
          <w:t xml:space="preserve">New York Times v. Sullivan,</w:t>
        </w:r>
        <w:r>
          <w:rPr>
            <w:rStyle w:val="Link"/>
          </w:rPr>
          <w:t xml:space="preserve"> </w:t>
        </w:r>
        <w:r>
          <w:rPr>
            <w:rStyle w:val="Link"/>
          </w:rPr>
          <w:t xml:space="preserve">376 U.S. 254, 265, 84 S.Ct. 710, 11 L.Ed.2d 686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r>
        <w:t xml:space="preserve">[The court found that movies and video games are protected speech under the First Amendment.</w:t>
      </w:r>
    </w:p>
    <w:p>
      <w:pPr>
        <w:pStyle w:val="BlockQuote"/>
      </w:pPr>
      <w:r>
        <w:t xml:space="preserve">Expression, to be constitutionally protected, need not constitute the reasoned discussion of the public affairs, but may also be for purposes of entertainment.]</w:t>
      </w:r>
    </w:p>
    <w:p>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90">
        <w:r>
          <w:rPr>
            <w:i/>
            <w:rStyle w:val="Link"/>
          </w:rPr>
          <w:t xml:space="preserve">Sable Communications v. FCC,</w:t>
        </w:r>
        <w:r>
          <w:rPr>
            <w:rStyle w:val="Link"/>
          </w:rPr>
          <w:t xml:space="preserve"> </w:t>
        </w:r>
        <w:r>
          <w:rPr>
            <w:rStyle w:val="Link"/>
          </w:rPr>
          <w:t xml:space="preserve">492 U.S. 115, 126, 109 S.Ct. 2829, 106 L.Ed.2d 93 (1989)</w:t>
        </w:r>
      </w:hyperlink>
      <w:r>
        <w:t xml:space="preserve">;</w:t>
      </w:r>
      <w:r>
        <w:t xml:space="preserve"> </w:t>
      </w:r>
      <w:hyperlink r:id="rId91">
        <w:r>
          <w:rPr>
            <w:i/>
            <w:rStyle w:val="Link"/>
          </w:rPr>
          <w:t xml:space="preserve">Connection Distrib. Co. v. Reno,</w:t>
        </w:r>
        <w:r>
          <w:rPr>
            <w:rStyle w:val="Link"/>
          </w:rPr>
          <w:t xml:space="preserve"> </w:t>
        </w:r>
        <w:r>
          <w:rPr>
            <w:rStyle w:val="Link"/>
          </w:rPr>
          <w:t xml:space="preserve">154 F.3d 281, 291-92 (6th Cir.1998)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92">
        <w:r>
          <w:rPr>
            <w:i/>
            <w:rStyle w:val="Link"/>
          </w:rPr>
          <w:t xml:space="preserve">Reno v. American Civil Liberties Union,</w:t>
        </w:r>
        <w:r>
          <w:rPr>
            <w:rStyle w:val="Link"/>
          </w:rPr>
          <w:t xml:space="preserve"> </w:t>
        </w:r>
        <w:r>
          <w:rPr>
            <w:rStyle w:val="Link"/>
          </w:rPr>
          <w:t xml:space="preserve">521 U.S. 844, 874-75, 117 S.Ct. 2329, 138 L.Ed.2d 874 (1997)</w:t>
        </w:r>
      </w:hyperlink>
      <w:r>
        <w:t xml:space="preserve">;</w:t>
      </w:r>
      <w:r>
        <w:t xml:space="preserve"> </w:t>
      </w:r>
      <w:hyperlink r:id="rId93">
        <w:r>
          <w:rPr>
            <w:i/>
            <w:rStyle w:val="Link"/>
          </w:rPr>
          <w:t xml:space="preserve">United States v. Playboy Entm't Group, Inc.,</w:t>
        </w:r>
        <w:r>
          <w:rPr>
            <w:rStyle w:val="Link"/>
          </w:rPr>
          <w:t xml:space="preserve"> </w:t>
        </w:r>
        <w:r>
          <w:rPr>
            <w:rStyle w:val="Link"/>
          </w:rPr>
          <w:t xml:space="preserve">529 U.S. 803, 812-13, 120 S.Ct. 1878, 146 L.Ed.2d 865 (2000)</w:t>
        </w:r>
      </w:hyperlink>
      <w:r>
        <w:t xml:space="preserve">;</w:t>
      </w:r>
      <w:r>
        <w:t xml:space="preserve"> </w:t>
      </w:r>
      <w:hyperlink r:id="rId91">
        <w:r>
          <w:rPr>
            <w:i/>
            <w:rStyle w:val="Link"/>
          </w:rPr>
          <w:t xml:space="preserve">Connection Distrib.,</w:t>
        </w:r>
        <w:r>
          <w:rPr>
            <w:rStyle w:val="Link"/>
          </w:rPr>
          <w:t xml:space="preserve"> </w:t>
        </w:r>
        <w:r>
          <w:rPr>
            <w:rStyle w:val="Link"/>
          </w:rPr>
          <w:t xml:space="preserve">154 F.3d at 292</w:t>
        </w:r>
      </w:hyperlink>
      <w:r>
        <w:t xml:space="preserve">.</w:t>
      </w:r>
    </w:p>
    <w:p>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4">
        <w:r>
          <w:rPr>
            <w:i/>
            <w:rStyle w:val="Link"/>
          </w:rPr>
          <w:t xml:space="preserve">Paris Adult Theatre I v. Slaton,</w:t>
        </w:r>
        <w:r>
          <w:rPr>
            <w:rStyle w:val="Link"/>
          </w:rPr>
          <w:t xml:space="preserve"> </w:t>
        </w:r>
        <w:r>
          <w:rPr>
            <w:rStyle w:val="Link"/>
          </w:rPr>
          <w:t xml:space="preserve">413 U.S. 49, 69, 93 S.Ct. 2628, 37 L.Ed.2d 446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5">
        <w:r>
          <w:rPr>
            <w:i/>
            <w:rStyle w:val="Link"/>
          </w:rPr>
          <w:t xml:space="preserve">Miller v. California,</w:t>
        </w:r>
        <w:r>
          <w:rPr>
            <w:rStyle w:val="Link"/>
          </w:rPr>
          <w:t xml:space="preserve"> </w:t>
        </w:r>
        <w:r>
          <w:rPr>
            <w:rStyle w:val="Link"/>
          </w:rPr>
          <w:t xml:space="preserve">413 U.S. 15, 23-24, 93 S.Ct. 2607, 37 L.Ed.2d 419 (1973)</w:t>
        </w:r>
      </w:hyperlink>
      <w:r>
        <w:t xml:space="preserve"> </w:t>
      </w:r>
      <w:r>
        <w:t xml:space="preserve">("We now confine the scope of [obscene material] to works which depict or describe sexual conduct.");</w:t>
      </w:r>
      <w:r>
        <w:t xml:space="preserve"> </w:t>
      </w:r>
      <w:hyperlink r:id="rId96">
        <w:r>
          <w:rPr>
            <w:i/>
            <w:rStyle w:val="Link"/>
          </w:rPr>
          <w:t xml:space="preserve">United States v. Thoma,</w:t>
        </w:r>
        <w:r>
          <w:rPr>
            <w:rStyle w:val="Link"/>
          </w:rPr>
          <w:t xml:space="preserve"> </w:t>
        </w:r>
        <w:r>
          <w:rPr>
            <w:rStyle w:val="Link"/>
          </w:rPr>
          <w:t xml:space="preserve">726 F.2d 1191, 1200 (7th Cir.1984)</w:t>
        </w:r>
      </w:hyperlink>
      <w:r>
        <w:t xml:space="preserve"> </w:t>
      </w:r>
      <w:r>
        <w:t xml:space="preserve">(holding that because depictions of violence are not sexual, obscenity jurisprudence does not apply).</w:t>
      </w:r>
    </w:p>
    <w:p>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97">
        <w:r>
          <w:rPr>
            <w:i/>
            <w:rStyle w:val="Link"/>
          </w:rPr>
          <w:t xml:space="preserve">American Amusement Mach. Ass'n v. Kendrick,</w:t>
        </w:r>
        <w:r>
          <w:rPr>
            <w:rStyle w:val="Link"/>
          </w:rPr>
          <w:t xml:space="preserve"> </w:t>
        </w:r>
        <w:r>
          <w:rPr>
            <w:rStyle w:val="Link"/>
          </w:rPr>
          <w:t xml:space="preserve">244 F.3d 572, 574 (7th Cir.2001)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98">
        <w:r>
          <w:rPr>
            <w:i/>
            <w:rStyle w:val="Link"/>
          </w:rPr>
          <w:t xml:space="preserve">R.A.V. v. City of St. Paul,</w:t>
        </w:r>
        <w:r>
          <w:rPr>
            <w:rStyle w:val="Link"/>
          </w:rPr>
          <w:t xml:space="preserve"> </w:t>
        </w:r>
        <w:r>
          <w:rPr>
            <w:rStyle w:val="Link"/>
          </w:rPr>
          <w:t xml:space="preserve">505 U.S. 377, 384-85, 112 S.Ct. 2538, 120 L.Ed.2d 305 (1992)</w:t>
        </w:r>
      </w:hyperlink>
      <w:r>
        <w:t xml:space="preserve">. The Court firmly set out the test for whether speech constitutes unprotected incitement to violence in</w:t>
      </w:r>
      <w:r>
        <w:t xml:space="preserve"> </w:t>
      </w:r>
      <w:hyperlink r:id="rId99">
        <w:r>
          <w:rPr>
            <w:i/>
            <w:rStyle w:val="Link"/>
          </w:rPr>
          <w:t xml:space="preserve">Brandenburg v. Ohio,</w:t>
        </w:r>
        <w:r>
          <w:rPr>
            <w:rStyle w:val="Link"/>
          </w:rPr>
          <w:t xml:space="preserve"> </w:t>
        </w:r>
        <w:r>
          <w:rPr>
            <w:rStyle w:val="Link"/>
          </w:rPr>
          <w:t xml:space="preserve">395 U.S. 444, 89 S.Ct. 1827, 23 L.Ed.2d 430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100">
        <w:r>
          <w:rPr>
            <w:i/>
            <w:rStyle w:val="Link"/>
          </w:rPr>
          <w:t xml:space="preserve">Hess v. Indiana,</w:t>
        </w:r>
        <w:r>
          <w:rPr>
            <w:rStyle w:val="Link"/>
          </w:rPr>
          <w:t xml:space="preserve"> </w:t>
        </w:r>
        <w:r>
          <w:rPr>
            <w:rStyle w:val="Link"/>
          </w:rPr>
          <w:t xml:space="preserve">414 U.S. 105, 108, 94 S.Ct. 326, 38 L.Ed.2d 303</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101">
        <w:r>
          <w:rPr>
            <w:i/>
            <w:rStyle w:val="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102">
        <w:r>
          <w:rPr>
            <w:i/>
            <w:rStyle w:val="Link"/>
          </w:rPr>
          <w:t xml:space="preserve">McCoy v. Stewart,</w:t>
        </w:r>
        <w:r>
          <w:rPr>
            <w:rStyle w:val="Link"/>
          </w:rPr>
          <w:t xml:space="preserve"> </w:t>
        </w:r>
        <w:r>
          <w:rPr>
            <w:rStyle w:val="Link"/>
          </w:rPr>
          <w:t xml:space="preserve">282 F.3d 626, 631 (9th Cir.2002)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03">
        <w:r>
          <w:rPr>
            <w:i/>
            <w:rStyle w:val="Link"/>
          </w:rPr>
          <w:t xml:space="preserve">Dworkin v. Hustler Magazine, Inc.,</w:t>
        </w:r>
        <w:r>
          <w:rPr>
            <w:rStyle w:val="Link"/>
          </w:rPr>
          <w:t xml:space="preserve"> </w:t>
        </w:r>
        <w:r>
          <w:rPr>
            <w:rStyle w:val="Link"/>
          </w:rPr>
          <w:t xml:space="preserve">867 F.2d 1188, 1199-1200 (9th Cir.1989)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4">
        <w:r>
          <w:rPr>
            <w:i/>
            <w:rStyle w:val="Link"/>
          </w:rPr>
          <w:t xml:space="preserve">Herceg v. Hustler Magazine, Inc.,</w:t>
        </w:r>
        <w:r>
          <w:rPr>
            <w:rStyle w:val="Link"/>
          </w:rPr>
          <w:t xml:space="preserve"> </w:t>
        </w:r>
        <w:r>
          <w:rPr>
            <w:rStyle w:val="Link"/>
          </w:rPr>
          <w:t xml:space="preserve">814 F.2d 1017, 1024 (5th Cir.1987)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r>
        <w:t xml:space="preserve">[The court's discussion of proximate causation omitted.]</w:t>
      </w:r>
    </w:p>
    <w:p>
      <w:pPr>
        <w:pStyle w:val="Heading3"/>
      </w:pPr>
      <w:bookmarkStart w:id="105" w:name="iv"/>
      <w:bookmarkEnd w:id="105"/>
      <w:r>
        <w:t xml:space="preserve">IV</w:t>
      </w:r>
    </w:p>
    <w:p>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6">
        <w:r>
          <w:rPr>
            <w:i/>
            <w:rStyle w:val="Link"/>
          </w:rPr>
          <w:t xml:space="preserve">Clark v. Hauck Mfg. Co.,</w:t>
        </w:r>
        <w:r>
          <w:rPr>
            <w:rStyle w:val="Link"/>
          </w:rPr>
          <w:t xml:space="preserve"> </w:t>
        </w:r>
        <w:r>
          <w:rPr>
            <w:rStyle w:val="Link"/>
          </w:rPr>
          <w:t xml:space="preserve">910 S.W.2d 247, 250 (Ky.1995)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7">
        <w:r>
          <w:rPr>
            <w:i/>
            <w:rStyle w:val="Link"/>
          </w:rPr>
          <w:t xml:space="preserve">Embs v. Pepsi-Cola Bottling Co. of Lexington,</w:t>
        </w:r>
        <w:r>
          <w:rPr>
            <w:rStyle w:val="Link"/>
          </w:rPr>
          <w:t xml:space="preserve"> </w:t>
        </w:r>
        <w:r>
          <w:rPr>
            <w:rStyle w:val="Link"/>
          </w:rPr>
          <w:t xml:space="preserve">528 S.W.2d 703 (Ky.1975)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r>
        <w:t xml:space="preserve">This court has already substantially resolved the question of Kentucky law presented. In</w:t>
      </w:r>
      <w:r>
        <w:t xml:space="preserve"> </w:t>
      </w:r>
      <w:hyperlink r:id="rId83">
        <w:r>
          <w:rPr>
            <w:i/>
            <w:rStyle w:val="Link"/>
          </w:rPr>
          <w:t xml:space="preserve">Watters v. TSR,</w:t>
        </w:r>
        <w:r>
          <w:rPr>
            <w:rStyle w:val="Link"/>
          </w:rPr>
          <w:t xml:space="preserve"> </w:t>
        </w:r>
        <w:r>
          <w:rPr>
            <w:rStyle w:val="Link"/>
          </w:rPr>
          <w:t xml:space="preserve">904 F.2d 378 (6th Cir.1990),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08">
        <w:r>
          <w:rPr>
            <w:i/>
            <w:rStyle w:val="Link"/>
          </w:rPr>
          <w:t xml:space="preserve">C.G. Bryant v. Tri-County Elec. Membership Corp.,</w:t>
        </w:r>
        <w:r>
          <w:rPr>
            <w:rStyle w:val="Link"/>
          </w:rPr>
          <w:t xml:space="preserve"> </w:t>
        </w:r>
        <w:r>
          <w:rPr>
            <w:rStyle w:val="Link"/>
          </w:rPr>
          <w:t xml:space="preserve">844 F.Supp. 347, 352 (W.D.Ky.1994)</w:t>
        </w:r>
      </w:hyperlink>
      <w:r>
        <w:t xml:space="preserve">. Internet sites are nothing more than communicative electrical pulses, James contends. James argues that there is no relevant difference between the internet transmissions and the electricity.</w:t>
      </w:r>
    </w:p>
    <w:p>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r>
        <w:t xml:space="preserve">[</w:t>
      </w:r>
      <w:r>
        <w:rPr>
          <w:i/>
        </w:rPr>
        <w:t xml:space="preserve">See, e.g.,</w:t>
      </w:r>
      <w:r>
        <w:t xml:space="preserve"> </w:t>
      </w:r>
      <w:hyperlink r:id="rId109">
        <w:r>
          <w:rPr>
            <w:i/>
            <w:rStyle w:val="Link"/>
          </w:rPr>
          <w:t xml:space="preserve">Winter v. G.P. Putnam's Sons,</w:t>
        </w:r>
        <w:r>
          <w:rPr>
            <w:rStyle w:val="Link"/>
          </w:rPr>
          <w:t xml:space="preserve"> </w:t>
        </w:r>
        <w:r>
          <w:rPr>
            <w:rStyle w:val="Link"/>
          </w:rPr>
          <w:t xml:space="preserve">938 F.2d 1033, 1036 (9th Cir.1991)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10">
        <w:r>
          <w:rPr>
            <w:i/>
            <w:rStyle w:val="Link"/>
          </w:rPr>
          <w:t xml:space="preserve">Jones v. J.B. Lippincott Co.,</w:t>
        </w:r>
        <w:r>
          <w:rPr>
            <w:rStyle w:val="Link"/>
          </w:rPr>
          <w:t xml:space="preserve"> </w:t>
        </w:r>
        <w:r>
          <w:rPr>
            <w:rStyle w:val="Link"/>
          </w:rPr>
          <w:t xml:space="preserve">694 F.Supp. 1216, 1217-18 (D.Md. 1988)</w:t>
        </w:r>
      </w:hyperlink>
      <w:r>
        <w:t xml:space="preserve">(publisher of medical text not liable for injuries suffered by nursing student who treated herself for constipation after consulting the text and suffered injury).]</w:t>
      </w:r>
    </w:p>
    <w:p>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11" w:name="v"/>
      <w:bookmarkEnd w:id="111"/>
      <w:r>
        <w:t xml:space="preserve">V</w:t>
      </w:r>
    </w:p>
    <w:p>
      <w:r>
        <w:t xml:space="preserve">For all the foregoing reasons, we AFFIRM the district court's dismissal of all James's claims.</w:t>
      </w:r>
    </w:p>
    <w:p>
      <w:pPr>
        <w:pStyle w:val="Heading2"/>
      </w:pPr>
      <w:bookmarkStart w:id="112" w:name="herceg-v.-hustler-magazine-inc."/>
      <w:bookmarkEnd w:id="112"/>
      <w:r>
        <w:rPr>
          <w:i/>
        </w:rPr>
        <w:t xml:space="preserve">Herceg v. Hustler Magazine, Inc.</w:t>
      </w:r>
    </w:p>
    <w:p>
      <w:pPr>
        <w:pStyle w:val="Heading6"/>
      </w:pPr>
      <w:bookmarkStart w:id="113" w:name="fifth-circuit-court-of-appeals-1987"/>
      <w:bookmarkEnd w:id="113"/>
      <w:r>
        <w:t xml:space="preserve">Fifth Circuit Court of Appeals (1987)</w:t>
      </w:r>
    </w:p>
    <w:p>
      <w:pPr>
        <w:pStyle w:val="Compact"/>
        <w:numPr>
          <w:numId w:val="1003"/>
          <w:ilvl w:val="0"/>
        </w:numPr>
      </w:pPr>
      <w:hyperlink r:id="rId114">
        <w:r>
          <w:rPr>
            <w:rStyle w:val="Link"/>
          </w:rPr>
          <w:t xml:space="preserve">case at Google Scholar</w:t>
        </w:r>
      </w:hyperlink>
    </w:p>
    <w:p>
      <w:pPr>
        <w:pStyle w:val="Compact"/>
        <w:numPr>
          <w:numId w:val="1003"/>
          <w:ilvl w:val="0"/>
        </w:numPr>
      </w:pPr>
      <w:hyperlink r:id="rId115">
        <w:r>
          <w:rPr>
            <w:rStyle w:val="Link"/>
          </w:rPr>
          <w:t xml:space="preserve">case at Westlaw</w:t>
        </w:r>
      </w:hyperlink>
    </w:p>
    <w:p>
      <w:pPr>
        <w:pStyle w:val="Compact"/>
        <w:numPr>
          <w:numId w:val="1003"/>
          <w:ilvl w:val="0"/>
        </w:numPr>
      </w:pPr>
      <w:hyperlink r:id="rId25">
        <w:r>
          <w:rPr>
            <w:rStyle w:val="Link"/>
          </w:rPr>
          <w:t xml:space="preserve">Erotic asphyxiation at Wikipedia</w:t>
        </w:r>
      </w:hyperlink>
      <w:r>
        <w:t xml:space="preserve">.</w:t>
      </w:r>
    </w:p>
    <w:p>
      <w:r>
        <w:t xml:space="preserve">An adolescent read a magazine article that prompted him to commit an act that proved fatal. The issue is whether the publisher of the magazine may be held liable for civil damages.</w:t>
      </w:r>
    </w:p>
    <w:p>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incitment claim and the case was allowed to go to the jury on incitement alone.</w:t>
      </w:r>
    </w:p>
    <w:p>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 ]</w:t>
      </w:r>
    </w:p>
    <w:p>
      <w:pPr>
        <w:pStyle w:val="Heading3"/>
      </w:pPr>
      <w:bookmarkStart w:id="116" w:name="incitement"/>
      <w:bookmarkEnd w:id="116"/>
      <w:r>
        <w:t xml:space="preserve">Incitement</w:t>
      </w:r>
    </w:p>
    <w:p>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impermissibly infringing upon freedom of speech.</w:t>
      </w:r>
    </w:p>
    <w:p>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17">
        <w:r>
          <w:rPr>
            <w:i/>
            <w:rStyle w:val="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8" w:name="civil-liability"/>
      <w:bookmarkEnd w:id="118"/>
      <w:r>
        <w:t xml:space="preserve">Civil Liability?</w:t>
      </w:r>
    </w:p>
    <w:p>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19">
        <w:r>
          <w:rPr>
            <w:i/>
            <w:rStyle w:val="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r>
        <w:t xml:space="preserve">For the reasons stated above, the judgment of the district court is REVERSED.</w:t>
      </w:r>
    </w:p>
    <w:p>
      <w:pPr>
        <w:pStyle w:val="Heading3"/>
      </w:pPr>
      <w:bookmarkStart w:id="120" w:name="concurrence-dissent"/>
      <w:bookmarkEnd w:id="120"/>
      <w:r>
        <w:t xml:space="preserve">Concurrence &amp; Dissent</w:t>
      </w:r>
    </w:p>
    <w:p>
      <w:r>
        <w:t xml:space="preserve">EDITH H. JONES, Circuit Judge, Concurring and Dissenting:</w:t>
      </w:r>
    </w:p>
    <w:p>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21" w:name="i."/>
      <w:bookmarkEnd w:id="121"/>
      <w:r>
        <w:t xml:space="preserve">I.</w:t>
      </w:r>
    </w:p>
    <w:p>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r>
        <w:t xml:space="preserve">Not only is Hustler's appeal noncognitive, but the magazine derives its profit from that fact. If Hustler stopped being pornographic, its readership would vanish.</w:t>
      </w:r>
    </w:p>
    <w:p>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22" w:name="ii."/>
      <w:bookmarkEnd w:id="122"/>
      <w:r>
        <w:t xml:space="preserve">II.</w:t>
      </w:r>
    </w:p>
    <w:p>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23">
        <w:r>
          <w:rPr>
            <w:i/>
            <w:rStyle w:val="Link"/>
          </w:rPr>
          <w:t xml:space="preserve">NAACP v. Claiborne Hardware Company,</w:t>
        </w:r>
        <w:r>
          <w:rPr>
            <w:rStyle w:val="Link"/>
          </w:rPr>
          <w:t xml:space="preserve"> </w:t>
        </w:r>
        <w:r>
          <w:rPr>
            <w:rStyle w:val="Link"/>
          </w:rPr>
          <w:t xml:space="preserve">458 U.S. 886, 102 S.Ct. 3409, 73 L.Ed.2d 1215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4">
        <w:r>
          <w:rPr>
            <w:i/>
            <w:rStyle w:val="Link"/>
          </w:rPr>
          <w:t xml:space="preserve">Chaplinsky v. New Hampshire,</w:t>
        </w:r>
        <w:r>
          <w:rPr>
            <w:rStyle w:val="Link"/>
          </w:rPr>
          <w:t xml:space="preserve"> </w:t>
        </w:r>
        <w:r>
          <w:rPr>
            <w:rStyle w:val="Link"/>
          </w:rPr>
          <w:t xml:space="preserve">315 U.S. 568, 62 S.Ct. 766, 86 L.Ed. 1031 (1942)</w:t>
        </w:r>
      </w:hyperlink>
      <w:r>
        <w:t xml:space="preserve">. The Supreme Court has also dealt favorably with state regulations designed to protect minors from performing sexual acts by prohibiting distribution of films containing such acts.</w:t>
      </w:r>
      <w:r>
        <w:t xml:space="preserve"> </w:t>
      </w:r>
      <w:hyperlink r:id="rId125">
        <w:r>
          <w:rPr>
            <w:i/>
            <w:rStyle w:val="Link"/>
          </w:rPr>
          <w:t xml:space="preserve">New York v. Ferber,</w:t>
        </w:r>
        <w:r>
          <w:rPr>
            <w:rStyle w:val="Link"/>
          </w:rPr>
          <w:t xml:space="preserve"> </w:t>
        </w:r>
        <w:r>
          <w:rPr>
            <w:rStyle w:val="Link"/>
          </w:rPr>
          <w:t xml:space="preserve">458 U.S. 747, 102 S.Ct. 3348, 73 L.Ed.2d 1113 (1982)</w:t>
        </w:r>
      </w:hyperlink>
      <w:r>
        <w:t xml:space="preserve">. There the Court found it "evident beyond the need for elaboration that a State's interest in `safeguarding the physical and psychological wellbeing of a minor' is `compelling'."</w:t>
      </w:r>
      <w:r>
        <w:t xml:space="preserve"> </w:t>
      </w:r>
      <w:hyperlink r:id="rId125">
        <w:r>
          <w:rPr>
            <w:rStyle w:val="Link"/>
          </w:rPr>
          <w:t xml:space="preserve">458 U.S. at 756-57, 102 S.Ct. at 3354,</w:t>
        </w:r>
      </w:hyperlink>
      <w:r>
        <w:t xml:space="preserve"> </w:t>
      </w:r>
      <w:r>
        <w:t xml:space="preserve">(quoting</w:t>
      </w:r>
      <w:r>
        <w:t xml:space="preserve"> </w:t>
      </w:r>
      <w:hyperlink r:id="rId126">
        <w:r>
          <w:rPr>
            <w:i/>
            <w:rStyle w:val="Link"/>
          </w:rPr>
          <w:t xml:space="preserve">Globe Newspaper Co. v. Superior Court,</w:t>
        </w:r>
        <w:r>
          <w:rPr>
            <w:rStyle w:val="Link"/>
          </w:rPr>
          <w:t xml:space="preserve"> </w:t>
        </w:r>
        <w:r>
          <w:rPr>
            <w:rStyle w:val="Link"/>
          </w:rPr>
          <w:t xml:space="preserve">457 U.S. 596, 607, 102 S.Ct. 2613, 2620, 73 L.Ed.2d 248 (1982)</w:t>
        </w:r>
      </w:hyperlink>
      <w:r>
        <w:t xml:space="preserve">). The Court has even gone so far as to uphold an FCC regulation banning "indecent" speech from the airwaves at the times when children would be in the audience.</w:t>
      </w:r>
      <w:r>
        <w:t xml:space="preserve"> </w:t>
      </w:r>
      <w:hyperlink r:id="rId127">
        <w:r>
          <w:rPr>
            <w:i/>
            <w:rStyle w:val="Link"/>
          </w:rPr>
          <w:t xml:space="preserve">F.C.C. v. Pacifica Foundation,</w:t>
        </w:r>
        <w:r>
          <w:rPr>
            <w:rStyle w:val="Link"/>
          </w:rPr>
          <w:t xml:space="preserve"> </w:t>
        </w:r>
        <w:r>
          <w:rPr>
            <w:rStyle w:val="Link"/>
          </w:rPr>
          <w:t xml:space="preserve">438 U.S. 726, 98 S.Ct. 3026, 57 L.Ed.2d 1073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r>
        <w:rPr>
          <w:i/>
        </w:rPr>
        <w:t xml:space="preserve">Gertz.</w:t>
      </w:r>
      <w:r>
        <w:t xml:space="preserve"> </w:t>
      </w:r>
      <w:hyperlink r:id="rId128">
        <w:r>
          <w:rPr>
            <w:rStyle w:val="Link"/>
          </w:rPr>
          <w:t xml:space="preserve">472 U.S. at 758, 105 S.Ct. at 2945</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29">
        <w:r>
          <w:rPr>
            <w:i/>
            <w:rStyle w:val="Link"/>
          </w:rPr>
          <w:t xml:space="preserve">Connick v. Myers,</w:t>
        </w:r>
        <w:r>
          <w:rPr>
            <w:rStyle w:val="Link"/>
          </w:rPr>
          <w:t xml:space="preserve"> </w:t>
        </w:r>
        <w:r>
          <w:rPr>
            <w:rStyle w:val="Link"/>
          </w:rPr>
          <w:t xml:space="preserve">461 U.S. 138, 148-49, 103 S.Ct. 1684, 1690, 75 L.Ed.2d 708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8">
        <w:r>
          <w:rPr>
            <w:rStyle w:val="Link"/>
          </w:rPr>
          <w:t xml:space="preserve">472 U.S. at 762, 105 S.Ct. at 2947,</w:t>
        </w:r>
      </w:hyperlink>
      <w:r>
        <w:t xml:space="preserve"> </w:t>
      </w:r>
      <w:r>
        <w:t xml:space="preserve">(quoting</w:t>
      </w:r>
      <w:r>
        <w:t xml:space="preserve"> </w:t>
      </w:r>
      <w:hyperlink r:id="rId119">
        <w:r>
          <w:rPr>
            <w:i/>
            <w:rStyle w:val="Link"/>
          </w:rPr>
          <w:t xml:space="preserve">New York Times</w:t>
        </w:r>
      </w:hyperlink>
      <w:hyperlink r:id="rId119">
        <w:r>
          <w:rPr>
            <w:i/>
            <w:rStyle w:val="Link"/>
          </w:rPr>
          <w:t xml:space="preserve">Co. v. Sullivan,</w:t>
        </w:r>
        <w:r>
          <w:rPr>
            <w:rStyle w:val="Link"/>
          </w:rPr>
          <w:t xml:space="preserve"> </w:t>
        </w:r>
        <w:r>
          <w:rPr>
            <w:rStyle w:val="Link"/>
          </w:rPr>
          <w:t xml:space="preserve">376 U.S. 254, 270, 84 S.Ct. 710, 721, 11 L.Ed.2d 686 (1967)</w:t>
        </w:r>
      </w:hyperlink>
      <w:r>
        <w:t xml:space="preserve">).</w:t>
      </w:r>
    </w:p>
    <w:p>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23">
        <w:r>
          <w:rPr>
            <w:i/>
            <w:rStyle w:val="Link"/>
          </w:rPr>
          <w:t xml:space="preserve">NAACP v. Claiborne Hardware Co.,</w:t>
        </w:r>
        <w:r>
          <w:rPr>
            <w:rStyle w:val="Link"/>
          </w:rPr>
          <w:t xml:space="preserve"> </w:t>
        </w:r>
        <w:r>
          <w:rPr>
            <w:rStyle w:val="Link"/>
          </w:rPr>
          <w:t xml:space="preserve">458 U.S. at 917-919, 102 S.Ct. at 3427-28</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30">
        <w:r>
          <w:rPr>
            <w:i/>
            <w:rStyle w:val="Link"/>
          </w:rPr>
          <w:t xml:space="preserve">Roth v. United States,</w:t>
        </w:r>
        <w:r>
          <w:rPr>
            <w:rStyle w:val="Link"/>
          </w:rPr>
          <w:t xml:space="preserve"> </w:t>
        </w:r>
        <w:r>
          <w:rPr>
            <w:rStyle w:val="Link"/>
          </w:rPr>
          <w:t xml:space="preserve">354 U.S. 476, 77 S.Ct. 1304, 1 L.Ed.2d 1498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r>
        <w:t xml:space="preserve">The foregoing analysis immediately differentiates this case from</w:t>
      </w:r>
      <w:r>
        <w:t xml:space="preserve"> </w:t>
      </w:r>
      <w:hyperlink r:id="rId117">
        <w:r>
          <w:rPr>
            <w:i/>
            <w:rStyle w:val="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31" w:name="iii."/>
      <w:bookmarkEnd w:id="131"/>
      <w:r>
        <w:t xml:space="preserve">III.</w:t>
      </w:r>
    </w:p>
    <w:p>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17">
        <w:r>
          <w:rPr>
            <w:i/>
            <w:rStyle w:val="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r>
        <w:t xml:space="preserve">End of excerpts from Judge Edith Grossman's concurring &amp; dissenting opinion.</w:t>
      </w:r>
    </w:p>
    <w:p>
      <w:pPr>
        <w:pStyle w:val="Heading4"/>
      </w:pPr>
      <w:bookmarkStart w:id="132" w:name="note-on-weirum-v.-rko"/>
      <w:bookmarkEnd w:id="132"/>
      <w:r>
        <w:t xml:space="preserve">Note on</w:t>
      </w:r>
      <w:r>
        <w:t xml:space="preserve"> </w:t>
      </w:r>
      <w:r>
        <w:rPr>
          <w:i/>
        </w:rPr>
        <w:t xml:space="preserve">Weirum v. RKO</w:t>
      </w:r>
    </w:p>
    <w:p>
      <w:r>
        <w:t xml:space="preserve">In</w:t>
      </w:r>
      <w:r>
        <w:t xml:space="preserve"> </w:t>
      </w:r>
      <w:hyperlink r:id="rId133">
        <w:r>
          <w:rPr>
            <w:i/>
            <w:rStyle w:val="Link"/>
          </w:rPr>
          <w:t xml:space="preserve">Weirum v. RKO,</w:t>
        </w:r>
        <w:r>
          <w:rPr>
            <w:rStyle w:val="Link"/>
          </w:rPr>
          <w:t xml:space="preserve"> </w:t>
        </w:r>
        <w:r>
          <w:rPr>
            <w:rStyle w:val="Link"/>
          </w:rPr>
          <w:t xml:space="preserve">15 Cal.3d 40, 123 Cal.Rptr. 468, 539 P.2d 36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4">
        <w:r>
          <w:rPr>
            <w:i/>
            <w:rStyle w:val="Link"/>
          </w:rPr>
          <w:t xml:space="preserve">Hyde v. Missouri,</w:t>
        </w:r>
        <w:r>
          <w:rPr>
            <w:rStyle w:val="Link"/>
          </w:rPr>
          <w:t xml:space="preserve"> </w:t>
        </w:r>
        <w:r>
          <w:rPr>
            <w:rStyle w:val="Link"/>
          </w:rPr>
          <w:t xml:space="preserve">637 S.W.2d 251 (Mo.Ct.App.1982)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5" w:name="note-on-rice-v.-paladin"/>
      <w:bookmarkEnd w:id="135"/>
      <w:r>
        <w:t xml:space="preserve">Note on</w:t>
      </w:r>
      <w:r>
        <w:t xml:space="preserve"> </w:t>
      </w:r>
      <w:r>
        <w:rPr>
          <w:i/>
        </w:rPr>
        <w:t xml:space="preserve">Rice v. Paladin,</w:t>
      </w:r>
    </w:p>
    <w:p>
      <w:pPr>
        <w:pStyle w:val="Heading6"/>
      </w:pPr>
      <w:bookmarkStart w:id="136" w:name="fourth-circuit-1997"/>
      <w:bookmarkEnd w:id="136"/>
      <w:r>
        <w:t xml:space="preserve">Fourth Circuit (1997)</w:t>
      </w:r>
    </w:p>
    <w:p>
      <w:pPr>
        <w:pStyle w:val="Compact"/>
        <w:numPr>
          <w:numId w:val="1005"/>
          <w:ilvl w:val="0"/>
        </w:numPr>
      </w:pPr>
      <w:hyperlink r:id="rId137">
        <w:r>
          <w:rPr>
            <w:rStyle w:val="Link"/>
          </w:rPr>
          <w:t xml:space="preserve">Reason Magazine: The Day They Came To Sue The Book</w:t>
        </w:r>
      </w:hyperlink>
    </w:p>
    <w:p>
      <w:pPr>
        <w:pStyle w:val="Compact"/>
        <w:numPr>
          <w:numId w:val="1005"/>
          <w:ilvl w:val="0"/>
        </w:numPr>
      </w:pPr>
      <w:hyperlink r:id="rId138">
        <w:r>
          <w:rPr>
            <w:rStyle w:val="Link"/>
          </w:rPr>
          <w:t xml:space="preserve">Case at Google Scholar</w:t>
        </w:r>
      </w:hyperlink>
    </w:p>
    <w:p>
      <w:pPr>
        <w:pStyle w:val="Compact"/>
        <w:numPr>
          <w:numId w:val="1005"/>
          <w:ilvl w:val="0"/>
        </w:numPr>
      </w:pPr>
      <w:hyperlink r:id="rId139">
        <w:r>
          <w:rPr>
            <w:rStyle w:val="Link"/>
          </w:rPr>
          <w:t xml:space="preserve">Case at Westlaw</w:t>
        </w:r>
      </w:hyperlink>
      <w:r>
        <w:t xml:space="preserve">.</w:t>
      </w:r>
    </w:p>
    <w:p>
      <w:pPr>
        <w:pStyle w:val="Compact"/>
        <w:numPr>
          <w:numId w:val="1005"/>
          <w:ilvl w:val="0"/>
        </w:numPr>
      </w:pPr>
      <w:hyperlink r:id="rId140">
        <w:r>
          <w:rPr>
            <w:rStyle w:val="Link"/>
          </w:rPr>
          <w:t xml:space="preserve">Case at Wikipedia</w:t>
        </w:r>
      </w:hyperlink>
      <w:r>
        <w:t xml:space="preserve">.</w:t>
      </w:r>
    </w:p>
    <w:p>
      <w:pPr>
        <w:pStyle w:val="Compact"/>
        <w:numPr>
          <w:numId w:val="1005"/>
          <w:ilvl w:val="0"/>
        </w:numPr>
      </w:pPr>
      <w:hyperlink r:id="rId141">
        <w:r>
          <w:rPr>
            <w:i/>
            <w:rStyle w:val="Link"/>
          </w:rPr>
          <w:t xml:space="preserve">Hit Man: A Technical Manual For Independent Contractors</w:t>
        </w:r>
        <w:r>
          <w:rPr>
            <w:rStyle w:val="Link"/>
          </w:rPr>
          <w:t xml:space="preserve"> </w:t>
        </w:r>
        <w:r>
          <w:rPr>
            <w:rStyle w:val="Link"/>
          </w:rPr>
          <w:t xml:space="preserve">- complete text</w:t>
        </w:r>
      </w:hyperlink>
    </w:p>
    <w:p>
      <w:pPr>
        <w:pStyle w:val="Heading3"/>
      </w:pPr>
      <w:bookmarkStart w:id="142" w:name="referenced-cases"/>
      <w:bookmarkEnd w:id="142"/>
      <w:r>
        <w:t xml:space="preserve">Referenced Cases</w:t>
      </w:r>
    </w:p>
    <w:p>
      <w:pPr>
        <w:pStyle w:val="Compact"/>
        <w:numPr>
          <w:numId w:val="1006"/>
          <w:ilvl w:val="0"/>
        </w:numPr>
      </w:pPr>
      <w:hyperlink r:id="rId143">
        <w:r>
          <w:rPr>
            <w:i/>
            <w:rStyle w:val="Link"/>
          </w:rPr>
          <w:t xml:space="preserve">U.S. v. Stevens</w:t>
        </w:r>
      </w:hyperlink>
      <w:r>
        <w:t xml:space="preserve">, 130 S.Ct. 1577 (2010).</w:t>
      </w:r>
      <w:r>
        <w:t xml:space="preserve"> </w:t>
      </w:r>
      <w:hyperlink r:id="rId27">
        <w:r>
          <w:rPr>
            <w:rStyle w:val="Link"/>
          </w:rPr>
          <w:t xml:space="preserve">Wikipedia</w:t>
        </w:r>
      </w:hyperlink>
      <w:r>
        <w:t xml:space="preserve">.</w:t>
      </w:r>
      <w:r>
        <w:br w:type="textWrapping"/>
      </w:r>
    </w:p>
    <w:p>
      <w:pPr>
        <w:pStyle w:val="Compact"/>
        <w:numPr>
          <w:numId w:val="1006"/>
          <w:ilvl w:val="0"/>
        </w:numPr>
      </w:pPr>
      <w:hyperlink r:id="rId144">
        <w:r>
          <w:rPr>
            <w:i/>
            <w:rStyle w:val="Link"/>
          </w:rPr>
          <w:t xml:space="preserve">Weirum v. RKO</w:t>
        </w:r>
      </w:hyperlink>
      <w:r>
        <w:t xml:space="preserve">, 539 P.2d 36 (1975).</w:t>
      </w:r>
      <w:r>
        <w:t xml:space="preserve"> </w:t>
      </w:r>
      <w:hyperlink r:id="rId145">
        <w:r>
          <w:rPr>
            <w:rStyle w:val="Link"/>
          </w:rPr>
          <w:t xml:space="preserve">Wikipedia</w:t>
        </w:r>
      </w:hyperlink>
      <w:r>
        <w:t xml:space="preserve">.</w:t>
      </w:r>
      <w:r>
        <w:br w:type="textWrapping"/>
      </w:r>
    </w:p>
    <w:p>
      <w:pPr>
        <w:pStyle w:val="Compact"/>
        <w:numPr>
          <w:numId w:val="1006"/>
          <w:ilvl w:val="0"/>
        </w:numPr>
      </w:pPr>
      <w:hyperlink r:id="rId146">
        <w:r>
          <w:rPr>
            <w:i/>
            <w:rStyle w:val="Link"/>
          </w:rPr>
          <w:t xml:space="preserve">Byers v. Edmundson</w:t>
        </w:r>
      </w:hyperlink>
      <w:r>
        <w:t xml:space="preserve">, 826 So.2d 551 (1st Cir. 2002).</w:t>
      </w:r>
      <w:r>
        <w:t xml:space="preserve"> </w:t>
      </w:r>
      <w:hyperlink r:id="rId26">
        <w:r>
          <w:rPr>
            <w:rStyle w:val="Link"/>
          </w:rPr>
          <w:t xml:space="preserve">Wikipedia list of copycat crimes committed by individuals allegedly influenced by the 1994 film</w:t>
        </w:r>
        <w:r>
          <w:rPr>
            <w:rStyle w:val="Link"/>
          </w:rPr>
          <w:t xml:space="preserve"> </w:t>
        </w:r>
        <w:r>
          <w:rPr>
            <w:i/>
            <w:rStyle w:val="Link"/>
          </w:rPr>
          <w:t xml:space="preserve">Natural Born Killers</w:t>
        </w:r>
      </w:hyperlink>
      <w:r>
        <w:t xml:space="preserve">.</w:t>
      </w:r>
      <w:r>
        <w:br w:type="textWrapping"/>
      </w:r>
    </w:p>
    <w:p>
      <w:pPr>
        <w:pStyle w:val="Compact"/>
        <w:numPr>
          <w:numId w:val="1006"/>
          <w:ilvl w:val="0"/>
        </w:numPr>
      </w:pPr>
      <w:hyperlink r:id="rId147">
        <w:r>
          <w:rPr>
            <w:i/>
            <w:rStyle w:val="Link"/>
          </w:rPr>
          <w:t xml:space="preserve">Davidson v. Time Warner,</w:t>
        </w:r>
      </w:hyperlink>
      <w:r>
        <w:t xml:space="preserve"> </w:t>
      </w:r>
      <w:r>
        <w:t xml:space="preserve">1997 WL 405907 (S.D.Tx 1997).</w:t>
      </w:r>
      <w:r>
        <w:t xml:space="preserve"> </w:t>
      </w:r>
      <w:hyperlink r:id="rId148">
        <w:r>
          <w:rPr>
            <w:rStyle w:val="Link"/>
          </w:rPr>
          <w:t xml:space="preserve">Case note on</w:t>
        </w:r>
        <w:r>
          <w:rPr>
            <w:rStyle w:val="Link"/>
          </w:rPr>
          <w:t xml:space="preserve"> </w:t>
        </w:r>
        <w:r>
          <w:rPr>
            <w:i/>
            <w:rStyle w:val="Link"/>
          </w:rPr>
          <w:t xml:space="preserve">Davidson v. Time-Warner</w:t>
        </w:r>
      </w:hyperlink>
      <w:r>
        <w:t xml:space="preserve">.</w:t>
      </w:r>
    </w:p>
    <w:p>
      <w:pPr>
        <w:pStyle w:val="Compact"/>
        <w:numPr>
          <w:numId w:val="1006"/>
          <w:ilvl w:val="0"/>
        </w:numPr>
      </w:pPr>
      <w:hyperlink r:id="rId149">
        <w:r>
          <w:rPr>
            <w:i/>
            <w:rStyle w:val="Link"/>
          </w:rPr>
          <w:t xml:space="preserve">Miramax Films v. MPAA</w:t>
        </w:r>
      </w:hyperlink>
      <w:r>
        <w:t xml:space="preserve">, 560 N.Y.S.2d 730 (1990).</w:t>
      </w:r>
    </w:p>
    <w:p>
      <w:pPr>
        <w:pStyle w:val="Compact"/>
        <w:numPr>
          <w:numId w:val="1006"/>
          <w:ilvl w:val="0"/>
        </w:numPr>
      </w:pPr>
      <w:r>
        <w:t xml:space="preserve">Trailer for</w:t>
      </w:r>
      <w:r>
        <w:t xml:space="preserve"> </w:t>
      </w:r>
      <w:hyperlink r:id="rId150">
        <w:r>
          <w:rPr>
            <w:i/>
            <w:rStyle w:val="Link"/>
          </w:rPr>
          <w:t xml:space="preserve">This Film Is Not Yet Rated</w:t>
        </w:r>
      </w:hyperlink>
      <w:r>
        <w:t xml:space="preserve">.</w:t>
      </w:r>
    </w:p>
    <w:p>
      <w:pPr>
        <w:pStyle w:val="Heading3"/>
      </w:pPr>
      <w:bookmarkStart w:id="151" w:name="recommended"/>
      <w:bookmarkEnd w:id="151"/>
      <w:r>
        <w:t xml:space="preserve">Recommended</w:t>
      </w:r>
    </w:p>
    <w:p>
      <w:pPr>
        <w:pStyle w:val="Compact"/>
        <w:numPr>
          <w:numId w:val="1007"/>
          <w:ilvl w:val="0"/>
        </w:numPr>
      </w:pPr>
      <w:hyperlink r:id="rId152">
        <w:r>
          <w:rPr>
            <w:i/>
            <w:rStyle w:val="Link"/>
          </w:rPr>
          <w:t xml:space="preserve">The People v. Larry Flynt</w:t>
        </w:r>
      </w:hyperlink>
      <w:r>
        <w:t xml:space="preserve">.</w:t>
      </w:r>
    </w:p>
    <w:p>
      <w:pPr>
        <w:pStyle w:val="Compact"/>
        <w:numPr>
          <w:numId w:val="1007"/>
          <w:ilvl w:val="0"/>
        </w:numPr>
      </w:pPr>
      <w:hyperlink r:id="rId153">
        <w:r>
          <w:rPr>
            <w:rStyle w:val="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50">
        <w:r>
          <w:rPr>
            <w:i/>
            <w:rStyle w:val="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f635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aee9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8f24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scholar_case?case=11989907166283121695&amp;q=brown+entertainment+merchants&amp;hl=en&amp;as_sdt=2006&amp;scilh=0" TargetMode="External" /><Relationship Type="http://schemas.openxmlformats.org/officeDocument/2006/relationships/hyperlink" Id="rId60" Target="/scholar_case?case=14621372290934958371&amp;q=brown+entertainment+merchants&amp;hl=en&amp;as_sdt=2006&amp;scilh=0" TargetMode="External" /><Relationship Type="http://schemas.openxmlformats.org/officeDocument/2006/relationships/hyperlink" Id="rId52" Target="/scholar_case?case=14778925784015245625&amp;q=brown+entertainment+merchants&amp;hl=en&amp;as_sdt=2006&amp;scilh=0" TargetMode="External" /><Relationship Type="http://schemas.openxmlformats.org/officeDocument/2006/relationships/hyperlink" Id="rId50" Target="/scholar_case?case=287180442152313659&amp;q=brown+entertainment+merchants&amp;hl=en&amp;as_sdt=2006&amp;scilh=0" TargetMode="External" /><Relationship Type="http://schemas.openxmlformats.org/officeDocument/2006/relationships/hyperlink" Id="rId51" Target="/scholar_case?case=7398433541275578772&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68"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6" Target="http://en.wikipedia.org/wiki/Heath_High_School_shooting" TargetMode="External" /><Relationship Type="http://schemas.openxmlformats.org/officeDocument/2006/relationships/hyperlink" Id="rId140"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5" Target="http://en.wikipedia.org/wiki/RKO_General#Notable_Legal_Case" TargetMode="External" /><Relationship Type="http://schemas.openxmlformats.org/officeDocument/2006/relationships/hyperlink" Id="rId152"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9" Target="http://lawschool.westlaw.com/shared/westlawRedirect.aspx?task=find&amp;cite=128f3d233&amp;appflag=67.12" TargetMode="External" /><Relationship Type="http://schemas.openxmlformats.org/officeDocument/2006/relationships/hyperlink" Id="rId143"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7" Target="http://lawschool.westlaw.com/shared/westlawRedirect.aspx?task=find&amp;cite=1997+WL+405907&amp;appflag=67.12" TargetMode="External" /><Relationship Type="http://schemas.openxmlformats.org/officeDocument/2006/relationships/hyperlink" Id="rId75" Target="http://lawschool.westlaw.com/shared/westlawRedirect.aspx?task=find&amp;cite=300f3d683&amp;appflag=67.12" TargetMode="External" /><Relationship Type="http://schemas.openxmlformats.org/officeDocument/2006/relationships/hyperlink" Id="rId144" Target="http://lawschool.westlaw.com/shared/westlawRedirect.aspx?task=find&amp;cite=539+P.2d+36&amp;appflag=67.12" TargetMode="External" /><Relationship Type="http://schemas.openxmlformats.org/officeDocument/2006/relationships/hyperlink" Id="rId149" Target="http://lawschool.westlaw.com/shared/westlawRedirect.aspx?task=find&amp;cite=560nys2d730&amp;appflag=67.12" TargetMode="External" /><Relationship Type="http://schemas.openxmlformats.org/officeDocument/2006/relationships/hyperlink" Id="rId115" Target="http://lawschool.westlaw.com/shared/westlawRedirect.aspx?task=find&amp;cite=814f2d1017&amp;appflag=67.12" TargetMode="External" /><Relationship Type="http://schemas.openxmlformats.org/officeDocument/2006/relationships/hyperlink" Id="rId146" Target="http://lawschool.westlaw.com/shared/westlawRedirect.aspx?task=find&amp;cite=826+So.2d+551&amp;appflag=67.12" TargetMode="External" /><Relationship Type="http://schemas.openxmlformats.org/officeDocument/2006/relationships/hyperlink" Id="rId137" Target="http://reason.com/archives/1999/08/01/the-day-they-came-to-sue-the-b" TargetMode="External" /><Relationship Type="http://schemas.openxmlformats.org/officeDocument/2006/relationships/hyperlink" Id="rId87" Target="http://scholar.google.com/scholar_case?about=13723756947186741433&amp;q=james+meow&amp;hl=en&amp;as_sdt=6,28&amp;scilh=0" TargetMode="External" /><Relationship Type="http://schemas.openxmlformats.org/officeDocument/2006/relationships/hyperlink" Id="rId85" Target="http://scholar.google.com/scholar_case?about=15516340448157145729&amp;q=james+meow&amp;hl=en&amp;as_sdt=6,28&amp;scilh=0" TargetMode="External" /><Relationship Type="http://schemas.openxmlformats.org/officeDocument/2006/relationships/hyperlink" Id="rId74" Target="http://scholar.google.com/scholar_case?about=2909369074319697416" TargetMode="External" /><Relationship Type="http://schemas.openxmlformats.org/officeDocument/2006/relationships/hyperlink" Id="rId80" Target="http://scholar.google.com/scholar_case?about=8468647111215907111&amp;q=james+meow&amp;hl=en&amp;as_sdt=6,28&amp;scilh=0" TargetMode="External" /><Relationship Type="http://schemas.openxmlformats.org/officeDocument/2006/relationships/hyperlink" Id="rId119" Target="http://scholar.google.com/scholar_case?case=10183527771703896207&amp;q=herceg+hustler&amp;hl=en&amp;as_sdt=6,28&amp;scilh=0" TargetMode="External" /><Relationship Type="http://schemas.openxmlformats.org/officeDocument/2006/relationships/hyperlink" Id="rId89" Target="http://scholar.google.com/scholar_case?case=10183527771703896207&amp;q=james+meow&amp;hl=en&amp;as_sdt=6,28&amp;scilh=0" TargetMode="External" /><Relationship Type="http://schemas.openxmlformats.org/officeDocument/2006/relationships/hyperlink" Id="rId83" Target="http://scholar.google.com/scholar_case?case=10196421278862987651&amp;q=james+meow&amp;hl=en&amp;as_sdt=6,28&amp;scilh=0" TargetMode="External" /><Relationship Type="http://schemas.openxmlformats.org/officeDocument/2006/relationships/hyperlink" Id="rId64" Target="http://scholar.google.com/scholar_case?case=11083261902857685106&amp;q=brown+entertainment+merchants&amp;hl=en&amp;as_sdt=2006&amp;scilh=0" TargetMode="External" /><Relationship Type="http://schemas.openxmlformats.org/officeDocument/2006/relationships/hyperlink" Id="rId138" Target="http://scholar.google.com/scholar_case?case=11246858167733420309&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93" Target="http://scholar.google.com/scholar_case?case=11989907166283121695&amp;q=james+meow&amp;hl=en&amp;as_sdt=6,28&amp;scilh=0" TargetMode="External" /><Relationship Type="http://schemas.openxmlformats.org/officeDocument/2006/relationships/hyperlink" Id="rId110" Target="http://scholar.google.com/scholar_case?case=12134749983314046468&amp;q=james+meow&amp;hl=en&amp;as_sdt=6,28&amp;scilh=0" TargetMode="External" /><Relationship Type="http://schemas.openxmlformats.org/officeDocument/2006/relationships/hyperlink" Id="rId86" Target="http://scholar.google.com/scholar_case?case=12187369012283356840&amp;q=james+meow&amp;hl=en&amp;as_sdt=6,28&amp;scilh=0" TargetMode="External" /><Relationship Type="http://schemas.openxmlformats.org/officeDocument/2006/relationships/hyperlink" Id="rId125" Target="http://scholar.google.com/scholar_case?case=1226851723986989726&amp;q=herceg+hustler&amp;hl=en&amp;as_sdt=6,28&amp;scilh=0" TargetMode="External" /><Relationship Type="http://schemas.openxmlformats.org/officeDocument/2006/relationships/hyperlink" Id="rId129"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4" Target="http://scholar.google.com/scholar_case?case=124249671461500618&amp;q=herceg+hustler&amp;hl=en&amp;as_sdt=6,28&amp;scilh=0" TargetMode="External" /><Relationship Type="http://schemas.openxmlformats.org/officeDocument/2006/relationships/hyperlink" Id="rId90" Target="http://scholar.google.com/scholar_case?case=12959937071120946576&amp;q=james+meow&amp;hl=en&amp;as_sdt=6,28&amp;scilh=0"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97" Target="http://scholar.google.com/scholar_case?case=13025078069235542866&amp;q=james+meow&amp;hl=en&amp;as_sdt=6,28&amp;scilh=0" TargetMode="External" /><Relationship Type="http://schemas.openxmlformats.org/officeDocument/2006/relationships/hyperlink" Id="rId107" Target="http://scholar.google.com/scholar_case?case=14151903145400687453&amp;q=james+meow&amp;hl=en&amp;as_sdt=6,28&amp;scilh=0" TargetMode="External" /><Relationship Type="http://schemas.openxmlformats.org/officeDocument/2006/relationships/hyperlink" Id="rId128" Target="http://scholar.google.com/scholar_case?case=14343170427684392260&amp;q=herceg+hustler&amp;hl=en&amp;as_sdt=6,28&amp;scilh=0" TargetMode="External" /><Relationship Type="http://schemas.openxmlformats.org/officeDocument/2006/relationships/hyperlink" Id="rId108"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8"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30"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7" Target="http://scholar.google.com/scholar_case?case=15538842772335942956&amp;q=herceg+hustler&amp;hl=en&amp;as_sdt=6,28&amp;scilh=0" TargetMode="External" /><Relationship Type="http://schemas.openxmlformats.org/officeDocument/2006/relationships/hyperlink" Id="rId99" Target="http://scholar.google.com/scholar_case?case=15538842772335942956&amp;q=james+meow&amp;hl=en&amp;as_sdt=6,28&amp;scilh=0" TargetMode="External" /><Relationship Type="http://schemas.openxmlformats.org/officeDocument/2006/relationships/hyperlink" Id="rId92"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81" Target="http://scholar.google.com/scholar_case?case=16532176860606685190&amp;q=james+meow&amp;hl=en&amp;as_sdt=6,28&amp;scilh=0" TargetMode="External" /><Relationship Type="http://schemas.openxmlformats.org/officeDocument/2006/relationships/hyperlink" Id="rId91"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6"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5" Target="http://scholar.google.com/scholar_case?case=287180442152313659&amp;q=james+meow&amp;hl=en&amp;as_sdt=6,28&amp;scilh=0" TargetMode="External" /><Relationship Type="http://schemas.openxmlformats.org/officeDocument/2006/relationships/hyperlink" Id="rId73"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3" Target="http://scholar.google.com/scholar_case?case=3859249994867287155&amp;q=brown+entertainment+merchants&amp;hl=en&amp;as_sdt=2006&amp;scilh=0" TargetMode="External" /><Relationship Type="http://schemas.openxmlformats.org/officeDocument/2006/relationships/hyperlink" Id="rId103" Target="http://scholar.google.com/scholar_case?case=391927733878660348&amp;q=james+meow&amp;hl=en&amp;as_sdt=6,28&amp;scilh=0" TargetMode="External" /><Relationship Type="http://schemas.openxmlformats.org/officeDocument/2006/relationships/hyperlink" Id="rId101" Target="http://scholar.google.com/scholar_case?case=4016009721484982910&amp;q=james+meow&amp;hl=en&amp;as_sdt=6,28&amp;scilh=0" TargetMode="External" /><Relationship Type="http://schemas.openxmlformats.org/officeDocument/2006/relationships/hyperlink" Id="rId100" Target="http://scholar.google.com/scholar_case?case=4042159652386241321&amp;q=james+meow&amp;hl=en&amp;as_sdt=6,28&amp;scilh=0"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102" Target="http://scholar.google.com/scholar_case?case=4786465207502783304&amp;q=james+meow&amp;hl=en&amp;as_sdt=6,28&amp;scilh=0" TargetMode="External" /><Relationship Type="http://schemas.openxmlformats.org/officeDocument/2006/relationships/hyperlink" Id="rId62"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4" Target="http://scholar.google.com/scholar_case?case=6013208883755367940&amp;q=herceg+hustler&amp;hl=en&amp;as_sdt=6,28&amp;scilh=0" TargetMode="External" /><Relationship Type="http://schemas.openxmlformats.org/officeDocument/2006/relationships/hyperlink" Id="rId96"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23" Target="http://scholar.google.com/scholar_case?case=7271075303659098319&amp;q=herceg+hustler&amp;hl=en&amp;as_sdt=6,28&amp;scilh=0" TargetMode="External" /><Relationship Type="http://schemas.openxmlformats.org/officeDocument/2006/relationships/hyperlink" Id="rId94"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4" Target="http://scholar.google.com/scholar_case?case=7844372980201599517" TargetMode="External" /><Relationship Type="http://schemas.openxmlformats.org/officeDocument/2006/relationships/hyperlink" Id="rId104"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9" Target="http://scholar.google.com/scholar_case?case=8197049031942033273&amp;q=james+meow&amp;hl=en&amp;as_sdt=6,28&amp;scilh=0" TargetMode="External" /><Relationship Type="http://schemas.openxmlformats.org/officeDocument/2006/relationships/hyperlink" Id="rId133" Target="http://scholar.google.com/scholar_case?case=836093554391354911&amp;q=herceg+hustler&amp;hl=en&amp;as_sdt=6,28&amp;scilh=0" TargetMode="External" /><Relationship Type="http://schemas.openxmlformats.org/officeDocument/2006/relationships/hyperlink" Id="rId82" Target="http://scholar.google.com/scholar_case?case=8378611870130381594&amp;q=james+meow&amp;hl=en&amp;as_sdt=6,28&amp;scilh=0"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6" Target="http://scholar.google.com/scholar_case?case=9138451588502129368&amp;q=herceg+hustler&amp;hl=en&amp;as_sdt=6,28&amp;scilh=0" TargetMode="External" /><Relationship Type="http://schemas.openxmlformats.org/officeDocument/2006/relationships/hyperlink" Id="rId127" Target="http://scholar.google.com/scholar_case?case=9738309099999149495&amp;q=herceg+hustler&amp;hl=en&amp;as_sdt=6,28&amp;scilh=0" TargetMode="External" /><Relationship Type="http://schemas.openxmlformats.org/officeDocument/2006/relationships/hyperlink" Id="rId66"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8" Target="http://tinyurl.com/ml5vvz8" TargetMode="External" /><Relationship Type="http://schemas.openxmlformats.org/officeDocument/2006/relationships/hyperlink" Id="rId141"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53" Target="http://www.theatlantic.com/national/archive/2014/09/in-cambridge-md-a-soviet-style-punishment-for-a-novelist/379431/" TargetMode="External" /><Relationship Type="http://schemas.openxmlformats.org/officeDocument/2006/relationships/hyperlink" Id="rId150"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61" Target="/scholar_case?case=11989907166283121695&amp;q=brown+entertainment+merchants&amp;hl=en&amp;as_sdt=2006&amp;scilh=0" TargetMode="External" /><Relationship Type="http://schemas.openxmlformats.org/officeDocument/2006/relationships/hyperlink" Id="rId60" Target="/scholar_case?case=14621372290934958371&amp;q=brown+entertainment+merchants&amp;hl=en&amp;as_sdt=2006&amp;scilh=0" TargetMode="External" /><Relationship Type="http://schemas.openxmlformats.org/officeDocument/2006/relationships/hyperlink" Id="rId52" Target="/scholar_case?case=14778925784015245625&amp;q=brown+entertainment+merchants&amp;hl=en&amp;as_sdt=2006&amp;scilh=0" TargetMode="External" /><Relationship Type="http://schemas.openxmlformats.org/officeDocument/2006/relationships/hyperlink" Id="rId50" Target="/scholar_case?case=287180442152313659&amp;q=brown+entertainment+merchants&amp;hl=en&amp;as_sdt=2006&amp;scilh=0" TargetMode="External" /><Relationship Type="http://schemas.openxmlformats.org/officeDocument/2006/relationships/hyperlink" Id="rId51" Target="/scholar_case?case=7398433541275578772&amp;q=brown+entertainment+merchants&amp;hl=en&amp;as_sdt=2006&amp;scilh=0" TargetMode="External" /><Relationship Type="http://schemas.openxmlformats.org/officeDocument/2006/relationships/hyperlink" Id="rId36" Target="http://en.wikipedia.org/wiki/Brown_v._Entertainment_Merchants_Association" TargetMode="External" /><Relationship Type="http://schemas.openxmlformats.org/officeDocument/2006/relationships/hyperlink" Id="rId68" Target="http://en.wikipedia.org/wiki/Columbine_High_School_massacre#Video_games" TargetMode="External" /><Relationship Type="http://schemas.openxmlformats.org/officeDocument/2006/relationships/hyperlink" Id="rId25" Target="http://en.wikipedia.org/wiki/Erotic_asphyxiation" TargetMode="External" /><Relationship Type="http://schemas.openxmlformats.org/officeDocument/2006/relationships/hyperlink" Id="rId76" Target="http://en.wikipedia.org/wiki/Heath_High_School_shooting" TargetMode="External" /><Relationship Type="http://schemas.openxmlformats.org/officeDocument/2006/relationships/hyperlink" Id="rId140" Target="http://en.wikipedia.org/wiki/Hit_Man:_A_Technical_Manual_for_Independent_Contractors" TargetMode="External" /><Relationship Type="http://schemas.openxmlformats.org/officeDocument/2006/relationships/hyperlink" Id="rId28" Target="http://en.wikipedia.org/wiki/Miller_test" TargetMode="External" /><Relationship Type="http://schemas.openxmlformats.org/officeDocument/2006/relationships/hyperlink" Id="rId145" Target="http://en.wikipedia.org/wiki/RKO_General#Notable_Legal_Case" TargetMode="External" /><Relationship Type="http://schemas.openxmlformats.org/officeDocument/2006/relationships/hyperlink" Id="rId152" Target="http://en.wikipedia.org/wiki/The_People_vs._Larry_Flynt" TargetMode="External" /><Relationship Type="http://schemas.openxmlformats.org/officeDocument/2006/relationships/hyperlink" Id="rId27" Target="http://en.wikipedia.org/wiki/United_States_v._Stevens" TargetMode="External" /><Relationship Type="http://schemas.openxmlformats.org/officeDocument/2006/relationships/hyperlink" Id="rId139" Target="http://lawschool.westlaw.com/shared/westlawRedirect.aspx?task=find&amp;cite=128f3d233&amp;appflag=67.12" TargetMode="External" /><Relationship Type="http://schemas.openxmlformats.org/officeDocument/2006/relationships/hyperlink" Id="rId143" Target="http://lawschool.westlaw.com/shared/westlawRedirect.aspx?task=find&amp;cite=130+S.Ct.+1577&amp;appflag=67.12" TargetMode="External" /><Relationship Type="http://schemas.openxmlformats.org/officeDocument/2006/relationships/hyperlink" Id="rId35" Target="http://lawschool.westlaw.com/shared/westlawRedirect.aspx?task=find&amp;cite=131sct2729&amp;appflag=67.12" TargetMode="External" /><Relationship Type="http://schemas.openxmlformats.org/officeDocument/2006/relationships/hyperlink" Id="rId147" Target="http://lawschool.westlaw.com/shared/westlawRedirect.aspx?task=find&amp;cite=1997+WL+405907&amp;appflag=67.12" TargetMode="External" /><Relationship Type="http://schemas.openxmlformats.org/officeDocument/2006/relationships/hyperlink" Id="rId75" Target="http://lawschool.westlaw.com/shared/westlawRedirect.aspx?task=find&amp;cite=300f3d683&amp;appflag=67.12" TargetMode="External" /><Relationship Type="http://schemas.openxmlformats.org/officeDocument/2006/relationships/hyperlink" Id="rId144" Target="http://lawschool.westlaw.com/shared/westlawRedirect.aspx?task=find&amp;cite=539+P.2d+36&amp;appflag=67.12" TargetMode="External" /><Relationship Type="http://schemas.openxmlformats.org/officeDocument/2006/relationships/hyperlink" Id="rId149" Target="http://lawschool.westlaw.com/shared/westlawRedirect.aspx?task=find&amp;cite=560nys2d730&amp;appflag=67.12" TargetMode="External" /><Relationship Type="http://schemas.openxmlformats.org/officeDocument/2006/relationships/hyperlink" Id="rId115" Target="http://lawschool.westlaw.com/shared/westlawRedirect.aspx?task=find&amp;cite=814f2d1017&amp;appflag=67.12" TargetMode="External" /><Relationship Type="http://schemas.openxmlformats.org/officeDocument/2006/relationships/hyperlink" Id="rId146" Target="http://lawschool.westlaw.com/shared/westlawRedirect.aspx?task=find&amp;cite=826+So.2d+551&amp;appflag=67.12" TargetMode="External" /><Relationship Type="http://schemas.openxmlformats.org/officeDocument/2006/relationships/hyperlink" Id="rId137" Target="http://reason.com/archives/1999/08/01/the-day-they-came-to-sue-the-b" TargetMode="External" /><Relationship Type="http://schemas.openxmlformats.org/officeDocument/2006/relationships/hyperlink" Id="rId87" Target="http://scholar.google.com/scholar_case?about=13723756947186741433&amp;q=james+meow&amp;hl=en&amp;as_sdt=6,28&amp;scilh=0" TargetMode="External" /><Relationship Type="http://schemas.openxmlformats.org/officeDocument/2006/relationships/hyperlink" Id="rId85" Target="http://scholar.google.com/scholar_case?about=15516340448157145729&amp;q=james+meow&amp;hl=en&amp;as_sdt=6,28&amp;scilh=0" TargetMode="External" /><Relationship Type="http://schemas.openxmlformats.org/officeDocument/2006/relationships/hyperlink" Id="rId74" Target="http://scholar.google.com/scholar_case?about=2909369074319697416" TargetMode="External" /><Relationship Type="http://schemas.openxmlformats.org/officeDocument/2006/relationships/hyperlink" Id="rId80" Target="http://scholar.google.com/scholar_case?about=8468647111215907111&amp;q=james+meow&amp;hl=en&amp;as_sdt=6,28&amp;scilh=0" TargetMode="External" /><Relationship Type="http://schemas.openxmlformats.org/officeDocument/2006/relationships/hyperlink" Id="rId119" Target="http://scholar.google.com/scholar_case?case=10183527771703896207&amp;q=herceg+hustler&amp;hl=en&amp;as_sdt=6,28&amp;scilh=0" TargetMode="External" /><Relationship Type="http://schemas.openxmlformats.org/officeDocument/2006/relationships/hyperlink" Id="rId89" Target="http://scholar.google.com/scholar_case?case=10183527771703896207&amp;q=james+meow&amp;hl=en&amp;as_sdt=6,28&amp;scilh=0" TargetMode="External" /><Relationship Type="http://schemas.openxmlformats.org/officeDocument/2006/relationships/hyperlink" Id="rId83" Target="http://scholar.google.com/scholar_case?case=10196421278862987651&amp;q=james+meow&amp;hl=en&amp;as_sdt=6,28&amp;scilh=0" TargetMode="External" /><Relationship Type="http://schemas.openxmlformats.org/officeDocument/2006/relationships/hyperlink" Id="rId64" Target="http://scholar.google.com/scholar_case?case=11083261902857685106&amp;q=brown+entertainment+merchants&amp;hl=en&amp;as_sdt=2006&amp;scilh=0" TargetMode="External" /><Relationship Type="http://schemas.openxmlformats.org/officeDocument/2006/relationships/hyperlink" Id="rId138" Target="http://scholar.google.com/scholar_case?case=11246858167733420309&amp;scilh=0" TargetMode="External" /><Relationship Type="http://schemas.openxmlformats.org/officeDocument/2006/relationships/hyperlink" Id="rId41" Target="http://scholar.google.com/scholar_case?case=11989907166283121695&amp;q=brown+entertainment+merchants&amp;hl=en&amp;as_sdt=2006&amp;scilh=0" TargetMode="External" /><Relationship Type="http://schemas.openxmlformats.org/officeDocument/2006/relationships/hyperlink" Id="rId93" Target="http://scholar.google.com/scholar_case?case=11989907166283121695&amp;q=james+meow&amp;hl=en&amp;as_sdt=6,28&amp;scilh=0" TargetMode="External" /><Relationship Type="http://schemas.openxmlformats.org/officeDocument/2006/relationships/hyperlink" Id="rId110" Target="http://scholar.google.com/scholar_case?case=12134749983314046468&amp;q=james+meow&amp;hl=en&amp;as_sdt=6,28&amp;scilh=0" TargetMode="External" /><Relationship Type="http://schemas.openxmlformats.org/officeDocument/2006/relationships/hyperlink" Id="rId86" Target="http://scholar.google.com/scholar_case?case=12187369012283356840&amp;q=james+meow&amp;hl=en&amp;as_sdt=6,28&amp;scilh=0" TargetMode="External" /><Relationship Type="http://schemas.openxmlformats.org/officeDocument/2006/relationships/hyperlink" Id="rId125" Target="http://scholar.google.com/scholar_case?case=1226851723986989726&amp;q=herceg+hustler&amp;hl=en&amp;as_sdt=6,28&amp;scilh=0" TargetMode="External" /><Relationship Type="http://schemas.openxmlformats.org/officeDocument/2006/relationships/hyperlink" Id="rId129" Target="http://scholar.google.com/scholar_case?case=12292534138488546769&amp;q=herceg+hustler&amp;hl=en&amp;as_sdt=6,28&amp;scilh=0" TargetMode="External" /><Relationship Type="http://schemas.openxmlformats.org/officeDocument/2006/relationships/hyperlink" Id="rId48" Target="http://scholar.google.com/scholar_case?case=124249671461500618&amp;q=brown+entertainment+merchants&amp;hl=en&amp;as_sdt=2006&amp;scilh=0" TargetMode="External" /><Relationship Type="http://schemas.openxmlformats.org/officeDocument/2006/relationships/hyperlink" Id="rId124" Target="http://scholar.google.com/scholar_case?case=124249671461500618&amp;q=herceg+hustler&amp;hl=en&amp;as_sdt=6,28&amp;scilh=0" TargetMode="External" /><Relationship Type="http://schemas.openxmlformats.org/officeDocument/2006/relationships/hyperlink" Id="rId90" Target="http://scholar.google.com/scholar_case?case=12959937071120946576&amp;q=james+meow&amp;hl=en&amp;as_sdt=6,28&amp;scilh=0" TargetMode="External" /><Relationship Type="http://schemas.openxmlformats.org/officeDocument/2006/relationships/hyperlink" Id="rId58" Target="http://scholar.google.com/scholar_case?case=13025078069235542866&amp;q=brown+entertainment+merchants&amp;hl=en&amp;as_sdt=2006&amp;scilh=0" TargetMode="External" /><Relationship Type="http://schemas.openxmlformats.org/officeDocument/2006/relationships/hyperlink" Id="rId97" Target="http://scholar.google.com/scholar_case?case=13025078069235542866&amp;q=james+meow&amp;hl=en&amp;as_sdt=6,28&amp;scilh=0" TargetMode="External" /><Relationship Type="http://schemas.openxmlformats.org/officeDocument/2006/relationships/hyperlink" Id="rId107" Target="http://scholar.google.com/scholar_case?case=14151903145400687453&amp;q=james+meow&amp;hl=en&amp;as_sdt=6,28&amp;scilh=0" TargetMode="External" /><Relationship Type="http://schemas.openxmlformats.org/officeDocument/2006/relationships/hyperlink" Id="rId128" Target="http://scholar.google.com/scholar_case?case=14343170427684392260&amp;q=herceg+hustler&amp;hl=en&amp;as_sdt=6,28&amp;scilh=0" TargetMode="External" /><Relationship Type="http://schemas.openxmlformats.org/officeDocument/2006/relationships/hyperlink" Id="rId108" Target="http://scholar.google.com/scholar_case?case=14353781368890549739&amp;q=james+meow&amp;hl=en&amp;as_sdt=6,28&amp;scilh=0" TargetMode="External" /><Relationship Type="http://schemas.openxmlformats.org/officeDocument/2006/relationships/hyperlink" Id="rId45" Target="http://scholar.google.com/scholar_case?case=14621372290934958371&amp;q=brown+entertainment+merchants&amp;hl=en&amp;as_sdt=2006&amp;scilh=0" TargetMode="External" /><Relationship Type="http://schemas.openxmlformats.org/officeDocument/2006/relationships/hyperlink" Id="rId98" Target="http://scholar.google.com/scholar_case?case=14621372290934958371&amp;q=james+meow&amp;hl=en&amp;as_sdt=6,28&amp;scilh=0" TargetMode="External" /><Relationship Type="http://schemas.openxmlformats.org/officeDocument/2006/relationships/hyperlink" Id="rId46" Target="http://scholar.google.com/scholar_case?case=14778925784015245625&amp;q=brown+entertainment+merchants&amp;hl=en&amp;as_sdt=2006&amp;scilh=0" TargetMode="External" /><Relationship Type="http://schemas.openxmlformats.org/officeDocument/2006/relationships/hyperlink" Id="rId130" Target="http://scholar.google.com/scholar_case?case=14778925784015245625&amp;q=herceg+hustler&amp;hl=en&amp;as_sdt=6,28&amp;scilh=0" TargetMode="External" /><Relationship Type="http://schemas.openxmlformats.org/officeDocument/2006/relationships/hyperlink" Id="rId47" Target="http://scholar.google.com/scholar_case?case=15538842772335942956&amp;q=brown+entertainment+merchants&amp;hl=en&amp;as_sdt=2006&amp;scilh=0" TargetMode="External" /><Relationship Type="http://schemas.openxmlformats.org/officeDocument/2006/relationships/hyperlink" Id="rId117" Target="http://scholar.google.com/scholar_case?case=15538842772335942956&amp;q=herceg+hustler&amp;hl=en&amp;as_sdt=6,28&amp;scilh=0" TargetMode="External" /><Relationship Type="http://schemas.openxmlformats.org/officeDocument/2006/relationships/hyperlink" Id="rId99" Target="http://scholar.google.com/scholar_case?case=15538842772335942956&amp;q=james+meow&amp;hl=en&amp;as_sdt=6,28&amp;scilh=0" TargetMode="External" /><Relationship Type="http://schemas.openxmlformats.org/officeDocument/2006/relationships/hyperlink" Id="rId92" Target="http://scholar.google.com/scholar_case?case=1557224836887427725&amp;q=james+meow&amp;hl=en&amp;as_sdt=6,28&amp;scilh=0" TargetMode="External" /><Relationship Type="http://schemas.openxmlformats.org/officeDocument/2006/relationships/hyperlink" Id="rId40" Target="http://scholar.google.com/scholar_case?case=16314089118204976902&amp;q=brown+entertainment+merchants&amp;hl=en&amp;as_sdt=2006&amp;scilh=0" TargetMode="External" /><Relationship Type="http://schemas.openxmlformats.org/officeDocument/2006/relationships/hyperlink" Id="rId81" Target="http://scholar.google.com/scholar_case?case=16532176860606685190&amp;q=james+meow&amp;hl=en&amp;as_sdt=6,28&amp;scilh=0" TargetMode="External" /><Relationship Type="http://schemas.openxmlformats.org/officeDocument/2006/relationships/hyperlink" Id="rId91" Target="http://scholar.google.com/scholar_case?case=16910959375208847134&amp;q=james+meow&amp;hl=en&amp;as_sdt=6,28&amp;scilh=0" TargetMode="External" /><Relationship Type="http://schemas.openxmlformats.org/officeDocument/2006/relationships/hyperlink" Id="rId38" Target="http://scholar.google.com/scholar_case?case=18016190414381938126&amp;q=brown+entertainment+merchants&amp;hl=en&amp;as_sdt=2006&amp;scilh=0" TargetMode="External" /><Relationship Type="http://schemas.openxmlformats.org/officeDocument/2006/relationships/hyperlink" Id="rId106" Target="http://scholar.google.com/scholar_case?case=218030355871374852&amp;q=james+meow&amp;hl=en&amp;as_sdt=6,28&amp;scilh=0" TargetMode="External" /><Relationship Type="http://schemas.openxmlformats.org/officeDocument/2006/relationships/hyperlink" Id="rId49" Target="http://scholar.google.com/scholar_case?case=287180442152313659&amp;q=brown+entertainment+merchants&amp;hl=en&amp;as_sdt=2006&amp;scilh=0" TargetMode="External" /><Relationship Type="http://schemas.openxmlformats.org/officeDocument/2006/relationships/hyperlink" Id="rId95" Target="http://scholar.google.com/scholar_case?case=287180442152313659&amp;q=james+meow&amp;hl=en&amp;as_sdt=6,28&amp;scilh=0" TargetMode="External" /><Relationship Type="http://schemas.openxmlformats.org/officeDocument/2006/relationships/hyperlink" Id="rId73" Target="http://scholar.google.com/scholar_case?case=2909369074319697416" TargetMode="External" /><Relationship Type="http://schemas.openxmlformats.org/officeDocument/2006/relationships/hyperlink" Id="rId56" Target="http://scholar.google.com/scholar_case?case=3012582275354260465&amp;q=brown+entertainment+merchants&amp;hl=en&amp;as_sdt=2006&amp;scilh=0" TargetMode="External" /><Relationship Type="http://schemas.openxmlformats.org/officeDocument/2006/relationships/hyperlink" Id="rId63" Target="http://scholar.google.com/scholar_case?case=3859249994867287155&amp;q=brown+entertainment+merchants&amp;hl=en&amp;as_sdt=2006&amp;scilh=0" TargetMode="External" /><Relationship Type="http://schemas.openxmlformats.org/officeDocument/2006/relationships/hyperlink" Id="rId103" Target="http://scholar.google.com/scholar_case?case=391927733878660348&amp;q=james+meow&amp;hl=en&amp;as_sdt=6,28&amp;scilh=0" TargetMode="External" /><Relationship Type="http://schemas.openxmlformats.org/officeDocument/2006/relationships/hyperlink" Id="rId101" Target="http://scholar.google.com/scholar_case?case=4016009721484982910&amp;q=james+meow&amp;hl=en&amp;as_sdt=6,28&amp;scilh=0" TargetMode="External" /><Relationship Type="http://schemas.openxmlformats.org/officeDocument/2006/relationships/hyperlink" Id="rId100" Target="http://scholar.google.com/scholar_case?case=4042159652386241321&amp;q=james+meow&amp;hl=en&amp;as_sdt=6,28&amp;scilh=0" TargetMode="External" /><Relationship Type="http://schemas.openxmlformats.org/officeDocument/2006/relationships/hyperlink" Id="rId54" Target="http://scholar.google.com/scholar_case?case=4466224718599454757&amp;q=brown+entertainment+merchants&amp;hl=en&amp;as_sdt=2006&amp;scilh=0" TargetMode="External" /><Relationship Type="http://schemas.openxmlformats.org/officeDocument/2006/relationships/hyperlink" Id="rId102" Target="http://scholar.google.com/scholar_case?case=4786465207502783304&amp;q=james+meow&amp;hl=en&amp;as_sdt=6,28&amp;scilh=0" TargetMode="External" /><Relationship Type="http://schemas.openxmlformats.org/officeDocument/2006/relationships/hyperlink" Id="rId62" Target="http://scholar.google.com/scholar_case?case=5334675097720961353&amp;q=brown+entertainment+merchants&amp;hl=en&amp;as_sdt=2006&amp;scilh=0" TargetMode="External" /><Relationship Type="http://schemas.openxmlformats.org/officeDocument/2006/relationships/hyperlink" Id="rId42" Target="http://scholar.google.com/scholar_case?case=5628256980652867975&amp;q=brown+entertainment+merchants&amp;hl=en&amp;as_sdt=2006&amp;scilh=0" TargetMode="External" /><Relationship Type="http://schemas.openxmlformats.org/officeDocument/2006/relationships/hyperlink" Id="rId134" Target="http://scholar.google.com/scholar_case?case=6013208883755367940&amp;q=herceg+hustler&amp;hl=en&amp;as_sdt=6,28&amp;scilh=0" TargetMode="External" /><Relationship Type="http://schemas.openxmlformats.org/officeDocument/2006/relationships/hyperlink" Id="rId96" Target="http://scholar.google.com/scholar_case?case=6449473028065384946&amp;q=james+meow&amp;hl=en&amp;as_sdt=6,28&amp;scilh=0" TargetMode="External" /><Relationship Type="http://schemas.openxmlformats.org/officeDocument/2006/relationships/hyperlink" Id="rId57" Target="http://scholar.google.com/scholar_case?case=7270078849202844362&amp;q=brown+entertainment+merchants&amp;hl=en&amp;as_sdt=2006&amp;scilh=0" TargetMode="External" /><Relationship Type="http://schemas.openxmlformats.org/officeDocument/2006/relationships/hyperlink" Id="rId123" Target="http://scholar.google.com/scholar_case?case=7271075303659098319&amp;q=herceg+hustler&amp;hl=en&amp;as_sdt=6,28&amp;scilh=0" TargetMode="External" /><Relationship Type="http://schemas.openxmlformats.org/officeDocument/2006/relationships/hyperlink" Id="rId94" Target="http://scholar.google.com/scholar_case?case=7437343063858529835&amp;q=james+meow&amp;hl=en&amp;as_sdt=6,28&amp;scilh=0" TargetMode="External" /><Relationship Type="http://schemas.openxmlformats.org/officeDocument/2006/relationships/hyperlink" Id="rId55" Target="http://scholar.google.com/scholar_case?case=7611920100258061680&amp;q=brown+entertainment+merchants&amp;hl=en&amp;as_sdt=2006&amp;scilh=0" TargetMode="External" /><Relationship Type="http://schemas.openxmlformats.org/officeDocument/2006/relationships/hyperlink" Id="rId114" Target="http://scholar.google.com/scholar_case?case=7844372980201599517" TargetMode="External" /><Relationship Type="http://schemas.openxmlformats.org/officeDocument/2006/relationships/hyperlink" Id="rId104" Target="http://scholar.google.com/scholar_case?case=7844372980201599517&amp;q=james+meow&amp;hl=en&amp;as_sdt=6,28&amp;scilh=0" TargetMode="External" /><Relationship Type="http://schemas.openxmlformats.org/officeDocument/2006/relationships/hyperlink" Id="rId43" Target="http://scholar.google.com/scholar_case?case=8027362013479204062&amp;q=brown+entertainment+merchants&amp;hl=en&amp;as_sdt=2006&amp;scilh=0" TargetMode="External" /><Relationship Type="http://schemas.openxmlformats.org/officeDocument/2006/relationships/hyperlink" Id="rId109" Target="http://scholar.google.com/scholar_case?case=8197049031942033273&amp;q=james+meow&amp;hl=en&amp;as_sdt=6,28&amp;scilh=0" TargetMode="External" /><Relationship Type="http://schemas.openxmlformats.org/officeDocument/2006/relationships/hyperlink" Id="rId133" Target="http://scholar.google.com/scholar_case?case=836093554391354911&amp;q=herceg+hustler&amp;hl=en&amp;as_sdt=6,28&amp;scilh=0" TargetMode="External" /><Relationship Type="http://schemas.openxmlformats.org/officeDocument/2006/relationships/hyperlink" Id="rId82" Target="http://scholar.google.com/scholar_case?case=8378611870130381594&amp;q=james+meow&amp;hl=en&amp;as_sdt=6,28&amp;scilh=0" TargetMode="External" /><Relationship Type="http://schemas.openxmlformats.org/officeDocument/2006/relationships/hyperlink" Id="rId53" Target="http://scholar.google.com/scholar_case?case=8460647428333624773&amp;q=brown+entertainment+merchants&amp;hl=en&amp;as_sdt=2006&amp;scilh=0" TargetMode="External" /><Relationship Type="http://schemas.openxmlformats.org/officeDocument/2006/relationships/hyperlink" Id="rId44" Target="http://scholar.google.com/scholar_case?case=85657697512539256&amp;q=brown+entertainment+merchants&amp;hl=en&amp;as_sdt=2006&amp;scilh=0" TargetMode="External" /><Relationship Type="http://schemas.openxmlformats.org/officeDocument/2006/relationships/hyperlink" Id="rId126" Target="http://scholar.google.com/scholar_case?case=9138451588502129368&amp;q=herceg+hustler&amp;hl=en&amp;as_sdt=6,28&amp;scilh=0" TargetMode="External" /><Relationship Type="http://schemas.openxmlformats.org/officeDocument/2006/relationships/hyperlink" Id="rId127" Target="http://scholar.google.com/scholar_case?case=9738309099999149495&amp;q=herceg+hustler&amp;hl=en&amp;as_sdt=6,28&amp;scilh=0" TargetMode="External" /><Relationship Type="http://schemas.openxmlformats.org/officeDocument/2006/relationships/hyperlink" Id="rId66" Target="http://scholar.google.com/scholar_case?case=975414503455261754&amp;q=brown+entertainment+merchants&amp;hl=en&amp;as_sdt=2006&amp;scilh=0" TargetMode="External" /><Relationship Type="http://schemas.openxmlformats.org/officeDocument/2006/relationships/hyperlink" Id="rId33" Target="http://scholar.google.com/scholar_case?q=brown+entertainment+merchants&amp;hl=en&amp;as_sdt=2006&amp;case=12960598670321445636&amp;scilh=0&amp;authuser=1" TargetMode="External" /><Relationship Type="http://schemas.openxmlformats.org/officeDocument/2006/relationships/hyperlink" Id="rId34" Target="http://scholar_case?about=12960598670321445636" TargetMode="External" /><Relationship Type="http://schemas.openxmlformats.org/officeDocument/2006/relationships/hyperlink" Id="rId24" Target="http://thediscography.org/discoDbDetail.php?req=942" TargetMode="External" /><Relationship Type="http://schemas.openxmlformats.org/officeDocument/2006/relationships/hyperlink" Id="rId148" Target="http://tinyurl.com/ml5vvz8" TargetMode="External" /><Relationship Type="http://schemas.openxmlformats.org/officeDocument/2006/relationships/hyperlink" Id="rId141" Target="http://users.telenet.be/sterf/texts/other/HitMan-Manual_for_Independent_Contractors.pdf" TargetMode="External" /><Relationship Type="http://schemas.openxmlformats.org/officeDocument/2006/relationships/hyperlink" Id="rId30" Target="http://www.esrb.org/index-js.jsp" TargetMode="External" /><Relationship Type="http://schemas.openxmlformats.org/officeDocument/2006/relationships/hyperlink" Id="rId29" Target="http://www.mpaa.org/" TargetMode="External" /><Relationship Type="http://schemas.openxmlformats.org/officeDocument/2006/relationships/hyperlink" Id="rId153" Target="http://www.theatlantic.com/national/archive/2014/09/in-cambridge-md-a-soviet-style-punishment-for-a-novelist/379431/" TargetMode="External" /><Relationship Type="http://schemas.openxmlformats.org/officeDocument/2006/relationships/hyperlink" Id="rId150" Target="http://www.youtube.com/watch?v=UTL3XMDwY0c" TargetMode="External" /><Relationship Type="http://schemas.openxmlformats.org/officeDocument/2006/relationships/hyperlink" Id="rId26"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