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representation"/>
      <w:r>
        <w:t xml:space="preserve">Representation</w:t>
      </w:r>
      <w:bookmarkEnd w:id="22"/>
    </w:p>
    <w:p>
      <w:pPr>
        <w:pStyle w:val="Heading6"/>
      </w:pPr>
      <w:bookmarkStart w:id="23" w:name="talent-representation-regulation"/>
      <w:r>
        <w:t xml:space="preserve">Talent Representation &amp; Regulation</w:t>
      </w:r>
      <w:bookmarkEnd w:id="23"/>
    </w:p>
    <w:p>
      <w:pPr>
        <w:pStyle w:val="Heading3"/>
      </w:pPr>
      <w:bookmarkStart w:id="24" w:name="lawyers"/>
      <w:r>
        <w:t xml:space="preserve">Lawyers</w:t>
      </w:r>
      <w:bookmarkEnd w:id="24"/>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w:t>
      </w:r>
      <w:r>
        <w:t xml:space="preserve">entertainment law</w:t>
      </w:r>
      <w:r>
        <w:t xml:space="preserve">”</w:t>
      </w:r>
      <w:r>
        <w:t xml:space="preserve"> </w:t>
      </w:r>
      <w:r>
        <w:t xml:space="preserve">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 …</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pStyle w:val="Compact"/>
        <w:numPr>
          <w:numId w:val="1001"/>
          <w:ilvl w:val="0"/>
        </w:numPr>
      </w:pPr>
      <w:r>
        <w:t xml:space="preserve">Erica Winter,</w:t>
      </w:r>
      <w:r>
        <w:t xml:space="preserve"> </w:t>
      </w:r>
      <w:hyperlink r:id="rId25">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6">
        <w:r>
          <w:rPr>
            <w:rStyle w:val="Hyperlink"/>
          </w:rPr>
          <w:t xml:space="preserve">How Entertainment Lawyers Work</w:t>
        </w:r>
      </w:hyperlink>
    </w:p>
    <w:p>
      <w:pPr>
        <w:pStyle w:val="FirstParagraph"/>
      </w:pPr>
      <w:r>
        <w:t xml:space="preserve">As in any industry, the lawyer</w:t>
      </w:r>
      <w:r>
        <w:t xml:space="preserve"> </w:t>
      </w:r>
      <w:r>
        <w:t xml:space="preserve">(in this case, the entertainment or publishing or music lawyer)</w:t>
      </w:r>
      <w:r>
        <w:t xml:space="preserve"> </w:t>
      </w:r>
      <w:r>
        <w:t xml:space="preserve">is a kind of</w:t>
      </w:r>
      <w:r>
        <w:t xml:space="preserve"> </w:t>
      </w:r>
      <w:r>
        <w:t xml:space="preserve">“</w:t>
      </w:r>
      <w:r>
        <w:t xml:space="preserve">super fiduciary,</w:t>
      </w:r>
      <w:r>
        <w:t xml:space="preserve">”</w:t>
      </w:r>
      <w:r>
        <w:t xml:space="preserve"> </w:t>
      </w:r>
      <w:r>
        <w:t xml:space="preserve">overseeing problems the talent has with</w:t>
      </w:r>
      <w:r>
        <w:t xml:space="preserve"> </w:t>
      </w:r>
      <w:r>
        <w:t xml:space="preserve">“</w:t>
      </w:r>
      <w:r>
        <w:t xml:space="preserve">regular</w:t>
      </w:r>
      <w:r>
        <w:t xml:space="preserve">”</w:t>
      </w:r>
      <w:r>
        <w:t xml:space="preserve"> </w:t>
      </w:r>
      <w:r>
        <w:t xml:space="preserve">fiduciaries</w:t>
      </w:r>
      <w:r>
        <w:t xml:space="preserve"> </w:t>
      </w:r>
      <w:r>
        <w:t xml:space="preserve">(agents, managers, producers).</w:t>
      </w:r>
      <w:r>
        <w:t xml:space="preserve"> </w:t>
      </w:r>
      <w:r>
        <w:t xml:space="preserve">Publishing lawyers know the book industry</w:t>
      </w:r>
      <w:r>
        <w:t xml:space="preserve"> </w:t>
      </w:r>
      <w:r>
        <w:t xml:space="preserve">and can offer legal and practical advice.</w:t>
      </w:r>
      <w:r>
        <w:t xml:space="preserve"> </w:t>
      </w:r>
      <w:r>
        <w:t xml:space="preserve">Music lawyers know the music business,</w:t>
      </w:r>
      <w:r>
        <w:t xml:space="preserve"> </w:t>
      </w:r>
      <w:r>
        <w:t xml:space="preserve">and nobody explains it better than Donald Passman in</w:t>
      </w:r>
      <w:r>
        <w:t xml:space="preserve"> </w:t>
      </w:r>
      <w:hyperlink r:id="rId27">
        <w:r>
          <w:rPr>
            <w:i/>
            <w:rStyle w:val="Hyperlink"/>
          </w:rPr>
          <w:t xml:space="preserve">All You Need To Know About The Music Business</w:t>
        </w:r>
        <w:r>
          <w:rPr>
            <w:rStyle w:val="Hyperlink"/>
          </w:rPr>
          <w:t xml:space="preserve"> </w:t>
        </w:r>
        <w:r>
          <w:rPr>
            <w:rStyle w:val="Hyperlink"/>
          </w:rPr>
          <w:t xml:space="preserve">(10th ed. 2019)</w:t>
        </w:r>
      </w:hyperlink>
      <w:r>
        <w:t xml:space="preserve">. The music business has its own representation wrinkles, because managers act more like talent agents in the music business, and Passman explains the difference well.</w:t>
      </w:r>
    </w:p>
    <w:p>
      <w:pPr>
        <w:pStyle w:val="BodyText"/>
      </w:pPr>
      <w:r>
        <w:t xml:space="preserve">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r>
        <w:t xml:space="preserve"> </w:t>
      </w:r>
      <w:r>
        <w:t xml:space="preserve">For example,</w:t>
      </w:r>
      <w:r>
        <w:t xml:space="preserve"> </w:t>
      </w:r>
      <w:r>
        <w:t xml:space="preserve">the Hollywood talent agent who sells film rights</w:t>
      </w:r>
      <w:r>
        <w:t xml:space="preserve"> </w:t>
      </w:r>
      <w:r>
        <w:t xml:space="preserve">to the author’s novel usually will go for top dollar, of course,</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p>
      <w:pPr>
        <w:pStyle w:val="Heading3"/>
      </w:pPr>
      <w:bookmarkStart w:id="28" w:name="literary-agents"/>
      <w:r>
        <w:t xml:space="preserve">Literary Agents</w:t>
      </w:r>
      <w:bookmarkEnd w:id="28"/>
    </w:p>
    <w:p>
      <w:pPr>
        <w:pStyle w:val="FirstParagraph"/>
      </w:pPr>
      <w:r>
        <w:t xml:space="preserve">In the publishing world,</w:t>
      </w:r>
      <w:r>
        <w:t xml:space="preserve"> </w:t>
      </w:r>
      <w:r>
        <w:t xml:space="preserve">an author with a great agent often doesn’t need a lawyer.</w:t>
      </w:r>
      <w:r>
        <w:t xml:space="preserve"> </w:t>
      </w:r>
      <w:r>
        <w:t xml:space="preserve">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Literary agents want to represent hard-working professional authors</w:t>
      </w:r>
      <w:r>
        <w:t xml:space="preserve"> </w:t>
      </w:r>
      <w:r>
        <w:t xml:space="preserve">who dependably turn out good prose,</w:t>
      </w:r>
      <w:r>
        <w:t xml:space="preserve"> </w:t>
      </w:r>
      <w:r>
        <w:t xml:space="preserve">not daydreamers who think they might have an idea for a book someday.</w:t>
      </w:r>
      <w:r>
        <w:t xml:space="preserve"> </w:t>
      </w:r>
      <w:r>
        <w:t xml:space="preserve">Often an unpublished author with a manuscript to sell</w:t>
      </w:r>
      <w:r>
        <w:t xml:space="preserve"> </w:t>
      </w:r>
      <w:r>
        <w:t xml:space="preserve">needs help answering the eternal question: How Do I Get An Agent?</w:t>
      </w:r>
      <w:r>
        <w:t xml:space="preserve"> </w:t>
      </w:r>
      <w:r>
        <w:t xml:space="preserve">First rule: Nobody phones a literary agent.</w:t>
      </w:r>
      <w:r>
        <w:t xml:space="preserve"> </w:t>
      </w:r>
      <w:r>
        <w:t xml:space="preserve">The would-be author approaches via a query letter,</w:t>
      </w:r>
      <w:r>
        <w:t xml:space="preserve"> </w:t>
      </w:r>
      <w:r>
        <w:t xml:space="preserve">these days usually submitted via email.</w:t>
      </w:r>
    </w:p>
    <w:p>
      <w:pPr>
        <w:pStyle w:val="BodyText"/>
      </w:pPr>
      <w:r>
        <w:t xml:space="preserve">Publishing industry blogger</w:t>
      </w:r>
      <w:r>
        <w:t xml:space="preserve"> </w:t>
      </w:r>
      <w:hyperlink r:id="rId29">
        <w:r>
          <w:rPr>
            <w:rStyle w:val="Hyperlink"/>
          </w:rPr>
          <w:t xml:space="preserve">Jane Friedman</w:t>
        </w:r>
      </w:hyperlink>
      <w:r>
        <w:t xml:space="preserve"> </w:t>
      </w:r>
      <w:r>
        <w:t xml:space="preserve">is great on these practical matters,</w:t>
      </w:r>
      <w:r>
        <w:t xml:space="preserve"> </w:t>
      </w:r>
      <w:r>
        <w:t xml:space="preserve">with good posts on</w:t>
      </w:r>
      <w:r>
        <w:t xml:space="preserve"> </w:t>
      </w:r>
      <w:hyperlink r:id="rId30">
        <w:r>
          <w:rPr>
            <w:rStyle w:val="Hyperlink"/>
          </w:rPr>
          <w:t xml:space="preserve">finding a literary agent</w:t>
        </w:r>
      </w:hyperlink>
      <w:r>
        <w:t xml:space="preserve"> </w:t>
      </w:r>
      <w:r>
        <w:t xml:space="preserve">and writing</w:t>
      </w:r>
      <w:r>
        <w:t xml:space="preserve"> </w:t>
      </w:r>
      <w:hyperlink r:id="rId31">
        <w:r>
          <w:rPr>
            <w:rStyle w:val="Hyperlink"/>
          </w:rPr>
          <w:t xml:space="preserve">query letters</w:t>
        </w:r>
      </w:hyperlink>
      <w:r>
        <w:t xml:space="preserve">.</w:t>
      </w:r>
      <w:r>
        <w:t xml:space="preserve"> </w:t>
      </w:r>
      <w:r>
        <w:t xml:space="preserve">Also take a peek at</w:t>
      </w:r>
      <w:r>
        <w:t xml:space="preserve"> </w:t>
      </w:r>
      <w:hyperlink r:id="rId32">
        <w:r>
          <w:rPr>
            <w:rStyle w:val="Hyperlink"/>
          </w:rPr>
          <w:t xml:space="preserve">How to Research Literary Agents and Book Publishers</w:t>
        </w:r>
      </w:hyperlink>
      <w:r>
        <w:t xml:space="preserve">.</w:t>
      </w:r>
      <w:r>
        <w:t xml:space="preserve"> </w:t>
      </w:r>
      <w:r>
        <w:t xml:space="preserve">Industry folk follow</w:t>
      </w:r>
      <w:r>
        <w:t xml:space="preserve"> </w:t>
      </w:r>
      <w:hyperlink r:id="rId33">
        <w:r>
          <w:rPr>
            <w:i/>
            <w:rStyle w:val="Hyperlink"/>
          </w:rPr>
          <w:t xml:space="preserve">Publishers Weekly</w:t>
        </w:r>
      </w:hyperlink>
      <w:r>
        <w:t xml:space="preserve"> </w:t>
      </w:r>
      <w:r>
        <w:t xml:space="preserve">and</w:t>
      </w:r>
      <w:r>
        <w:t xml:space="preserve"> </w:t>
      </w:r>
      <w:hyperlink r:id="rId34">
        <w:r>
          <w:rPr>
            <w:rStyle w:val="Hyperlink"/>
          </w:rPr>
          <w:t xml:space="preserve">Publishers Marketplace</w:t>
        </w:r>
      </w:hyperlink>
      <w:r>
        <w:t xml:space="preserve"> </w:t>
      </w:r>
      <w:r>
        <w:t xml:space="preserve">for what</w:t>
      </w:r>
      <w:r>
        <w:t xml:space="preserve"> </w:t>
      </w:r>
      <w:hyperlink r:id="rId35">
        <w:r>
          <w:rPr>
            <w:rStyle w:val="Hyperlink"/>
          </w:rPr>
          <w:t xml:space="preserve">rights</w:t>
        </w:r>
      </w:hyperlink>
      <w:r>
        <w:t xml:space="preserve"> </w:t>
      </w:r>
      <w:r>
        <w:t xml:space="preserve">sold and to whom.</w:t>
      </w:r>
    </w:p>
    <w:p>
      <w:pPr>
        <w:pStyle w:val="BodyText"/>
      </w:pPr>
      <w:r>
        <w:t xml:space="preserve">It’s a happy day when an agent calls with the good news:</w:t>
      </w:r>
      <w:r>
        <w:t xml:space="preserve"> </w:t>
      </w:r>
      <w:r>
        <w:t xml:space="preserve">She’d love to represent the author.</w:t>
      </w:r>
      <w:r>
        <w:t xml:space="preserve"> </w:t>
      </w:r>
      <w:r>
        <w:t xml:space="preserve">After rejoicing together over their engagement,</w:t>
      </w:r>
      <w:r>
        <w:t xml:space="preserve"> </w:t>
      </w:r>
      <w:r>
        <w:t xml:space="preserve">now comes a prenuptial contract in the form of an agency agreement.</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Unlike New York and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literary agents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36">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r>
        <w:t xml:space="preserve"> </w:t>
      </w: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 below),</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w:t>
      </w:r>
      <w:r>
        <w:t xml:space="preserve"> </w:t>
      </w:r>
      <w:hyperlink r:id="rId37">
        <w:r>
          <w:rPr>
            <w:rStyle w:val="Hyperlink"/>
          </w:rPr>
          <w:t xml:space="preserve">negotiate and edit these contracts</w:t>
        </w:r>
      </w:hyperlink>
      <w:r>
        <w:t xml:space="preserve">.</w:t>
      </w:r>
    </w:p>
    <w:p>
      <w:pPr>
        <w:pStyle w:val="Heading3"/>
      </w:pPr>
      <w:bookmarkStart w:id="38" w:name="literary-agents-and-lawyers"/>
      <w:r>
        <w:t xml:space="preserve">Literary Agents and Lawyers</w:t>
      </w:r>
      <w:bookmarkEnd w:id="38"/>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literary agent</w:t>
      </w:r>
      <w:r>
        <w:t xml:space="preserve"> </w:t>
      </w:r>
      <w:r>
        <w:t xml:space="preserve">may publish several books and never need a lawyer.</w:t>
      </w:r>
      <w:r>
        <w:t xml:space="preserve"> </w:t>
      </w:r>
      <w:r>
        <w:t xml:space="preserve">But when an author</w:t>
      </w:r>
      <w:r>
        <w:t xml:space="preserve"> </w:t>
      </w:r>
      <w:r>
        <w:t xml:space="preserve">“</w:t>
      </w:r>
      <w:r>
        <w:t xml:space="preserve">travels,</w:t>
      </w:r>
      <w:r>
        <w:t xml:space="preserve">”</w:t>
      </w:r>
      <w:r>
        <w:t xml:space="preserve"> </w:t>
      </w:r>
      <w:r>
        <w:t xml:space="preserve">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to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p>
      <w:pPr>
        <w:pStyle w:val="Heading4"/>
      </w:pPr>
      <w:bookmarkStart w:id="39" w:name="the-interminable-agency-clause"/>
      <w:r>
        <w:t xml:space="preserve">The Interminable Agency Clause</w:t>
      </w:r>
      <w:bookmarkEnd w:id="39"/>
    </w:p>
    <w:p>
      <w:pPr>
        <w:pStyle w:val="FirstParagraph"/>
      </w:pPr>
      <w:r>
        <w:t xml:space="preserve">An interminable agency clause purports to give literary agents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pStyle w:val="Compact"/>
        <w:numPr>
          <w:numId w:val="1002"/>
          <w:ilvl w:val="0"/>
        </w:numPr>
      </w:pPr>
      <w:hyperlink r:id="rId40">
        <w:r>
          <w:rPr>
            <w:rStyle w:val="Hyperlink"/>
          </w:rPr>
          <w:t xml:space="preserve">Description of clause</w:t>
        </w:r>
      </w:hyperlink>
      <w:r>
        <w:t xml:space="preserve">.</w:t>
      </w:r>
    </w:p>
    <w:p>
      <w:pPr>
        <w:pStyle w:val="Heading6"/>
      </w:pPr>
      <w:bookmarkStart w:id="41" w:name="section"/>
      <w:bookmarkEnd w:id="41"/>
    </w:p>
    <w:p>
      <w:pPr>
        <w:pStyle w:val="Heading2"/>
      </w:pPr>
      <w:bookmarkStart w:id="42" w:name="X62e60b9e474f4b5b1cf7647975ff79f9811df3d"/>
      <w:r>
        <w:rPr>
          <w:i/>
        </w:rPr>
        <w:t xml:space="preserve">Peter Lampack Agency, Inc. v. Martha Grimes</w:t>
      </w:r>
      <w:bookmarkEnd w:id="42"/>
    </w:p>
    <w:p>
      <w:pPr>
        <w:pStyle w:val="Heading6"/>
      </w:pPr>
      <w:bookmarkStart w:id="43" w:name="superior-court-new-york-2010"/>
      <w:r>
        <w:t xml:space="preserve">Superior Court New York (2010)</w:t>
      </w:r>
      <w:bookmarkEnd w:id="43"/>
    </w:p>
    <w:p>
      <w:pPr>
        <w:pStyle w:val="Compact"/>
        <w:numPr>
          <w:numId w:val="1003"/>
          <w:ilvl w:val="0"/>
        </w:numPr>
      </w:pPr>
      <w:hyperlink r:id="rId44">
        <w:r>
          <w:rPr>
            <w:rStyle w:val="Hyperlink"/>
          </w:rPr>
          <w:t xml:space="preserve">case on Google Scholar</w:t>
        </w:r>
      </w:hyperlink>
    </w:p>
    <w:p>
      <w:pPr>
        <w:pStyle w:val="Compact"/>
        <w:numPr>
          <w:numId w:val="1003"/>
          <w:ilvl w:val="0"/>
        </w:numPr>
      </w:pPr>
      <w:hyperlink r:id="rId45">
        <w:r>
          <w:rPr>
            <w:rStyle w:val="Hyperlink"/>
          </w:rPr>
          <w:t xml:space="preserve">case on Westlaw</w:t>
        </w:r>
      </w:hyperlink>
    </w:p>
    <w:p>
      <w:pPr>
        <w:pStyle w:val="FirstParagraph"/>
      </w:pPr>
      <w:r>
        <w:t xml:space="preserve">BERNARD J. FRIED, J.</w:t>
      </w:r>
    </w:p>
    <w:p>
      <w:pPr>
        <w:pStyle w:val="BodyText"/>
      </w:pPr>
      <w:r>
        <w:t xml:space="preserve">This case involves the Peter Lampack Agency, Inc. (</w:t>
      </w:r>
      <w:r>
        <w:t xml:space="preserve">“</w:t>
      </w:r>
      <w:r>
        <w:t xml:space="preserve">PLA</w:t>
      </w:r>
      <w:r>
        <w:t xml:space="preserve">”</w:t>
      </w:r>
      <w:r>
        <w:t xml:space="preserve">),</w:t>
      </w:r>
      <w:r>
        <w:t xml:space="preserve"> </w:t>
      </w:r>
      <w:r>
        <w:t xml:space="preserve">and Martha Grimes (</w:t>
      </w:r>
      <w:r>
        <w:t xml:space="preserve">“</w:t>
      </w:r>
      <w:r>
        <w:t xml:space="preserve">Grimes</w:t>
      </w:r>
      <w:r>
        <w:t xml:space="preserve">”</w:t>
      </w:r>
      <w:r>
        <w:t xml:space="preserve">),</w:t>
      </w:r>
      <w:r>
        <w:t xml:space="preserve"> </w:t>
      </w:r>
      <w:r>
        <w:t xml:space="preserve">and various corporate affiliates of the Penguin Group (USA) Inc. (</w:t>
      </w:r>
      <w:r>
        <w:t xml:space="preserve">“</w:t>
      </w:r>
      <w:r>
        <w:t xml:space="preserve">Penguin</w:t>
      </w:r>
      <w:r>
        <w:t xml:space="preserve">”</w:t>
      </w:r>
      <w:r>
        <w:t xml:space="preserve">).</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w:t>
      </w:r>
      <w:r>
        <w:t xml:space="preserve">“</w:t>
      </w:r>
      <w:r>
        <w:t xml:space="preserve">2005 Penguin/Viking-Penguin Agreement</w:t>
      </w:r>
      <w:r>
        <w:t xml:space="preserve">”</w:t>
      </w:r>
      <w:r>
        <w:t xml:space="preserve">).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w:t>
      </w:r>
      <w:r>
        <w:t xml:space="preserve"> </w:t>
      </w:r>
      <w:r>
        <w:t xml:space="preserve">“</w:t>
      </w:r>
      <w:r>
        <w:t xml:space="preserve">The Black Cat.</w:t>
      </w:r>
      <w:r>
        <w:t xml:space="preserve">”</w:t>
      </w:r>
      <w:r>
        <w:t xml:space="preserve"> </w:t>
      </w:r>
      <w:r>
        <w:t xml:space="preserve">On February 27, 2009, Penguin made an oral proposal to Grimes’ counsel</w:t>
      </w:r>
      <w:r>
        <w:t xml:space="preserve"> </w:t>
      </w:r>
      <w:r>
        <w:t xml:space="preserve">and the agreement for</w:t>
      </w:r>
      <w:r>
        <w:t xml:space="preserve"> </w:t>
      </w:r>
      <w:r>
        <w:t xml:space="preserve">“</w:t>
      </w:r>
      <w:r>
        <w:t xml:space="preserve">The Black Cat</w:t>
      </w:r>
      <w:r>
        <w:t xml:space="preserve">”</w:t>
      </w:r>
      <w:r>
        <w:t xml:space="preserve"> </w:t>
      </w:r>
      <w:r>
        <w:t xml:space="preserve">was finalized on August 20, 2009.</w:t>
      </w:r>
      <w:r>
        <w:t xml:space="preserve"> </w:t>
      </w:r>
      <w:r>
        <w:t xml:space="preserve">PLA alleges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w:t>
      </w:r>
      <w:r>
        <w:t xml:space="preserve"> </w:t>
      </w:r>
      <w:r>
        <w:t xml:space="preserve">“</w:t>
      </w:r>
      <w:r>
        <w:t xml:space="preserve">The Black Cat.</w:t>
      </w:r>
      <w:r>
        <w:t xml:space="preserve">”</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w:t>
      </w:r>
    </w:p>
    <w:p>
      <w:pPr>
        <w:pStyle w:val="BodyText"/>
      </w:pPr>
      <w:r>
        <w:t xml:space="preserve">The issues presented in this motion are whether PLA has sufficiently</w:t>
      </w:r>
      <w:r>
        <w:t xml:space="preserve"> </w:t>
      </w:r>
      <w:r>
        <w:t xml:space="preserve">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46" w:name="i.-first-cause-of-action"/>
      <w:r>
        <w:rPr>
          <w:i/>
        </w:rPr>
        <w:t xml:space="preserve">I. First Cause of Action</w:t>
      </w:r>
      <w:bookmarkEnd w:id="46"/>
    </w:p>
    <w:p>
      <w:pPr>
        <w:pStyle w:val="FirstParagraph"/>
      </w:pPr>
      <w:r>
        <w:t xml:space="preserve">In the first cause of action,</w:t>
      </w:r>
      <w:r>
        <w:t xml:space="preserve"> </w:t>
      </w:r>
      <w:r>
        <w:t xml:space="preserve">PLA alleges that the publishing agreement</w:t>
      </w:r>
      <w:r>
        <w:t xml:space="preserve"> </w:t>
      </w:r>
      <w:r>
        <w:t xml:space="preserve">for Grimes’ book</w:t>
      </w:r>
      <w:r>
        <w:t xml:space="preserve"> </w:t>
      </w:r>
      <w:r>
        <w:t xml:space="preserve">“</w:t>
      </w:r>
      <w:r>
        <w:t xml:space="preserve">The Black Cat</w:t>
      </w:r>
      <w:r>
        <w:t xml:space="preserve">”</w:t>
      </w:r>
      <w:r>
        <w:t xml:space="preserve"> </w:t>
      </w:r>
      <w:r>
        <w:t xml:space="preserve">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w:t>
      </w:r>
      <w:r>
        <w:t xml:space="preserve"> </w:t>
      </w:r>
      <w:r>
        <w:t xml:space="preserve">“</w:t>
      </w:r>
      <w:r>
        <w:t xml:space="preserve">The Black Cat.</w:t>
      </w:r>
      <w:r>
        <w:t xml:space="preserve">”</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5"/>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w:t>
      </w:r>
      <w:r>
        <w:t xml:space="preserve"> </w:t>
      </w:r>
      <w:r>
        <w:t xml:space="preserve">“</w:t>
      </w:r>
      <w:r>
        <w:t xml:space="preserve">The Black Cat.</w:t>
      </w:r>
      <w:r>
        <w:t xml:space="preserve">”</w:t>
      </w:r>
      <w:r>
        <w:t xml:space="preserve"> </w:t>
      </w:r>
      <w:r>
        <w:t xml:space="preserve">Grimes argues</w:t>
      </w:r>
      <w:r>
        <w:t xml:space="preserve"> </w:t>
      </w:r>
      <w:r>
        <w:t xml:space="preserve">that the terms of the 2005 Penguin/Viking-Penguin Agreement</w:t>
      </w:r>
      <w:r>
        <w:t xml:space="preserve"> </w:t>
      </w:r>
      <w:r>
        <w:t xml:space="preserve">do not entitle PLA to commission for</w:t>
      </w:r>
      <w:r>
        <w:t xml:space="preserve"> </w:t>
      </w:r>
      <w:r>
        <w:t xml:space="preserve">“</w:t>
      </w:r>
      <w:r>
        <w:t xml:space="preserve">The Black Cat</w:t>
      </w:r>
      <w:r>
        <w:t xml:space="preserve">”</w:t>
      </w:r>
      <w:r>
        <w:t xml:space="preserve"> </w:t>
      </w:r>
      <w:r>
        <w:t xml:space="preserve">because PLA’s agency was not coupled with an interest</w:t>
      </w:r>
      <w:r>
        <w:t xml:space="preserve"> </w:t>
      </w:r>
      <w:r>
        <w:t xml:space="preserve">and it was revoked before negotiations</w:t>
      </w:r>
      <w:r>
        <w:t xml:space="preserve"> </w:t>
      </w:r>
      <w:r>
        <w:t xml:space="preserve">for the</w:t>
      </w:r>
      <w:r>
        <w:t xml:space="preserve"> </w:t>
      </w:r>
      <w:r>
        <w:t xml:space="preserve">“</w:t>
      </w:r>
      <w:r>
        <w:t xml:space="preserve">The Black Cat</w:t>
      </w:r>
      <w:r>
        <w:t xml:space="preserve">”</w:t>
      </w:r>
      <w:r>
        <w:t xml:space="preserve"> </w:t>
      </w:r>
      <w:r>
        <w:t xml:space="preserve">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 Such</w:t>
      </w:r>
      <w:r>
        <w:t xml:space="preserve"> </w:t>
      </w:r>
      <w:r>
        <w:t xml:space="preserve">Agent is hereby fully empowered to act on behalf of the Author in all</w:t>
      </w:r>
      <w:r>
        <w:t xml:space="preserve"> </w:t>
      </w:r>
      <w:r>
        <w:t xml:space="preserve">matters in any way arising out of this Agreement.…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 However, when an agency authority is coupled with an interest,</w:t>
      </w:r>
      <w:r>
        <w:t xml:space="preserve"> </w:t>
      </w:r>
      <w:r>
        <w:t xml:space="preserve">the agency is irrevocable.…</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is not</w:t>
      </w:r>
      <w:r>
        <w:t xml:space="preserve"> </w:t>
      </w:r>
      <w:r>
        <w:t xml:space="preserve">enough to create an agency coupled with an interest.…</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w:t>
      </w:r>
      <w:r>
        <w:t xml:space="preserve"> </w:t>
      </w:r>
      <w:r>
        <w:t xml:space="preserve">“</w:t>
      </w:r>
      <w:r>
        <w:t xml:space="preserve">The Black Cat</w:t>
      </w:r>
      <w:r>
        <w:t xml:space="preserve">”</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p>
      <w:pPr>
        <w:pStyle w:val="Heading3"/>
      </w:pPr>
      <w:bookmarkStart w:id="47" w:name="X824ef3fa14f7342bb86fe1e74ee6026683a4ab0"/>
      <w:r>
        <w:rPr>
          <w:i/>
        </w:rPr>
        <w:t xml:space="preserve">II. Second Through Seventh Causes of Action</w:t>
      </w:r>
      <w:bookmarkEnd w:id="47"/>
    </w:p>
    <w:p>
      <w:pPr>
        <w:pStyle w:val="FirstParagraph"/>
      </w:pPr>
      <w:r>
        <w:t xml:space="preserve">The second through seventh causes of action allege breach of contract</w:t>
      </w:r>
      <w:r>
        <w:t xml:space="preserve"> </w:t>
      </w:r>
      <w:r>
        <w:t xml:space="preserve">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w:t>
      </w:r>
      <w:r>
        <w:t xml:space="preserve"> </w:t>
      </w:r>
      <w:r>
        <w:t xml:space="preserve">“</w:t>
      </w:r>
      <w:r>
        <w:t xml:space="preserve">extensions</w:t>
      </w:r>
      <w:r>
        <w:t xml:space="preserve">”</w:t>
      </w:r>
      <w:r>
        <w:t xml:space="preserve"> </w:t>
      </w:r>
      <w:r>
        <w:t xml:space="preserve">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w:t>
      </w:r>
    </w:p>
    <w:p>
      <w:pPr>
        <w:pStyle w:val="BodyText"/>
      </w:pPr>
      <w:r>
        <w:t xml:space="preserve">Accordingly, it is hereby ORDERED</w:t>
      </w:r>
      <w:r>
        <w:t xml:space="preserve"> </w:t>
      </w:r>
      <w:r>
        <w:t xml:space="preserve">that the motion to dismiss the first, second through seventh …</w:t>
      </w:r>
      <w:r>
        <w:t xml:space="preserve"> </w:t>
      </w:r>
      <w:r>
        <w:t xml:space="preserve">causes of action is granted; and it is further</w:t>
      </w:r>
    </w:p>
    <w:p>
      <w:pPr>
        <w:pStyle w:val="Heading3"/>
      </w:pPr>
      <w:bookmarkStart w:id="48" w:name="Xa47c287e94b4b0f6888fcf1f08d6244a22b7dac"/>
      <w:r>
        <w:t xml:space="preserve">Notes on</w:t>
      </w:r>
      <w:r>
        <w:t xml:space="preserve"> </w:t>
      </w:r>
      <w:r>
        <w:rPr>
          <w:i/>
        </w:rPr>
        <w:t xml:space="preserve">Peter Lampack Agency, Inc. v. Grimes</w:t>
      </w:r>
      <w:bookmarkEnd w:id="48"/>
    </w:p>
    <w:p>
      <w:pPr>
        <w:pStyle w:val="FirstParagraph"/>
      </w:pPr>
      <w:r>
        <w:t xml:space="preserve">The Peter Lampack Agency (PLA, a literary agency) sued Martha Grimes, an author of literary and commercial fiction, for unpaid commissions allegedly due and owing under contracts negotiated by PLA on behalf of Grimes.</w:t>
      </w:r>
    </w:p>
    <w:p>
      <w:pPr>
        <w:pStyle w:val="BodyText"/>
      </w:pPr>
      <w:r>
        <w:t xml:space="preserve">PLA had acted as literary agent for Grimes for twelve years and had procured publishing agreements for works authored by Grimes. 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w:t>
      </w:r>
      <w:r>
        <w:t xml:space="preserve"> </w:t>
      </w:r>
      <w:r>
        <w:t xml:space="preserve">“</w:t>
      </w:r>
      <w:r>
        <w:t xml:space="preserve">first look</w:t>
      </w:r>
      <w:r>
        <w:t xml:space="preserve">”</w:t>
      </w:r>
      <w:r>
        <w:t xml:space="preserve"> </w:t>
      </w:r>
      <w:r>
        <w:t xml:space="preserve">at the author’s next work:</w:t>
      </w:r>
    </w:p>
    <w:p>
      <w:pPr>
        <w:pStyle w:val="BlockText"/>
      </w:pPr>
      <w:r>
        <w:t xml:space="preserve">[T]he Author hereby grants to the Publisher the exclusive right and option to publish … her next book-length work of fiction.…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w:t>
      </w:r>
      <w:r>
        <w:t xml:space="preserve"> </w:t>
      </w:r>
      <w:r>
        <w:t xml:space="preserve">“</w:t>
      </w:r>
      <w:r>
        <w:t xml:space="preserve">The Black Cat.</w:t>
      </w:r>
      <w:r>
        <w:t xml:space="preserve">”</w:t>
      </w:r>
    </w:p>
    <w:p>
      <w:pPr>
        <w:pStyle w:val="BodyText"/>
      </w:pPr>
      <w:r>
        <w:t xml:space="preserve">On February 27, 2009, Penguin made an oral proposal to Grimes’ counsel and the agreement for</w:t>
      </w:r>
      <w:r>
        <w:t xml:space="preserve"> </w:t>
      </w:r>
      <w:r>
        <w:t xml:space="preserve">“</w:t>
      </w:r>
      <w:r>
        <w:t xml:space="preserve">The Black Cat</w:t>
      </w:r>
      <w:r>
        <w:t xml:space="preserve">”</w:t>
      </w:r>
      <w:r>
        <w:t xml:space="preserve"> </w:t>
      </w:r>
      <w:r>
        <w:t xml:space="preserve">was finalized on August 20, 2009.</w:t>
      </w:r>
    </w:p>
    <w:p>
      <w:pPr>
        <w:pStyle w:val="BodyText"/>
      </w:pPr>
      <w:r>
        <w:t xml:space="preserve">On November 18, 2009, PLA filed a complaint against Grimes and her publishers alleging breach of contract among other claims. PLA alleged that the publishing agreement for</w:t>
      </w:r>
      <w:r>
        <w:t xml:space="preserve"> </w:t>
      </w:r>
      <w:r>
        <w:t xml:space="preserve">“</w:t>
      </w:r>
      <w:r>
        <w:t xml:space="preserve">The Black Cat</w:t>
      </w:r>
      <w:r>
        <w:t xml:space="preserve">”</w:t>
      </w:r>
      <w:r>
        <w:t xml:space="preserve"> </w:t>
      </w:r>
      <w:r>
        <w:t xml:space="preserve">arose out of the Option on Next Work clause and that Grimes violated the terms of the 2005 Penguin/Viking-Penguin Agreement by refusing to account to PLA and refusing to pay PLA the sums due for</w:t>
      </w:r>
      <w:r>
        <w:t xml:space="preserve"> </w:t>
      </w:r>
      <w:r>
        <w:t xml:space="preserve">“</w:t>
      </w:r>
      <w:r>
        <w:t xml:space="preserve">The Black Cat.</w:t>
      </w:r>
      <w:r>
        <w:t xml:space="preserve">”</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7"/>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w:t>
      </w:r>
      <w:r>
        <w:t xml:space="preserve"> </w:t>
      </w:r>
      <w:r>
        <w:t xml:space="preserve">“</w:t>
      </w:r>
      <w:r>
        <w:t xml:space="preserve">The Black Cat</w:t>
      </w:r>
      <w:r>
        <w:t xml:space="preserve">”</w:t>
      </w:r>
      <w:r>
        <w:t xml:space="preserve"> </w:t>
      </w:r>
      <w:r>
        <w:t xml:space="preserve">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w:t>
      </w:r>
      <w:r>
        <w:t xml:space="preserve"> </w:t>
      </w:r>
      <w:r>
        <w:t xml:space="preserve">“</w:t>
      </w:r>
      <w:r>
        <w:t xml:space="preserve">agency with an interest,</w:t>
      </w:r>
      <w:r>
        <w:t xml:space="preserve">”</w:t>
      </w:r>
      <w:r>
        <w:t xml:space="preserve"> </w:t>
      </w:r>
      <w:r>
        <w:t xml:space="preserve">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49">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50">
        <w:r>
          <w:rPr>
            <w:rStyle w:val="Hyperlink"/>
          </w:rPr>
          <w:t xml:space="preserve">Court of Appeals: Peter Lampack Agency v. Martha Grimes,</w:t>
        </w:r>
      </w:hyperlink>
      <w:r>
        <w:t xml:space="preserve"> </w:t>
      </w:r>
      <w:r>
        <w:t xml:space="preserve">93 A.D.3d 430 (NY.Ct. App. 2012).</w:t>
      </w:r>
    </w:p>
    <w:p>
      <w:pPr>
        <w:pStyle w:val="Heading6"/>
      </w:pPr>
      <w:bookmarkStart w:id="51" w:name="section-1"/>
      <w:bookmarkEnd w:id="51"/>
    </w:p>
    <w:p>
      <w:pPr>
        <w:pStyle w:val="Heading2"/>
      </w:pPr>
      <w:bookmarkStart w:id="52" w:name="hollywood-representation"/>
      <w:r>
        <w:t xml:space="preserve">Hollywood Representation</w:t>
      </w:r>
      <w:bookmarkEnd w:id="52"/>
    </w:p>
    <w:p>
      <w:pPr>
        <w:pStyle w:val="FirstParagraph"/>
      </w:pPr>
      <w:r>
        <w:t xml:space="preserve">Usually involves one or more of the following:</w:t>
      </w:r>
    </w:p>
    <w:p>
      <w:pPr>
        <w:pStyle w:val="Compact"/>
        <w:numPr>
          <w:numId w:val="1009"/>
          <w:ilvl w:val="0"/>
        </w:numPr>
      </w:pPr>
      <w:r>
        <w:t xml:space="preserve">Talent Agent</w:t>
      </w:r>
    </w:p>
    <w:p>
      <w:pPr>
        <w:pStyle w:val="Compact"/>
        <w:numPr>
          <w:numId w:val="1009"/>
          <w:ilvl w:val="0"/>
        </w:numPr>
      </w:pPr>
      <w:r>
        <w:t xml:space="preserve">Personal Manager</w:t>
      </w:r>
    </w:p>
    <w:p>
      <w:pPr>
        <w:pStyle w:val="Compact"/>
        <w:numPr>
          <w:numId w:val="1009"/>
          <w:ilvl w:val="0"/>
        </w:numPr>
      </w:pPr>
      <w:r>
        <w:t xml:space="preserve">Business Manager</w:t>
      </w:r>
    </w:p>
    <w:p>
      <w:pPr>
        <w:pStyle w:val="Compact"/>
        <w:numPr>
          <w:numId w:val="1009"/>
          <w:ilvl w:val="0"/>
        </w:numPr>
      </w:pPr>
      <w:r>
        <w:t xml:space="preserve">Entertainment Lawyer</w:t>
      </w:r>
    </w:p>
    <w:p>
      <w:pPr>
        <w:pStyle w:val="Compact"/>
        <w:numPr>
          <w:numId w:val="1009"/>
          <w:ilvl w:val="0"/>
        </w:numPr>
      </w:pPr>
      <w:r>
        <w:t xml:space="preserve">The Talent Guild or Union</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w:t>
      </w:r>
      <w:r>
        <w:t xml:space="preserve"> </w:t>
      </w:r>
      <w:r>
        <w:t xml:space="preserve">“</w:t>
      </w:r>
      <w:r>
        <w:t xml:space="preserve">find</w:t>
      </w:r>
      <w:r>
        <w:t xml:space="preserve">”</w:t>
      </w:r>
      <w:r>
        <w:t xml:space="preserve"> </w:t>
      </w:r>
      <w:r>
        <w:t xml:space="preserve">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p>
      <w:pPr>
        <w:pStyle w:val="Heading3"/>
      </w:pPr>
      <w:bookmarkStart w:id="53" w:name="talent-agents"/>
      <w:r>
        <w:t xml:space="preserve">Talent Agents</w:t>
      </w:r>
      <w:bookmarkEnd w:id="53"/>
    </w:p>
    <w:p>
      <w:pPr>
        <w:pStyle w:val="FirstParagraph"/>
      </w:pPr>
      <w:r>
        <w:t xml:space="preserve">Like New York literary agents, talent agents want to represent clients who are hard-working professionals,</w:t>
      </w:r>
      <w:r>
        <w:t xml:space="preserve"> </w:t>
      </w:r>
      <w:r>
        <w:t xml:space="preserve">as well as being talented artists.</w:t>
      </w:r>
      <w:r>
        <w:t xml:space="preserve"> </w:t>
      </w: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If the talent (actor, writer, director) are members of guilds,</w:t>
      </w:r>
      <w:r>
        <w:t xml:space="preserve"> </w:t>
      </w:r>
      <w:r>
        <w:t xml:space="preserve">then agency agreements with these big agencies are usually safe.</w:t>
      </w:r>
      <w:r>
        <w:t xml:space="preserve"> </w:t>
      </w:r>
      <w:r>
        <w:t xml:space="preserve">But a boutique agency</w:t>
      </w:r>
      <w:r>
        <w:t xml:space="preserve"> </w:t>
      </w:r>
      <w:r>
        <w:t xml:space="preserve">may or may not be a</w:t>
      </w:r>
      <w:r>
        <w:t xml:space="preserve"> </w:t>
      </w:r>
      <w:r>
        <w:t xml:space="preserve">“</w:t>
      </w:r>
      <w:r>
        <w:t xml:space="preserve">franchised agent,</w:t>
      </w:r>
      <w:r>
        <w:t xml:space="preserve">”</w:t>
      </w:r>
      <w:r>
        <w:t xml:space="preserve"> </w:t>
      </w:r>
      <w:r>
        <w:t xml:space="preserve">meaning, for actors, an agent licensed by the state in which they operate</w:t>
      </w:r>
      <w:r>
        <w:t xml:space="preserve"> </w:t>
      </w:r>
      <w:r>
        <w:t xml:space="preserve">and officially approved by the guilds (SAG, AFTRA, AEA).</w:t>
      </w:r>
      <w:r>
        <w:t xml:space="preserve"> </w:t>
      </w:r>
      <w:r>
        <w:t xml:space="preserve">Union actors may only work with union-franchised agents.</w:t>
      </w:r>
      <w:r>
        <w:t xml:space="preserve"> </w:t>
      </w:r>
      <w:r>
        <w:t xml:space="preserve">A franchised agent may still represent actors who are not members of the guilds</w:t>
      </w:r>
      <w:r>
        <w:t xml:space="preserve"> </w:t>
      </w:r>
      <w:r>
        <w:t xml:space="preserve">for non-union work, or for work that leads to union membership.</w:t>
      </w:r>
    </w:p>
    <w:p>
      <w:pPr>
        <w:pStyle w:val="BodyText"/>
      </w:pPr>
      <w:r>
        <w:t xml:space="preserve">See discussion below in</w:t>
      </w:r>
      <w:r>
        <w:t xml:space="preserve"> </w:t>
      </w:r>
      <w:r>
        <w:rPr>
          <w:i/>
        </w:rPr>
        <w:t xml:space="preserve">Marathon v. Blasi</w:t>
      </w:r>
      <w:r>
        <w:t xml:space="preserve"> </w:t>
      </w:r>
      <w:r>
        <w:t xml:space="preserve">for an excellent description of how the guilds control access to both agents and entities who wish to employ their members.</w:t>
      </w:r>
    </w:p>
    <w:p>
      <w:pPr>
        <w:pStyle w:val="Heading3"/>
      </w:pPr>
      <w:bookmarkStart w:id="54" w:name="talent-agencies-and-packaging-fees"/>
      <w:r>
        <w:t xml:space="preserve">Talent Agencies and Packaging Fees</w:t>
      </w:r>
      <w:bookmarkEnd w:id="54"/>
    </w:p>
    <w:p>
      <w:pPr>
        <w:pStyle w:val="Heading4"/>
      </w:pPr>
      <w:bookmarkStart w:id="55" w:name="the-writers-guild-of-america-at-war"/>
      <w:r>
        <w:t xml:space="preserve">The Writers Guild of America At War</w:t>
      </w:r>
      <w:bookmarkEnd w:id="55"/>
    </w:p>
    <w:p>
      <w:pPr>
        <w:pStyle w:val="FirstParagraph"/>
      </w:pPr>
      <w:r>
        <w:t xml:space="preserve">Please watch these two videos ahead of us dealing with Representation. The first one I sent you earlier, but watch them both so you understand what the Writers Guild is fighting about.</w:t>
      </w:r>
    </w:p>
    <w:p>
      <w:pPr>
        <w:pStyle w:val="Compact"/>
        <w:numPr>
          <w:numId w:val="1010"/>
          <w:ilvl w:val="0"/>
        </w:numPr>
      </w:pPr>
      <w:hyperlink r:id="rId56">
        <w:r>
          <w:rPr>
            <w:rStyle w:val="Hyperlink"/>
          </w:rPr>
          <w:t xml:space="preserve">Agency Conflicts of Interest</w:t>
        </w:r>
      </w:hyperlink>
    </w:p>
    <w:p>
      <w:pPr>
        <w:pStyle w:val="Compact"/>
        <w:numPr>
          <w:numId w:val="1010"/>
          <w:ilvl w:val="0"/>
        </w:numPr>
      </w:pPr>
      <w:hyperlink r:id="rId57">
        <w:r>
          <w:rPr>
            <w:rStyle w:val="Hyperlink"/>
          </w:rPr>
          <w:t xml:space="preserve">The Truth About Agency Studios</w:t>
        </w:r>
      </w:hyperlink>
    </w:p>
    <w:p>
      <w:pPr>
        <w:pStyle w:val="FirstParagraph"/>
      </w:pPr>
      <w:r>
        <w:t xml:space="preserve">An article in the</w:t>
      </w:r>
      <w:r>
        <w:t xml:space="preserve"> </w:t>
      </w:r>
      <w:r>
        <w:rPr>
          <w:i/>
        </w:rPr>
        <w:t xml:space="preserve">Wall Street Journal</w:t>
      </w:r>
      <w:r>
        <w:t xml:space="preserve">, written in March, 2019,</w:t>
      </w:r>
      <w:r>
        <w:t xml:space="preserve"> </w:t>
      </w:r>
      <w:r>
        <w:t xml:space="preserve">just before the Writers Guild voted to go to war with the Association of Talent Agents (ATA),</w:t>
      </w:r>
      <w:r>
        <w:t xml:space="preserve"> </w:t>
      </w:r>
      <w:r>
        <w:t xml:space="preserve">gives a fair description of the ongoing fight:</w:t>
      </w:r>
    </w:p>
    <w:p>
      <w:pPr>
        <w:pStyle w:val="BlockText"/>
      </w:pPr>
      <w:r>
        <w:t xml:space="preserve">The middle-class wage squeeze is affecting an unlikely group: Hollywood movie and television writers, who are threatening to fire their agents en masse over what their union calls unfair business practices.</w:t>
      </w:r>
    </w:p>
    <w:p>
      <w:pPr>
        <w:pStyle w:val="BlockText"/>
      </w:pPr>
      <w:r>
        <w:t xml:space="preserve">Their union, the Writers Guild of America, is convinced agencies’ pursuit of lucrative side deals—with the studios actually employing the writers—has created conflicts of interests in which talent agents put their own paydays ahead of their clients’, precipitating a decline in wages for a vast swath of the screenwriting community.</w:t>
      </w:r>
    </w:p>
    <w:p>
      <w:pPr>
        <w:pStyle w:val="BlockText"/>
      </w:pPr>
      <w:r>
        <w:t xml:space="preserve">Some 15,000 WGA members are currently voting whether the union should demand their agents agree to new employment terms that would bar the longstanding practice known as</w:t>
      </w:r>
      <w:r>
        <w:t xml:space="preserve"> </w:t>
      </w:r>
      <w:r>
        <w:t xml:space="preserve">“</w:t>
      </w:r>
      <w:r>
        <w:t xml:space="preserve">packaging,</w:t>
      </w:r>
      <w:r>
        <w:t xml:space="preserve">”</w:t>
      </w:r>
      <w:r>
        <w:t xml:space="preserve"> </w:t>
      </w:r>
      <w:r>
        <w:t xml:space="preserve">in which an agency creates the framework for a new television series or movie by bundling various clients—writers, directors, actors and others—and sells it as a whole to a studio that then funds the production and distributes it.</w:t>
      </w:r>
    </w:p>
    <w:p>
      <w:pPr>
        <w:pStyle w:val="BlockText"/>
      </w:pPr>
      <w:r>
        <w:t xml:space="preserve">When an agency enters into a package deal with a studio, it collects a fee and waives the commissions it would normally receive from clients involved in the project, meaning the agent’s financial interest isn’t as closely tied as usual to those clients’. The upshot, writers argue, is that the agency is effectively a partner in the production, and that is a conflict of interest.</w:t>
      </w:r>
    </w:p>
    <w:p>
      <w:pPr>
        <w:pStyle w:val="BlockText"/>
      </w:pPr>
      <w:r>
        <w:t xml:space="preserve">“</w:t>
      </w:r>
      <w:r>
        <w:t xml:space="preserve">The rule of thumb is you work for the person who pays you,</w:t>
      </w:r>
      <w:r>
        <w:t xml:space="preserve">”</w:t>
      </w:r>
      <w:r>
        <w:t xml:space="preserve"> </w:t>
      </w:r>
      <w:r>
        <w:t xml:space="preserve">said television writer Evan Wright, whose credits include Showtime’s</w:t>
      </w:r>
      <w:r>
        <w:t xml:space="preserve"> </w:t>
      </w:r>
      <w:r>
        <w:t xml:space="preserve">“</w:t>
      </w:r>
      <w:r>
        <w:t xml:space="preserve">Homeland.</w:t>
      </w:r>
      <w:r>
        <w:t xml:space="preserve">”</w:t>
      </w:r>
      <w:r>
        <w:t xml:space="preserve"> </w:t>
      </w:r>
      <w:r>
        <w:t xml:space="preserve">Mr. Wright fired his agency, William Morris Endeavor, or WME, last year after learning after the agency received a packaging fee for a show he executive produced for Discovery.</w:t>
      </w:r>
    </w:p>
    <w:p>
      <w:pPr>
        <w:pStyle w:val="BlockText"/>
      </w:pPr>
      <w:r>
        <w:t xml:space="preserve">“</w:t>
      </w:r>
      <w:r>
        <w:t xml:space="preserve">WME was Col. Tom Parker to me,</w:t>
      </w:r>
      <w:r>
        <w:t xml:space="preserve">”</w:t>
      </w:r>
      <w:r>
        <w:t xml:space="preserve"> </w:t>
      </w:r>
      <w:r>
        <w:t xml:space="preserve">Mr. Wright said, comparing the agency to Elvis Presley’s notoriously greedy and controlling manager. The agency declined to comment on the remark.</w:t>
      </w:r>
    </w:p>
    <w:p>
      <w:pPr>
        <w:pStyle w:val="BlockText"/>
      </w:pPr>
      <w:r>
        <w:t xml:space="preserve">Hollywood deal making is dominated by four major agencies including WME, Creative Artists Agency, United Talent Agency and ICM Partners.</w:t>
      </w:r>
    </w:p>
    <w:p>
      <w:pPr>
        <w:pStyle w:val="BlockText"/>
      </w:pPr>
      <w:r>
        <w:t xml:space="preserve">These agencies counter that packaging deals, which have been widespread in Hollywood for decades, offer their clients more opportunities to work. Such packages are presented to studios as fully developed ideas, increasing the chances they will get made. Nearly 90% of scripted television series during the 2016-2017 season were packaged, according to the WGA. HBO’s</w:t>
      </w:r>
      <w:r>
        <w:t xml:space="preserve"> </w:t>
      </w:r>
      <w:r>
        <w:t xml:space="preserve">“</w:t>
      </w:r>
      <w:r>
        <w:t xml:space="preserve">Game of Thrones</w:t>
      </w:r>
      <w:r>
        <w:t xml:space="preserve">”</w:t>
      </w:r>
      <w:r>
        <w:t xml:space="preserve"> </w:t>
      </w:r>
      <w:r>
        <w:t xml:space="preserve">is a packaged show.</w:t>
      </w:r>
    </w:p>
    <w:p>
      <w:pPr>
        <w:pStyle w:val="BlockText"/>
      </w:pPr>
      <w:r>
        <w:t xml:space="preserve">“</w:t>
      </w:r>
      <w:r>
        <w:t xml:space="preserve">Elements of a series need to be assembled or packaged so that studios get a clear vision of what they are buying,</w:t>
      </w:r>
      <w:r>
        <w:t xml:space="preserve">”</w:t>
      </w:r>
      <w:r>
        <w:t xml:space="preserve"> </w:t>
      </w:r>
      <w:r>
        <w:t xml:space="preserve">said Chris Silbermann, who as managing director of ICM Partners represents Shonda Rhimes, the creator of</w:t>
      </w:r>
      <w:r>
        <w:t xml:space="preserve"> </w:t>
      </w:r>
      <w:r>
        <w:t xml:space="preserve">“</w:t>
      </w:r>
      <w:r>
        <w:t xml:space="preserve">Grey’s Anatomy.</w:t>
      </w:r>
      <w:r>
        <w:t xml:space="preserve">”</w:t>
      </w:r>
    </w:p>
    <w:p>
      <w:pPr>
        <w:pStyle w:val="BlockText"/>
      </w:pPr>
      <w:r>
        <w:t xml:space="preserve">…</w:t>
      </w:r>
    </w:p>
    <w:p>
      <w:pPr>
        <w:pStyle w:val="BlockText"/>
      </w:pPr>
      <w:r>
        <w:t xml:space="preserve">The dispute comes at what would seem an unlikely moment: a TV-industry boom fueled in part by the rise of streaming services like Netflix Inc., Amazon.com Inc.’s Prime Video and Walt Disney Co.-controlled Hulu, which have poured billions of dollars into developing new series. Netflix has struck multimillion-dollar deals with marquee writers and producers including Ms. Rhimes, Ryan Murphy and Brad Falchuk.</w:t>
      </w:r>
    </w:p>
    <w:p>
      <w:pPr>
        <w:pStyle w:val="BlockText"/>
      </w:pPr>
      <w:r>
        <w:t xml:space="preserve">Traditional studios are also ponying up more to keep top talent. Last year AT&amp;T Inc.’s Warner Bros. struck a deal with producer Greg Berlanti, whose credits include</w:t>
      </w:r>
      <w:r>
        <w:t xml:space="preserve"> </w:t>
      </w:r>
      <w:r>
        <w:t xml:space="preserve">“</w:t>
      </w:r>
      <w:r>
        <w:t xml:space="preserve">The Flash,</w:t>
      </w:r>
      <w:r>
        <w:t xml:space="preserve">”</w:t>
      </w:r>
      <w:r>
        <w:t xml:space="preserve"> </w:t>
      </w:r>
      <w:r>
        <w:t xml:space="preserve">worth more than $300 million.</w:t>
      </w:r>
    </w:p>
    <w:p>
      <w:pPr>
        <w:pStyle w:val="BlockText"/>
      </w:pPr>
      <w:r>
        <w:t xml:space="preserve">Earlier this month, Comcast Corp.’s NBCUniversal signed a lucrative deal to keep Mike Schur, whose producing credits include</w:t>
      </w:r>
      <w:r>
        <w:t xml:space="preserve"> </w:t>
      </w:r>
      <w:r>
        <w:t xml:space="preserve">“</w:t>
      </w:r>
      <w:r>
        <w:t xml:space="preserve">The Office,</w:t>
      </w:r>
      <w:r>
        <w:t xml:space="preserve">”</w:t>
      </w:r>
      <w:r>
        <w:t xml:space="preserve"> </w:t>
      </w:r>
      <w:r>
        <w:t xml:space="preserve">“</w:t>
      </w:r>
      <w:r>
        <w:t xml:space="preserve">Brooklyn Nine-Nine</w:t>
      </w:r>
      <w:r>
        <w:t xml:space="preserve">”</w:t>
      </w:r>
      <w:r>
        <w:t xml:space="preserve"> </w:t>
      </w:r>
      <w:r>
        <w:t xml:space="preserve">and</w:t>
      </w:r>
      <w:r>
        <w:t xml:space="preserve"> </w:t>
      </w:r>
      <w:r>
        <w:t xml:space="preserve">“</w:t>
      </w:r>
      <w:r>
        <w:t xml:space="preserve">The Good Place,</w:t>
      </w:r>
      <w:r>
        <w:t xml:space="preserve">”</w:t>
      </w:r>
      <w:r>
        <w:t xml:space="preserve"> </w:t>
      </w:r>
      <w:r>
        <w:t xml:space="preserve">on its lot.</w:t>
      </w:r>
    </w:p>
    <w:p>
      <w:pPr>
        <w:pStyle w:val="BlockText"/>
      </w:pPr>
      <w:r>
        <w:t xml:space="preserve">The writers’ union says that while such high-profile writers are enjoying unprecedented success, wages for more typical writers have declined.</w:t>
      </w:r>
    </w:p>
    <w:p>
      <w:pPr>
        <w:pStyle w:val="BlockText"/>
      </w:pPr>
      <w:r>
        <w:t xml:space="preserve">Average WGA members saw their weekly incomes decline by more than 20% between 2014 and 2016, the union said.</w:t>
      </w:r>
    </w:p>
    <w:p>
      <w:pPr>
        <w:pStyle w:val="BlockText"/>
      </w:pPr>
      <w:r>
        <w:t xml:space="preserve">WME says average pay for writer clients has risen during the past three years.</w:t>
      </w:r>
    </w:p>
    <w:p>
      <w:pPr>
        <w:pStyle w:val="BlockText"/>
      </w:pPr>
      <w:r>
        <w:t xml:space="preserve">“</w:t>
      </w:r>
      <w:r>
        <w:t xml:space="preserve">There will always be superstar writers who are able to benefit. There are a select few that have been able to get these massive deals,</w:t>
      </w:r>
      <w:r>
        <w:t xml:space="preserve">”</w:t>
      </w:r>
      <w:r>
        <w:t xml:space="preserve"> </w:t>
      </w:r>
      <w:r>
        <w:t xml:space="preserve">said Laura Blum-Smith, WGA’s director of research and public policy.</w:t>
      </w:r>
      <w:r>
        <w:t xml:space="preserve"> </w:t>
      </w:r>
      <w:r>
        <w:t xml:space="preserve">“</w:t>
      </w:r>
      <w:r>
        <w:t xml:space="preserve">But the middle-class writer is not seeing their earnings rise according to the increase in demand.</w:t>
      </w:r>
      <w:r>
        <w:t xml:space="preserve">”</w:t>
      </w:r>
    </w:p>
    <w:p>
      <w:pPr>
        <w:pStyle w:val="BlockText"/>
      </w:pPr>
      <w:r>
        <w:t xml:space="preserve">Shorter television seasons are another culprit in typical writers’ declining incomes.</w:t>
      </w:r>
    </w:p>
    <w:p>
      <w:pPr>
        <w:pStyle w:val="BlockText"/>
      </w:pPr>
      <w:r>
        <w:t xml:space="preserve">The WGA is also alarmed by a more recent brand of side dealing on the part of the two biggest agencies, WME and CAA. In an effort to diversify their business models, the two agencies have created their own mini-studios that aim to produce content, a move the writers’ union says is an even more blatant conflict of interest than traditional packaging deals. The agencies say these mini-studios don’t represent a conflict, because they are operated separately from their talent-representation businesses. But the writers’ union contends their role in funding productions makes them writers’ counterparties in negotiations, not their representatives.</w:t>
      </w:r>
    </w:p>
    <w:p>
      <w:pPr>
        <w:pStyle w:val="BlockText"/>
      </w:pPr>
      <w:r>
        <w:t xml:space="preserve">“</w:t>
      </w:r>
      <w:r>
        <w:t xml:space="preserve">That is a monopoly,</w:t>
      </w:r>
      <w:r>
        <w:t xml:space="preserve">”</w:t>
      </w:r>
      <w:r>
        <w:t xml:space="preserve"> </w:t>
      </w:r>
      <w:r>
        <w:t xml:space="preserve">said Tony Krantz, a former CAA packaging agent who is now a writer and WGA member.</w:t>
      </w:r>
      <w:r>
        <w:t xml:space="preserve"> </w:t>
      </w:r>
      <w:r>
        <w:t xml:space="preserve">“</w:t>
      </w:r>
      <w:r>
        <w:t xml:space="preserve">It doesn’t make sense for your agent to essentially be your boss.</w:t>
      </w:r>
      <w:r>
        <w:t xml:space="preserve">”</w:t>
      </w:r>
    </w:p>
    <w:p>
      <w:pPr>
        <w:pStyle w:val="BlockText"/>
      </w:pPr>
      <w:r>
        <w:t xml:space="preserve">Write to Joe Flint at joe.flint@wsj.com</w:t>
      </w:r>
    </w:p>
    <w:p>
      <w:pPr>
        <w:pStyle w:val="BlockText"/>
      </w:pPr>
      <w:r>
        <w:t xml:space="preserve">Excerpted from:</w:t>
      </w:r>
      <w:r>
        <w:t xml:space="preserve"> </w:t>
      </w:r>
      <w:hyperlink r:id="rId58">
        <w:r>
          <w:rPr>
            <w:rStyle w:val="Hyperlink"/>
          </w:rPr>
          <w:t xml:space="preserve">Labor Action, With a Hollywood Twist: Screenwriters Threaten to Fire Their Agents - WSJ</w:t>
        </w:r>
      </w:hyperlink>
    </w:p>
    <w:p>
      <w:pPr>
        <w:pStyle w:val="FirstParagraph"/>
      </w:pPr>
      <w:r>
        <w:t xml:space="preserve">The following agencies are currently franchised by the WGA and may represent writers:</w:t>
      </w:r>
      <w:r>
        <w:t xml:space="preserve"> </w:t>
      </w:r>
      <w:hyperlink r:id="rId59">
        <w:r>
          <w:rPr>
            <w:rStyle w:val="Hyperlink"/>
          </w:rPr>
          <w:t xml:space="preserve">Talent Agencies Franchised by the WGA</w:t>
        </w:r>
      </w:hyperlink>
      <w:r>
        <w:t xml:space="preserve"> </w:t>
      </w:r>
      <w:r>
        <w:t xml:space="preserve">By definition, a writer who belongs to the WGA may not work for any entity unless that entity is a signatory to the guild. But in addition the WGA keeps a list of employers who writers may not work for, unless the producer posts a bond with the Guild.</w:t>
      </w:r>
    </w:p>
    <w:p>
      <w:pPr>
        <w:pStyle w:val="BodyText"/>
      </w:pPr>
      <w:r>
        <w:t xml:space="preserve">WGA members are bound by Working Rule 10, which provides:</w:t>
      </w:r>
    </w:p>
    <w:p>
      <w:pPr>
        <w:pStyle w:val="BlockText"/>
      </w:pPr>
      <w:r>
        <w:t xml:space="preserve">No member may enter into a contract for the rendition of writing services with any producer whose name is contained in the then current Guild unfair list unless such producer shall have first posted a bond with the Guild guaranteeing the full amount of the writer’s proposed compensation pursuant to such contract. See, e.g.,</w:t>
      </w:r>
      <w:r>
        <w:t xml:space="preserve"> </w:t>
      </w:r>
      <w:hyperlink r:id="rId60">
        <w:r>
          <w:rPr>
            <w:rStyle w:val="Hyperlink"/>
          </w:rPr>
          <w:t xml:space="preserve">Writers Guild of America Strike/Unfair List</w:t>
        </w:r>
      </w:hyperlink>
    </w:p>
    <w:p>
      <w:pPr>
        <w:pStyle w:val="Heading3"/>
      </w:pPr>
      <w:bookmarkStart w:id="61" w:name="new-yorks-employment-agent-regulation"/>
      <w:r>
        <w:t xml:space="preserve">New York’s Employment Agent Regulation</w:t>
      </w:r>
      <w:bookmarkEnd w:id="61"/>
    </w:p>
    <w:p>
      <w:pPr>
        <w:pStyle w:val="FirstParagraph"/>
      </w:pPr>
      <w:r>
        <w:t xml:space="preserve">New York regulates</w:t>
      </w:r>
      <w:r>
        <w:t xml:space="preserve"> </w:t>
      </w:r>
      <w:r>
        <w:t xml:space="preserve">“</w:t>
      </w:r>
      <w:r>
        <w:t xml:space="preserve">theatrical employment</w:t>
      </w:r>
      <w:r>
        <w:t xml:space="preserve">”</w:t>
      </w:r>
      <w:r>
        <w:t xml:space="preserve"> </w:t>
      </w:r>
      <w:r>
        <w:t xml:space="preserve">agencies under its general business laws where section 171 defines a</w:t>
      </w:r>
      <w:r>
        <w:t xml:space="preserve"> </w:t>
      </w:r>
      <w:r>
        <w:t xml:space="preserve">“</w:t>
      </w:r>
      <w:r>
        <w:t xml:space="preserve">theatrical employment agency</w:t>
      </w:r>
      <w:r>
        <w:t xml:space="preserve">”</w:t>
      </w:r>
      <w:r>
        <w:t xml:space="preserve"> </w:t>
      </w:r>
      <w:r>
        <w:t xml:space="preserve">as:</w:t>
      </w:r>
    </w:p>
    <w:p>
      <w:pPr>
        <w:pStyle w:val="BlockText"/>
      </w:pPr>
      <w:r>
        <w:t xml:space="preserve">any person …</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62">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w:t>
      </w:r>
      <w:r>
        <w:t xml:space="preserve"> </w:t>
      </w:r>
      <w:r>
        <w:rPr>
          <w:i/>
        </w:rPr>
        <w:t xml:space="preserve">and</w:t>
      </w:r>
      <w:r>
        <w:t xml:space="preserve"> </w:t>
      </w:r>
      <w:r>
        <w:t xml:space="preserve">a manager.</w:t>
      </w:r>
    </w:p>
    <w:p>
      <w:pPr>
        <w:pStyle w:val="Heading3"/>
      </w:pPr>
      <w:bookmarkStart w:id="63" w:name="mandel-v.-liebman"/>
      <w:r>
        <w:rPr>
          <w:i/>
        </w:rPr>
        <w:t xml:space="preserve">Mandel v. Liebman</w:t>
      </w:r>
      <w:bookmarkEnd w:id="63"/>
    </w:p>
    <w:p>
      <w:pPr>
        <w:pStyle w:val="Heading6"/>
      </w:pPr>
      <w:bookmarkStart w:id="64" w:name="new-york-supreme-court-1951"/>
      <w:r>
        <w:t xml:space="preserve">New York Supreme Court (1951)</w:t>
      </w:r>
      <w:bookmarkEnd w:id="64"/>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w:t>
      </w:r>
      <w:r>
        <w:t xml:space="preserve">as his personal representative and manager</w:t>
      </w:r>
      <w:r>
        <w:t xml:space="preserve">’</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w:t>
      </w:r>
      <w:r>
        <w:t xml:space="preserve"> </w:t>
      </w:r>
      <w:r>
        <w:t xml:space="preserve">‘</w:t>
      </w:r>
      <w:r>
        <w:t xml:space="preserve">was void and unconscionable and against public policy</w:t>
      </w:r>
      <w:r>
        <w:t xml:space="preserve">’</w:t>
      </w:r>
      <w:r>
        <w:t xml:space="preserve">.</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t>
      </w:r>
      <w:r>
        <w:t xml:space="preserve">what might be called a tribute in perpetuity.</w:t>
      </w:r>
      <w:r>
        <w:t xml:space="preserve">’</w:t>
      </w:r>
      <w:r>
        <w:t xml:space="preserve">…</w:t>
      </w:r>
    </w:p>
    <w:p>
      <w:pPr>
        <w:pStyle w:val="BodyText"/>
      </w:pPr>
      <w:r>
        <w:t xml:space="preserve">It is apparent that the majority, in</w:t>
      </w:r>
      <w:r>
        <w:t xml:space="preserve"> </w:t>
      </w:r>
      <w:r>
        <w:t xml:space="preserve">holding the contracts to be</w:t>
      </w:r>
      <w:r>
        <w:t xml:space="preserve"> </w:t>
      </w:r>
      <w:r>
        <w:t xml:space="preserve">‘</w:t>
      </w:r>
      <w:r>
        <w:t xml:space="preserve">unconscionable</w:t>
      </w:r>
      <w:r>
        <w:t xml:space="preserve">’</w:t>
      </w:r>
      <w:r>
        <w:t xml:space="preserv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w:t>
      </w:r>
      <w:r>
        <w:t xml:space="preserve"> </w:t>
      </w:r>
      <w:r>
        <w:t xml:space="preserve">“</w:t>
      </w:r>
      <w:r>
        <w:t xml:space="preserve">If a person chooses to make an</w:t>
      </w:r>
      <w:r>
        <w:t xml:space="preserve"> </w:t>
      </w:r>
      <w:r>
        <w:t xml:space="preserve">extravagent promise for an inadequate consideration, it is his own</w:t>
      </w:r>
      <w:r>
        <w:t xml:space="preserve"> </w:t>
      </w:r>
      <w:r>
        <w:t xml:space="preserve">affair.</w:t>
      </w:r>
      <w:r>
        <w:t xml:space="preserve">”</w:t>
      </w:r>
      <w:r>
        <w:t xml:space="preserve"> </w:t>
      </w:r>
      <w:r>
        <w:t xml:space="preserve">8 Holdworth, History of English Law.…</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w:t>
      </w:r>
      <w:r>
        <w:t xml:space="preserve"> </w:t>
      </w:r>
      <w:r>
        <w:t xml:space="preserve">The inequality …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w:t>
      </w:r>
      <w:r>
        <w:t xml:space="preserve"> </w:t>
      </w:r>
      <w:r>
        <w:t xml:space="preserve">that the Liebman</w:t>
      </w:r>
      <w:r>
        <w:t xml:space="preserve"> </w:t>
      </w:r>
      <w:r>
        <w:t xml:space="preserve">‘</w:t>
      </w:r>
      <w:r>
        <w:t xml:space="preserve">hereby employs</w:t>
      </w:r>
      <w:r>
        <w:t xml:space="preserve">’</w:t>
      </w:r>
      <w:r>
        <w:t xml:space="preserve"> </w:t>
      </w:r>
      <w:r>
        <w:t xml:space="preserve">Mandel</w:t>
      </w:r>
      <w:r>
        <w:t xml:space="preserve"> </w:t>
      </w:r>
      <w:r>
        <w:t xml:space="preserve">‘</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w:t>
      </w:r>
      <w:r>
        <w:t xml:space="preserve">’</w:t>
      </w:r>
      <w:r>
        <w:t xml:space="preserve"> </w:t>
      </w:r>
      <w:r>
        <w:t xml:space="preserve">of Liebman’s career</w:t>
      </w:r>
      <w:r>
        <w:t xml:space="preserve"> </w:t>
      </w:r>
      <w:r>
        <w:t xml:space="preserve">and</w:t>
      </w:r>
      <w:r>
        <w:t xml:space="preserve"> </w:t>
      </w:r>
      <w:r>
        <w:t xml:space="preserve">‘</w:t>
      </w:r>
      <w:r>
        <w:t xml:space="preserve">to advise him in connection with all offers of employment</w:t>
      </w:r>
      <w:r>
        <w:t xml:space="preserve"> </w:t>
      </w:r>
      <w:r>
        <w:t xml:space="preserve">and contracts for services, and conclude for him such contracts.</w:t>
      </w:r>
      <w:r>
        <w:t xml:space="preserve">’</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w:t>
      </w:r>
      <w:r>
        <w:t xml:space="preserve"> </w:t>
      </w:r>
      <w:r>
        <w:t xml:space="preserve">‘</w:t>
      </w:r>
      <w:r>
        <w:t xml:space="preserve">as personal representative and manager,</w:t>
      </w:r>
      <w:r>
        <w:t xml:space="preserve">’</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w:t>
      </w:r>
      <w:r>
        <w:t xml:space="preserve">shall only devote as much time and attention</w:t>
      </w:r>
      <w:r>
        <w:t xml:space="preserve"> </w:t>
      </w:r>
      <w:r>
        <w:t xml:space="preserve">to the activities and affairs</w:t>
      </w:r>
      <w:r>
        <w:t xml:space="preserve">’</w:t>
      </w:r>
      <w:r>
        <w:t xml:space="preserve"> </w:t>
      </w:r>
      <w:r>
        <w:t xml:space="preserve">of Liebman</w:t>
      </w:r>
      <w:r>
        <w:t xml:space="preserve"> </w:t>
      </w:r>
      <w:r>
        <w:t xml:space="preserve">‘</w:t>
      </w:r>
      <w:r>
        <w:t xml:space="preserve">as the opinion and judgment</w:t>
      </w:r>
      <w:r>
        <w:t xml:space="preserve">’</w:t>
      </w:r>
      <w:r>
        <w:t xml:space="preserve"> </w:t>
      </w:r>
      <w:r>
        <w:t xml:space="preserve">of Mandel</w:t>
      </w:r>
      <w:r>
        <w:t xml:space="preserve"> </w:t>
      </w:r>
      <w:r>
        <w:t xml:space="preserve">‘</w:t>
      </w:r>
      <w:r>
        <w:t xml:space="preserve">deems necessary</w:t>
      </w:r>
      <w:r>
        <w:t xml:space="preserve">’</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w:t>
      </w:r>
      <w:r>
        <w:t xml:space="preserve"> </w:t>
      </w:r>
      <w:r>
        <w:t xml:space="preserve">“</w:t>
      </w:r>
      <w:r>
        <w:t xml:space="preserve">such as no man in his senses … would</w:t>
      </w:r>
      <w:r>
        <w:t xml:space="preserve"> </w:t>
      </w:r>
      <w:r>
        <w:t xml:space="preserve">make</w:t>
      </w:r>
      <w:r>
        <w:t xml:space="preserve">”</w:t>
      </w:r>
      <w:r>
        <w:t xml:space="preserve"> </w:t>
      </w:r>
      <w:r>
        <w:t xml:space="preserve">and</w:t>
      </w:r>
      <w:r>
        <w:t xml:space="preserve"> </w:t>
      </w:r>
      <w:r>
        <w:t xml:space="preserve">“</w:t>
      </w:r>
      <w:r>
        <w:t xml:space="preserve">no honest or fair man would accept</w:t>
      </w:r>
      <w:r>
        <w:t xml:space="preserve">”</w:t>
      </w:r>
      <w:r>
        <w:t xml:space="preserve"> </w:t>
      </w:r>
      <w:r>
        <w:t xml:space="preserve">… or one which would</w:t>
      </w:r>
      <w:r>
        <w:t xml:space="preserve"> </w:t>
      </w:r>
      <w:r>
        <w:t xml:space="preserve">‘</w:t>
      </w:r>
      <w:r>
        <w:t xml:space="preserve">shock the conscience and confound the judgment of any man of common</w:t>
      </w:r>
      <w:r>
        <w:t xml:space="preserve"> </w:t>
      </w:r>
      <w:r>
        <w:t xml:space="preserve">sense</w:t>
      </w:r>
      <w:r>
        <w:t xml:space="preserve">’</w:t>
      </w:r>
      <w:r>
        <w:t xml:space="preserve"> </w:t>
      </w:r>
      <w:r>
        <w:t xml:space="preserve">… or even one which is</w:t>
      </w:r>
      <w:r>
        <w:t xml:space="preserve"> </w:t>
      </w:r>
      <w:r>
        <w:t xml:space="preserve">‘</w:t>
      </w:r>
      <w:r>
        <w:t xml:space="preserve">so extreme as to appear</w:t>
      </w:r>
      <w:r>
        <w:t xml:space="preserve"> </w:t>
      </w:r>
      <w:r>
        <w:t xml:space="preserve">unconscionable according to the mores and business practices of the time</w:t>
      </w:r>
      <w:r>
        <w:t xml:space="preserve"> </w:t>
      </w:r>
      <w:r>
        <w:t xml:space="preserve">and place</w:t>
      </w:r>
      <w:r>
        <w:t xml:space="preserve">’</w:t>
      </w:r>
      <w:r>
        <w:t xml:space="preserve"> </w:t>
      </w:r>
      <w:r>
        <w:t xml:space="preserve">…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w:t>
      </w:r>
      <w:r>
        <w:t xml:space="preserve"> </w:t>
      </w:r>
      <w:r>
        <w:t xml:space="preserve">‘</w:t>
      </w:r>
      <w:r>
        <w:t xml:space="preserve">a tribute in perpetuity.</w:t>
      </w:r>
      <w:r>
        <w:t xml:space="preserve">’</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 was conducting a theatrical employment agency</w:t>
      </w:r>
      <w:r>
        <w:t xml:space="preserve"> </w:t>
      </w:r>
      <w:r>
        <w:t xml:space="preserve">without a license therefor.</w:t>
      </w:r>
      <w:r>
        <w:t xml:space="preserve"> </w:t>
      </w:r>
      <w:r>
        <w:t xml:space="preserve">By express exemption …</w:t>
      </w:r>
      <w:r>
        <w:t xml:space="preserve"> </w:t>
      </w:r>
      <w:r>
        <w:t xml:space="preserve">a person engaged in the business of managing</w:t>
      </w:r>
      <w:r>
        <w:t xml:space="preserve"> </w:t>
      </w:r>
      <w:r>
        <w:t xml:space="preserve">‘</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w:t>
      </w:r>
      <w:r>
        <w:t xml:space="preserve"> </w:t>
      </w:r>
      <w:r>
        <w:t xml:space="preserve">is not required to be licensed.</w:t>
      </w:r>
      <w:r>
        <w:t xml:space="preserve"> </w:t>
      </w:r>
      <w:r>
        <w:t xml:space="preserve">As noted, Mandel was employed as Liebman’s</w:t>
      </w:r>
      <w:r>
        <w:t xml:space="preserve"> </w:t>
      </w:r>
      <w:r>
        <w:t xml:space="preserve">‘</w:t>
      </w:r>
      <w:r>
        <w:t xml:space="preserve">personal representative and manager</w:t>
      </w:r>
      <w:r>
        <w:t xml:space="preserve">’</w:t>
      </w:r>
      <w:r>
        <w:t xml:space="preserve">.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w:t>
      </w:r>
      <w:r>
        <w:t xml:space="preserve"> </w:t>
      </w:r>
      <w:r>
        <w:t xml:space="preserve">‘</w:t>
      </w:r>
      <w:r>
        <w:t xml:space="preserve">not required in any</w:t>
      </w:r>
      <w:r>
        <w:t xml:space="preserve"> </w:t>
      </w:r>
      <w:r>
        <w:t xml:space="preserve">way to procure</w:t>
      </w:r>
      <w:r>
        <w:t xml:space="preserve">’</w:t>
      </w:r>
      <w:r>
        <w:t xml:space="preserve"> </w:t>
      </w:r>
      <w:r>
        <w:t xml:space="preserve">such contracts or work, and that in the event Liebman</w:t>
      </w:r>
      <w:r>
        <w:t xml:space="preserve"> </w:t>
      </w:r>
      <w:r>
        <w:t xml:space="preserve">‘</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w:t>
      </w:r>
      <w:r>
        <w:t xml:space="preserve">’</w:t>
      </w:r>
      <w:r>
        <w:t xml:space="preserve"> </w:t>
      </w:r>
      <w:r>
        <w:t xml:space="preserve">by Liebman.</w:t>
      </w:r>
    </w:p>
    <w:p>
      <w:pPr>
        <w:pStyle w:val="FirstParagraph"/>
      </w:pPr>
      <w:r>
        <w:t xml:space="preserve">The judgments below should be reversed and a new trial granted, with</w:t>
      </w:r>
      <w:r>
        <w:t xml:space="preserve"> </w:t>
      </w:r>
      <w:r>
        <w:t xml:space="preserve">costs to abide the event.</w:t>
      </w:r>
    </w:p>
    <w:p>
      <w:pPr>
        <w:pStyle w:val="Heading3"/>
      </w:pPr>
      <w:bookmarkStart w:id="65" w:name="california-talent-agencies-act"/>
      <w:r>
        <w:t xml:space="preserve">California Talent Agencies Act</w:t>
      </w:r>
      <w:bookmarkEnd w:id="65"/>
    </w:p>
    <w:p>
      <w:pPr>
        <w:pStyle w:val="Heading6"/>
      </w:pPr>
      <w:bookmarkStart w:id="66" w:name="of-the-california-labor-code"/>
      <w:r>
        <w:t xml:space="preserve">§§ 1700.23-1700.47 of the California Labor Code</w:t>
      </w:r>
      <w:bookmarkEnd w:id="66"/>
    </w:p>
    <w:p>
      <w:pPr>
        <w:pStyle w:val="FirstParagraph"/>
      </w:pPr>
      <w:r>
        <w:t xml:space="preserve">In California, talent agents and talent agencies are regulated by the Talent Agencies Act (TAA), which is part of the</w:t>
      </w:r>
      <w:r>
        <w:t xml:space="preserve"> </w:t>
      </w:r>
      <w:hyperlink r:id="rId67">
        <w:r>
          <w:rPr>
            <w:rStyle w:val="Hyperlink"/>
          </w:rPr>
          <w:t xml:space="preserve">California Labor Code</w:t>
        </w:r>
      </w:hyperlink>
      <w:r>
        <w:t xml:space="preserve">.</w:t>
      </w:r>
    </w:p>
    <w:p>
      <w:pPr>
        <w:pStyle w:val="BodyText"/>
      </w:pPr>
      <w:hyperlink r:id="rId68">
        <w:r>
          <w:rPr>
            <w:rStyle w:val="Hyperlink"/>
          </w:rPr>
          <w:t xml:space="preserve">TAA Section 1700.4</w:t>
        </w:r>
      </w:hyperlink>
      <w:r>
        <w:t xml:space="preserve"> </w:t>
      </w:r>
      <w:r>
        <w:t xml:space="preserve">carefully defines its terms:</w:t>
      </w:r>
    </w:p>
    <w:p>
      <w:pPr>
        <w:pStyle w:val="BlockText"/>
      </w:pPr>
      <w:r>
        <w:t xml:space="preserve">“</w:t>
      </w:r>
      <w:r>
        <w:t xml:space="preserve">Talent agency</w:t>
      </w:r>
      <w:r>
        <w:t xml:space="preserve">”</w:t>
      </w:r>
      <w:r>
        <w:t xml:space="preserve"> </w:t>
      </w:r>
      <w:r>
        <w:t xml:space="preserve">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w:t>
      </w:r>
      <w:r>
        <w:t xml:space="preserve"> </w:t>
      </w:r>
      <w:r>
        <w:t xml:space="preserve">“</w:t>
      </w:r>
      <w:r>
        <w:t xml:space="preserve">manage</w:t>
      </w:r>
      <w:r>
        <w:t xml:space="preserve">”</w:t>
      </w:r>
      <w:r>
        <w:t xml:space="preserve"> </w:t>
      </w:r>
      <w:r>
        <w:t xml:space="preserve">their clients careers.</w:t>
      </w:r>
      <w:r>
        <w:t xml:space="preserve"> </w:t>
      </w:r>
      <w:r>
        <w:t xml:space="preserve">If managers start</w:t>
      </w:r>
      <w:r>
        <w:t xml:space="preserve"> </w:t>
      </w:r>
      <w:r>
        <w:t xml:space="preserve">“</w:t>
      </w:r>
      <w:r>
        <w:t xml:space="preserve">procuring, offering, promising</w:t>
      </w:r>
      <w:r>
        <w:t xml:space="preserve"> </w:t>
      </w:r>
      <w:r>
        <w:t xml:space="preserve">or attempting to procure employment</w:t>
      </w:r>
      <w:r>
        <w:t xml:space="preserve">”</w:t>
      </w:r>
      <w:r>
        <w:t xml:space="preserve"> </w:t>
      </w:r>
      <w:r>
        <w:t xml:space="preserve">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w:t>
      </w:r>
      <w:r>
        <w:t xml:space="preserve"> </w:t>
      </w:r>
      <w:r>
        <w:t xml:space="preserve">“</w:t>
      </w:r>
      <w:r>
        <w:t xml:space="preserve">solicit or procure employment</w:t>
      </w:r>
      <w:r>
        <w:t xml:space="preserve">”</w:t>
      </w:r>
      <w:r>
        <w:t xml:space="preserve"> </w:t>
      </w:r>
      <w:r>
        <w:t xml:space="preserve">for their clients?</w:t>
      </w:r>
      <w:r>
        <w:t xml:space="preserve"> </w:t>
      </w:r>
      <w:r>
        <w:t xml:space="preserve">In the course of addressing this issue,</w:t>
      </w:r>
      <w:r>
        <w:t xml:space="preserve"> </w:t>
      </w:r>
      <w:r>
        <w:t xml:space="preserve">the opinion becomes almost an essay about how Hollywood works.</w:t>
      </w:r>
    </w:p>
    <w:p>
      <w:pPr>
        <w:pStyle w:val="Heading2"/>
      </w:pPr>
      <w:bookmarkStart w:id="69" w:name="marathon-entertainment-inc.-v.-blasi"/>
      <w:r>
        <w:t xml:space="preserve">Marathon Entertainment, Inc. v. Blasi,</w:t>
      </w:r>
      <w:bookmarkEnd w:id="69"/>
    </w:p>
    <w:p>
      <w:pPr>
        <w:pStyle w:val="Heading6"/>
      </w:pPr>
      <w:bookmarkStart w:id="70" w:name="california-supreme-court-2008"/>
      <w:r>
        <w:t xml:space="preserve">California Supreme Court (2008)</w:t>
      </w:r>
      <w:bookmarkEnd w:id="70"/>
    </w:p>
    <w:p>
      <w:pPr>
        <w:pStyle w:val="Compact"/>
        <w:numPr>
          <w:numId w:val="1011"/>
          <w:ilvl w:val="0"/>
        </w:numPr>
      </w:pPr>
      <w:hyperlink r:id="rId71">
        <w:r>
          <w:rPr>
            <w:rStyle w:val="Hyperlink"/>
          </w:rPr>
          <w:t xml:space="preserve">Case on Google scholar</w:t>
        </w:r>
      </w:hyperlink>
    </w:p>
    <w:p>
      <w:pPr>
        <w:pStyle w:val="Compact"/>
        <w:numPr>
          <w:numId w:val="1011"/>
          <w:ilvl w:val="0"/>
        </w:numPr>
      </w:pPr>
      <w:hyperlink r:id="rId72">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pStyle w:val="Compact"/>
        <w:numPr>
          <w:numId w:val="1012"/>
          <w:ilvl w:val="0"/>
        </w:numPr>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pStyle w:val="Compact"/>
        <w:numPr>
          <w:numId w:val="1012"/>
          <w:ilvl w:val="0"/>
        </w:numPr>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pStyle w:val="Compact"/>
        <w:numPr>
          <w:numId w:val="1012"/>
          <w:ilvl w:val="0"/>
        </w:numPr>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p>
      <w:pPr>
        <w:pStyle w:val="Heading3"/>
      </w:pPr>
      <w:bookmarkStart w:id="73" w:name="factual-and-procedural-background"/>
      <w:r>
        <w:t xml:space="preserve">FACTUAL AND PROCEDURAL BACKGROUND</w:t>
      </w:r>
      <w:bookmarkEnd w:id="73"/>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72">
        <w:r>
          <w:rPr>
            <w:rStyle w:val="Hyperlink"/>
          </w:rPr>
          <w:t xml:space="preserve">Blasi</w:t>
        </w:r>
      </w:hyperlink>
      <w:r>
        <w:t xml:space="preserve"> </w:t>
      </w:r>
      <w:r>
        <w:t xml:space="preserve">as an actress</w:t>
      </w:r>
      <w:r>
        <w:t xml:space="preserve"> </w:t>
      </w:r>
      <w:r>
        <w:t xml:space="preserve">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p>
      <w:pPr>
        <w:pStyle w:val="Heading3"/>
      </w:pPr>
      <w:bookmarkStart w:id="74" w:name="discussion"/>
      <w:r>
        <w:t xml:space="preserve">DISCUSSION</w:t>
      </w:r>
      <w:bookmarkEnd w:id="74"/>
    </w:p>
    <w:p>
      <w:pPr>
        <w:pStyle w:val="Heading3"/>
      </w:pPr>
      <w:bookmarkStart w:id="75" w:name="i.-background"/>
      <w:r>
        <w:t xml:space="preserve">I. Background</w:t>
      </w:r>
      <w:bookmarkEnd w:id="75"/>
    </w:p>
    <w:p>
      <w:pPr>
        <w:pStyle w:val="Heading4"/>
      </w:pPr>
      <w:bookmarkStart w:id="76" w:name="a.-agents-and-managers"/>
      <w:r>
        <w:t xml:space="preserve">A. Agents and Managers</w:t>
      </w:r>
      <w:bookmarkEnd w:id="76"/>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w:t>
      </w:r>
      <w:r>
        <w:t xml:space="preserve"> </w:t>
      </w:r>
      <w:r>
        <w:t xml:space="preserve">“</w:t>
      </w:r>
      <w:r>
        <w:t xml:space="preserve">franchised</w:t>
      </w:r>
      <w:r>
        <w:t xml:space="preserve">”</w:t>
      </w:r>
      <w:r>
        <w:t xml:space="preserve"> </w:t>
      </w:r>
      <w:r>
        <w:t xml:space="preserve">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p>
      <w:pPr>
        <w:pStyle w:val="Heading4"/>
      </w:pPr>
      <w:bookmarkStart w:id="77" w:name="b.-the-talent-agencies-act"/>
      <w:r>
        <w:t xml:space="preserve">B. The Talent Agencies Act</w:t>
      </w:r>
      <w:bookmarkEnd w:id="77"/>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w:t>
      </w:r>
      <w:r>
        <w:t xml:space="preserve"> </w:t>
      </w:r>
      <w:r>
        <w:t xml:space="preserve">“</w:t>
      </w:r>
      <w:r>
        <w:t xml:space="preserve">employment opportunities.</w:t>
      </w:r>
      <w:r>
        <w:t xml:space="preserve">”</w:t>
      </w:r>
      <w:r>
        <w:t xml:space="preserve"> </w:t>
      </w:r>
      <w:r>
        <w:t xml:space="preserve">(See Stats. 1913, ch. 282, § 14, pp. 519-520 [prohibiting agents from</w:t>
      </w:r>
      <w:r>
        <w:t xml:space="preserve"> </w:t>
      </w:r>
      <w:r>
        <w:t xml:space="preserve">fee-splitting, sending artists to</w:t>
      </w:r>
      <w:r>
        <w:t xml:space="preserve"> </w:t>
      </w:r>
      <w:r>
        <w:t xml:space="preserve">“</w:t>
      </w:r>
      <w:r>
        <w:t xml:space="preserve">house[s] of ill fame</w:t>
      </w:r>
      <w:r>
        <w:t xml:space="preserve">”</w:t>
      </w:r>
      <w:r>
        <w:t xml:space="preserve"> </w:t>
      </w:r>
      <w:r>
        <w:t xml:space="preserve">or saloons, or</w:t>
      </w:r>
      <w:r>
        <w:t xml:space="preserve"> </w:t>
      </w:r>
      <w:r>
        <w:t xml:space="preserve">allowing</w:t>
      </w:r>
      <w:r>
        <w:t xml:space="preserve"> </w:t>
      </w:r>
      <w:r>
        <w:t xml:space="preserve">“</w:t>
      </w:r>
      <w:r>
        <w:t xml:space="preserve">persons of bad character</w:t>
      </w:r>
      <w:r>
        <w:t xml:space="preserve">”</w:t>
      </w:r>
      <w:r>
        <w:t xml:space="preserve"> </w:t>
      </w:r>
      <w:r>
        <w:t xml:space="preserve">to frequent their establishments];</w:t>
      </w:r>
      <w:r>
        <w:t xml:space="preserve"> </w:t>
      </w:r>
      <w:r>
        <w:rPr>
          <w:i/>
        </w:rPr>
        <w:t xml:space="preserve">Talent Agencies Act,</w:t>
      </w:r>
      <w:r>
        <w:t xml:space="preserve"> </w:t>
      </w:r>
      <w:r>
        <w:t xml:space="preserve">at pp. 386-387) …</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w:t>
      </w:r>
      <w:r>
        <w:t xml:space="preserve"> </w:t>
      </w:r>
      <w:r>
        <w:t xml:space="preserve">“</w:t>
      </w:r>
      <w:r>
        <w:t xml:space="preserve">safe harbor</w:t>
      </w:r>
      <w:r>
        <w:t xml:space="preserve">”</w:t>
      </w:r>
      <w:r>
        <w:t xml:space="preserve"> </w:t>
      </w:r>
      <w:r>
        <w:t xml:space="preserve">for managers to procure employment</w:t>
      </w:r>
      <w:r>
        <w:t xml:space="preserve"> </w:t>
      </w:r>
      <w:r>
        <w:t xml:space="preserve">if they did so in conjunction with a licensed agent.…</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w:t>
      </w:r>
      <w:r>
        <w:t xml:space="preserve"> </w:t>
      </w:r>
      <w:r>
        <w:t xml:space="preserve">“</w:t>
      </w:r>
      <w:r>
        <w:t xml:space="preserve">recommend to the Legislature a model bill.</w:t>
      </w:r>
      <w:r>
        <w:t xml:space="preserve">”</w:t>
      </w:r>
      <w:r>
        <w:t xml:space="preserve"> </w:t>
      </w:r>
      <w:r>
        <w:t xml:space="preserve">…</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w:t>
      </w:r>
      <w:r>
        <w:t xml:space="preserve">Artists</w:t>
      </w:r>
      <w:r>
        <w:t xml:space="preserve">’</w:t>
      </w:r>
      <w:r>
        <w:t xml:space="preserve"> </w:t>
      </w:r>
      <w:r>
        <w:t xml:space="preserve">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 No</w:t>
      </w:r>
      <w:r>
        <w:t xml:space="preserve"> </w:t>
      </w:r>
      <w:r>
        <w:t xml:space="preserve">separate analogous licensing or regulatory scheme extends to personal</w:t>
      </w:r>
      <w:r>
        <w:t xml:space="preserve"> </w:t>
      </w:r>
      <w:r>
        <w:t xml:space="preserve">managers.</w:t>
      </w:r>
      <w:r>
        <w:t xml:space="preserve"> </w:t>
      </w:r>
      <w:hyperlink r:id="rId78">
        <w:r>
          <w:rPr>
            <w:i/>
            <w:rStyle w:val="Hyperlink"/>
          </w:rPr>
          <w:t xml:space="preserve">Waisbren v. Peppercorn Productions, Inc.,</w:t>
        </w:r>
      </w:hyperlink>
      <w:r>
        <w:t xml:space="preserve">.</w:t>
      </w:r>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p>
      <w:pPr>
        <w:pStyle w:val="Heading3"/>
      </w:pPr>
      <w:bookmarkStart w:id="79" w:name="Xeeacaa3ab2cfbfe2a551e3f9dbeb4e74371e11d"/>
      <w:r>
        <w:t xml:space="preserve">II.</w:t>
      </w:r>
      <w:r>
        <w:t xml:space="preserve"> </w:t>
      </w:r>
      <w:r>
        <w:rPr>
          <w:i/>
        </w:rPr>
        <w:t xml:space="preserve">The Scope of the Talent Agencies Act: Application to Managers</w:t>
      </w:r>
      <w:bookmarkEnd w:id="79"/>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w:t>
      </w:r>
      <w:r>
        <w:t xml:space="preserve"> </w:t>
      </w:r>
      <w:r>
        <w:t xml:space="preserve">Section 1700.5 provides in relevant part:</w:t>
      </w:r>
      <w:r>
        <w:t xml:space="preserve"> </w:t>
      </w:r>
      <w:r>
        <w:t xml:space="preserve">“</w:t>
      </w:r>
      <w:r>
        <w:t xml:space="preserve">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w:t>
      </w:r>
      <w:r>
        <w:t xml:space="preserve">”</w:t>
      </w:r>
      <w:r>
        <w:t xml:space="preserve"> </w:t>
      </w:r>
      <w:r>
        <w:t xml:space="preserve">(Italics added.) In</w:t>
      </w:r>
      <w:r>
        <w:t xml:space="preserve"> </w:t>
      </w:r>
      <w:r>
        <w:t xml:space="preserve">turn,</w:t>
      </w:r>
      <w:r>
        <w:t xml:space="preserve"> </w:t>
      </w:r>
      <w:r>
        <w:t xml:space="preserve">“</w:t>
      </w:r>
      <w:r>
        <w:t xml:space="preserve">person</w:t>
      </w:r>
      <w:r>
        <w:t xml:space="preserve">”</w:t>
      </w:r>
      <w:r>
        <w:t xml:space="preserve"> </w:t>
      </w:r>
      <w:r>
        <w:t xml:space="preserve">is expressly defined to include</w:t>
      </w:r>
      <w:r>
        <w:t xml:space="preserve"> </w:t>
      </w:r>
      <w:r>
        <w:t xml:space="preserve">“</w:t>
      </w:r>
      <w:r>
        <w:t xml:space="preserve">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w:t>
      </w:r>
      <w:r>
        <w:t xml:space="preserve">”</w:t>
      </w:r>
      <w:r>
        <w:t xml:space="preserve"> </w:t>
      </w:r>
      <w:r>
        <w:t xml:space="preserve">(§ 1700, italics</w:t>
      </w:r>
      <w:r>
        <w:t xml:space="preserve"> </w:t>
      </w:r>
      <w:r>
        <w:t xml:space="preserve">added), and</w:t>
      </w:r>
      <w:r>
        <w:t xml:space="preserve"> </w:t>
      </w:r>
      <w:r>
        <w:t xml:space="preserve">“</w:t>
      </w:r>
      <w:r>
        <w:t xml:space="preserve">‘</w:t>
      </w:r>
      <w:r>
        <w:t xml:space="preserve">talent agency</w:t>
      </w:r>
      <w:r>
        <w:t xml:space="preserve">’</w:t>
      </w:r>
      <w:r>
        <w:t xml:space="preserve"> </w:t>
      </w:r>
      <w:r>
        <w:t xml:space="preserve">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w:t>
      </w:r>
      <w:r>
        <w:t xml:space="preserve">”</w:t>
      </w:r>
      <w:r>
        <w:t xml:space="preserve"> </w:t>
      </w:r>
      <w:r>
        <w:t xml:space="preserve">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80">
        <w:r>
          <w:rPr>
            <w:i/>
            <w:rStyle w:val="Hyperlink"/>
          </w:rPr>
          <w:t xml:space="preserve">Park v. Deftones,</w:t>
        </w:r>
      </w:hyperlink>
      <w:r>
        <w:t xml:space="preserve">;</w:t>
      </w:r>
      <w:r>
        <w:t xml:space="preserve"> </w:t>
      </w:r>
      <w:hyperlink r:id="rId78">
        <w:r>
          <w:rPr>
            <w:i/>
            <w:rStyle w:val="Hyperlink"/>
          </w:rPr>
          <w:t xml:space="preserve">Waisbren v. Peppercorn Productions, Inc.</w:t>
        </w:r>
      </w:hyperlink>
      <w:r>
        <w:t xml:space="preserve">…</w:t>
      </w:r>
      <w:r>
        <w:t xml:space="preserve"> </w:t>
      </w:r>
      <w:r>
        <w:t xml:space="preserve">The Labor Commissioner, whose interpretations of the</w:t>
      </w:r>
      <w:r>
        <w:t xml:space="preserve"> </w:t>
      </w:r>
      <w:r>
        <w:t xml:space="preserve">Act we may look to for guidance …</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w:t>
      </w:r>
      <w:r>
        <w:t xml:space="preserve"> </w:t>
      </w:r>
      <w:r>
        <w:t xml:space="preserve">“</w:t>
      </w:r>
      <w:r>
        <w:t xml:space="preserve">occupation</w:t>
      </w:r>
      <w:r>
        <w:t xml:space="preserve">”</w:t>
      </w:r>
      <w:r>
        <w:t xml:space="preserve"> </w:t>
      </w:r>
      <w:r>
        <w:t xml:space="preserve">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81">
        <w:r>
          <w:rPr>
            <w:i/>
            <w:rStyle w:val="Hyperlink"/>
          </w:rPr>
          <w:t xml:space="preserve">Wachs</w:t>
        </w:r>
        <w:r>
          <w:rPr>
            <w:i/>
            <w:rStyle w:val="Hyperlink"/>
          </w:rPr>
          <w:t xml:space="preserve"> </w:t>
        </w:r>
        <w:r>
          <w:rPr>
            <w:i/>
            <w:rStyle w:val="Hyperlink"/>
          </w:rPr>
          <w:t xml:space="preserve">v. Curry</w:t>
        </w:r>
      </w:hyperlink>
      <w:r>
        <w:t xml:space="preserve"> </w:t>
      </w:r>
      <w:r>
        <w:t xml:space="preserve">(Act applies only when</w:t>
      </w:r>
      <w:r>
        <w:t xml:space="preserve"> </w:t>
      </w:r>
      <w:r>
        <w:t xml:space="preserve">“</w:t>
      </w:r>
      <w:r>
        <w:t xml:space="preserve">the agent’s employment procurement function</w:t>
      </w:r>
      <w:r>
        <w:t xml:space="preserve"> </w:t>
      </w:r>
      <w:r>
        <w:t xml:space="preserve">constitutes a significant part of the agent’s business as a whole</w:t>
      </w:r>
      <w:r>
        <w:t xml:space="preserve">”</w:t>
      </w:r>
      <w:r>
        <w:t xml:space="preserve">).</w:t>
      </w:r>
      <w:r>
        <w:t xml:space="preserve"> </w:t>
      </w:r>
      <w:r>
        <w:t xml:space="preserve">However, as we have previously acknowledged in dicta,</w:t>
      </w:r>
      <w:r>
        <w:t xml:space="preserve"> </w:t>
      </w:r>
      <w:r>
        <w:t xml:space="preserve">“</w:t>
      </w:r>
      <w:r>
        <w:t xml:space="preserve">[t]he weight of</w:t>
      </w:r>
      <w:r>
        <w:t xml:space="preserve"> </w:t>
      </w:r>
      <w:r>
        <w:t xml:space="preserve">authority is that even the incidental or occasional provision of such</w:t>
      </w:r>
      <w:r>
        <w:t xml:space="preserve"> </w:t>
      </w:r>
      <w:r>
        <w:t xml:space="preserve">services requires licensure.</w:t>
      </w:r>
      <w:r>
        <w:t xml:space="preserve">”</w:t>
      </w:r>
      <w:r>
        <w:t xml:space="preserve">…</w:t>
      </w:r>
    </w:p>
    <w:p>
      <w:pPr>
        <w:pStyle w:val="BodyText"/>
      </w:pPr>
      <w:r>
        <w:t xml:space="preserve">In agreement with these decisions, the Labor Commissioner has</w:t>
      </w:r>
      <w:r>
        <w:t xml:space="preserve"> </w:t>
      </w:r>
      <w:r>
        <w:t xml:space="preserve">uniformly interpreted the Act as extending to incidental procurement.…</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w:t>
      </w:r>
      <w:r>
        <w:t xml:space="preserve"> </w:t>
      </w:r>
      <w:r>
        <w:t xml:space="preserve">“</w:t>
      </w:r>
      <w:r>
        <w:t xml:space="preserve">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w:t>
      </w:r>
      <w:r>
        <w:t xml:space="preserve">”</w:t>
      </w:r>
      <w:r>
        <w:t xml:space="preserve"> </w:t>
      </w:r>
      <w:r>
        <w:t xml:space="preserve">…</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w:t>
      </w:r>
      <w:r>
        <w:t xml:space="preserve"> </w:t>
      </w:r>
      <w:r>
        <w:t xml:space="preserve">“</w:t>
      </w:r>
      <w:r>
        <w:t xml:space="preserve">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r>
        <w:t xml:space="preserve">”</w:t>
      </w:r>
      <w:r>
        <w:t xml:space="preserve">…</w:t>
      </w:r>
    </w:p>
    <w:p>
      <w:pPr>
        <w:pStyle w:val="Heading3"/>
      </w:pPr>
      <w:bookmarkStart w:id="82" w:name="X6a712474452b7b7285e9dbe7133e4393b0166c8"/>
      <w:r>
        <w:t xml:space="preserve">III.</w:t>
      </w:r>
      <w:r>
        <w:t xml:space="preserve"> </w:t>
      </w:r>
      <w:r>
        <w:rPr>
          <w:i/>
        </w:rPr>
        <w:t xml:space="preserve">Sanctions for Solicitation and Procurement Under the Act</w:t>
      </w:r>
      <w:bookmarkEnd w:id="82"/>
    </w:p>
    <w:p>
      <w:pPr>
        <w:pStyle w:val="Heading4"/>
      </w:pPr>
      <w:bookmarkStart w:id="83" w:name="a.-marathons-procurement"/>
      <w:r>
        <w:t xml:space="preserve">A.</w:t>
      </w:r>
      <w:r>
        <w:t xml:space="preserve"> </w:t>
      </w:r>
      <w:r>
        <w:rPr>
          <w:i/>
        </w:rPr>
        <w:t xml:space="preserve">Marathon’s Procurement</w:t>
      </w:r>
      <w:bookmarkEnd w:id="83"/>
    </w:p>
    <w:p>
      <w:pPr>
        <w:pStyle w:val="FirstParagraph"/>
      </w:pPr>
      <w:r>
        <w:t xml:space="preserve">We note we are not called on to decide, and do not decide, what</w:t>
      </w:r>
      <w:r>
        <w:t xml:space="preserve"> </w:t>
      </w:r>
      <w:r>
        <w:t xml:space="preserve">precisely constitutes</w:t>
      </w:r>
      <w:r>
        <w:t xml:space="preserve"> </w:t>
      </w:r>
      <w:r>
        <w:t xml:space="preserve">“</w:t>
      </w:r>
      <w:r>
        <w:t xml:space="preserve">procurement</w:t>
      </w:r>
      <w:r>
        <w:t xml:space="preserve">”</w:t>
      </w:r>
      <w:r>
        <w:t xml:space="preserve"> </w:t>
      </w:r>
      <w:r>
        <w:t xml:space="preserve">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w:t>
      </w:r>
      <w:r>
        <w:t xml:space="preserve"> </w:t>
      </w:r>
      <w:r>
        <w:t xml:space="preserve">“</w:t>
      </w:r>
      <w:r>
        <w:t xml:space="preserve">safe harbor</w:t>
      </w:r>
      <w:r>
        <w:t xml:space="preserve">”</w:t>
      </w:r>
      <w:r>
        <w:t xml:space="preserve"> </w:t>
      </w:r>
      <w:r>
        <w:t xml:space="preserve">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p>
      <w:pPr>
        <w:pStyle w:val="Heading4"/>
      </w:pPr>
      <w:bookmarkStart w:id="84" w:name="X8b836d75912f59fe4e902e54048dba54507dfd5"/>
      <w:r>
        <w:t xml:space="preserve">B.</w:t>
      </w:r>
      <w:r>
        <w:t xml:space="preserve"> </w:t>
      </w:r>
      <w:r>
        <w:rPr>
          <w:i/>
        </w:rPr>
        <w:t xml:space="preserve">The Applicability of the Doctrine of Severability to Manager-talent Contracts</w:t>
      </w:r>
      <w:bookmarkEnd w:id="84"/>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w:t>
      </w:r>
      <w:r>
        <w:t xml:space="preserve"> </w:t>
      </w:r>
      <w:r>
        <w:t xml:space="preserve">“</w:t>
      </w:r>
      <w:r>
        <w:t xml:space="preserve">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85">
        <w:r>
          <w:rPr>
            <w:i/>
            <w:rStyle w:val="Hyperlink"/>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86">
        <w:r>
          <w:rPr>
            <w:i/>
            <w:rStyle w:val="Hyperlink"/>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w:t>
      </w:r>
      <w:r>
        <w:t xml:space="preserve"> </w:t>
      </w:r>
      <w:r>
        <w:t xml:space="preserve">“</w:t>
      </w:r>
      <w:r>
        <w:t xml:space="preserve">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w:t>
      </w:r>
      <w:r>
        <w:t xml:space="preserve">”</w:t>
      </w:r>
      <w:r>
        <w:t xml:space="preserve"> </w:t>
      </w:r>
      <w:r>
        <w:t xml:space="preserve">(Entertainment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w:t>
      </w:r>
      <w:r>
        <w:t xml:space="preserve"> </w:t>
      </w:r>
      <w:r>
        <w:t xml:space="preserve">“</w:t>
      </w:r>
      <w:r>
        <w:t xml:space="preserve">power</w:t>
      </w:r>
      <w:r>
        <w:t xml:space="preserve">”</w:t>
      </w:r>
      <w:r>
        <w:t xml:space="preserve"> </w:t>
      </w:r>
      <w:r>
        <w:t xml:space="preserve">to void</w:t>
      </w:r>
      <w:r>
        <w:t xml:space="preserve"> </w:t>
      </w:r>
      <w:r>
        <w:t xml:space="preserve">contracts, that she is</w:t>
      </w:r>
      <w:r>
        <w:t xml:space="preserve"> </w:t>
      </w:r>
      <w:r>
        <w:t xml:space="preserve">“</w:t>
      </w:r>
      <w:r>
        <w:t xml:space="preserve">empowered</w:t>
      </w:r>
      <w:r>
        <w:t xml:space="preserve">”</w:t>
      </w:r>
      <w:r>
        <w:t xml:space="preserve"> </w:t>
      </w:r>
      <w:r>
        <w:t xml:space="preserve">to deny all recovery for services</w:t>
      </w:r>
      <w:r>
        <w:t xml:space="preserve"> </w:t>
      </w:r>
      <w:r>
        <w:t xml:space="preserve">where the Act has been violated, and that these remedies are</w:t>
      </w:r>
      <w:r>
        <w:t xml:space="preserve"> </w:t>
      </w:r>
      <w:r>
        <w:t xml:space="preserve">“</w:t>
      </w:r>
      <w:r>
        <w:t xml:space="preserve">available.</w:t>
      </w:r>
      <w:r>
        <w:t xml:space="preserve">”</w:t>
      </w:r>
      <w:r>
        <w:t xml:space="preserve"> </w:t>
      </w:r>
      <w:r>
        <w:t xml:space="preserve">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86">
        <w:r>
          <w:rPr>
            <w:i/>
            <w:rStyle w:val="Hyperlink"/>
          </w:rPr>
          <w:t xml:space="preserve">Chiba v. Greenwald supra</w:t>
        </w:r>
      </w:hyperlink>
      <w:r>
        <w:t xml:space="preserve"> </w:t>
      </w:r>
      <w:hyperlink r:id="rId85">
        <w:r>
          <w:rPr>
            <w:i/>
            <w:rStyle w:val="Hyperlink"/>
          </w:rPr>
          <w:t xml:space="preserve">Yoo v. Robi supra</w:t>
        </w:r>
      </w:hyperlink>
      <w:r>
        <w:t xml:space="preserve"> </w:t>
      </w:r>
      <w:hyperlink r:id="rId80">
        <w:r>
          <w:rPr>
            <w:i/>
            <w:rStyle w:val="Hyperlink"/>
          </w:rPr>
          <w:t xml:space="preserve">Park v. Deftones, supra,</w:t>
        </w:r>
      </w:hyperlink>
      <w:r>
        <w:t xml:space="preserve"> </w:t>
      </w:r>
      <w:hyperlink r:id="rId78">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p>
      <w:pPr>
        <w:pStyle w:val="Heading4"/>
      </w:pPr>
      <w:bookmarkStart w:id="87" w:name="X6e7f80fd7a52bd7826064b24666283d05dc83fc"/>
      <w:r>
        <w:t xml:space="preserve">C.</w:t>
      </w:r>
      <w:r>
        <w:t xml:space="preserve"> </w:t>
      </w:r>
      <w:r>
        <w:rPr>
          <w:i/>
        </w:rPr>
        <w:t xml:space="preserve">Application of the Severability Doctrine</w:t>
      </w:r>
      <w:bookmarkEnd w:id="87"/>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w:t>
      </w:r>
      <w:r>
        <w:t xml:space="preserve"> </w:t>
      </w:r>
      <w:r>
        <w:t xml:space="preserve">“</w:t>
      </w:r>
      <w:r>
        <w:t xml:space="preserve">[t]he</w:t>
      </w:r>
      <w:r>
        <w:t xml:space="preserve"> </w:t>
      </w:r>
      <w:r>
        <w:t xml:space="preserve">overarching inquiry is whether `</w:t>
      </w:r>
      <w:r>
        <w:t xml:space="preserve">”</w:t>
      </w:r>
      <w:r>
        <w:t xml:space="preserve">the interests of justice … would be</w:t>
      </w:r>
      <w:r>
        <w:t xml:space="preserve"> </w:t>
      </w:r>
      <w:r>
        <w:t xml:space="preserve">furthered</w:t>
      </w:r>
      <w:r>
        <w:t xml:space="preserve">“</w:t>
      </w:r>
      <w:r>
        <w:t xml:space="preserve">’ by severance.</w:t>
      </w:r>
      <w:r>
        <w:t xml:space="preserve">”</w:t>
      </w:r>
      <w:r>
        <w:t xml:space="preserve"> </w:t>
      </w:r>
      <w:r>
        <w:t xml:space="preserve">…</w:t>
      </w:r>
      <w:r>
        <w:t xml:space="preserve"> </w:t>
      </w:r>
      <w:r>
        <w:t xml:space="preserve">“</w:t>
      </w:r>
      <w:r>
        <w:t xml:space="preserve">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w:t>
      </w:r>
      <w:r>
        <w:t xml:space="preserve">”</w:t>
      </w:r>
      <w:r>
        <w:t xml:space="preserve">…</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w:t>
      </w:r>
    </w:p>
    <w:p>
      <w:pPr>
        <w:pStyle w:val="BodyText"/>
      </w:pPr>
      <w:r>
        <w:t xml:space="preserve">While an undifferentiated compensation scheme may in some instances</w:t>
      </w:r>
      <w:r>
        <w:t xml:space="preserve"> </w:t>
      </w:r>
      <w:r>
        <w:t xml:space="preserve">preclude severance …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p>
      <w:pPr>
        <w:pStyle w:val="Heading3"/>
      </w:pPr>
      <w:bookmarkStart w:id="88" w:name="disposition"/>
      <w:r>
        <w:t xml:space="preserve">Disposition</w:t>
      </w:r>
      <w:bookmarkEnd w:id="88"/>
    </w:p>
    <w:p>
      <w:pPr>
        <w:pStyle w:val="FirstParagraph"/>
      </w:pPr>
      <w:r>
        <w:t xml:space="preserve">For the foregoing reasons, we affirm the Court of Appeal’s judgment and</w:t>
      </w:r>
      <w:r>
        <w:t xml:space="preserve"> </w:t>
      </w:r>
      <w:r>
        <w:t xml:space="preserve">remand this case for further proceedings consistent with this opinion.</w:t>
      </w:r>
    </w:p>
    <w:p>
      <w:pPr>
        <w:pStyle w:val="Heading6"/>
      </w:pPr>
      <w:bookmarkStart w:id="89" w:name="section-2"/>
      <w:bookmarkEnd w:id="89"/>
    </w:p>
    <w:p>
      <w:pPr>
        <w:pStyle w:val="Heading2"/>
      </w:pPr>
      <w:bookmarkStart w:id="90" w:name="wachs-v.-curry"/>
      <w:r>
        <w:rPr>
          <w:i/>
        </w:rPr>
        <w:t xml:space="preserve">Wachs v. Curry,</w:t>
      </w:r>
      <w:bookmarkEnd w:id="90"/>
    </w:p>
    <w:p>
      <w:pPr>
        <w:pStyle w:val="Heading6"/>
      </w:pPr>
      <w:bookmarkStart w:id="91" w:name="cal.ct.app.2d-1993"/>
      <w:r>
        <w:t xml:space="preserve">Cal.Ct.App.2d 1993</w:t>
      </w:r>
      <w:bookmarkEnd w:id="91"/>
    </w:p>
    <w:p>
      <w:pPr>
        <w:pStyle w:val="Compact"/>
        <w:numPr>
          <w:numId w:val="1013"/>
          <w:ilvl w:val="0"/>
        </w:numPr>
      </w:pPr>
      <w:hyperlink r:id="rId92">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93">
        <w:r>
          <w:rPr>
            <w:rStyle w:val="Hyperlink"/>
          </w:rPr>
          <w:t xml:space="preserve">Arsenio Hall</w:t>
        </w:r>
      </w:hyperlink>
      <w:r>
        <w:t xml:space="preserve"> </w:t>
      </w:r>
      <w:r>
        <w:t xml:space="preserve">sued his former manager, Robert Wachs (a lawyer) of X Corporation, accusing Wachs of trying to</w:t>
      </w:r>
      <w:r>
        <w:t xml:space="preserve"> </w:t>
      </w:r>
      <w:r>
        <w:t xml:space="preserve">“</w:t>
      </w:r>
      <w:r>
        <w:t xml:space="preserve">procure empoyment</w:t>
      </w:r>
      <w:r>
        <w:t xml:space="preserve">”</w:t>
      </w:r>
      <w:r>
        <w:t xml:space="preserve"> </w:t>
      </w:r>
      <w:r>
        <w:t xml:space="preserve">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w:t>
      </w:r>
      <w:r>
        <w:t xml:space="preserve"> </w:t>
      </w:r>
      <w:r>
        <w:t xml:space="preserve">“</w:t>
      </w:r>
      <w:r>
        <w:t xml:space="preserve">no rational basis</w:t>
      </w:r>
      <w:r>
        <w:t xml:space="preserve">”</w:t>
      </w:r>
      <w:r>
        <w:t xml:space="preserve"> </w:t>
      </w:r>
      <w:r>
        <w:t xml:space="preserve">for exempting the recording industry from the provisions of the TAA.</w:t>
      </w:r>
    </w:p>
    <w:p>
      <w:pPr>
        <w:pStyle w:val="Compact"/>
        <w:numPr>
          <w:numId w:val="1014"/>
          <w:ilvl w:val="0"/>
        </w:numPr>
      </w:pPr>
      <w:r>
        <w:t xml:space="preserve">The TAA is unconstitutionally</w:t>
      </w:r>
      <w:r>
        <w:t xml:space="preserve"> </w:t>
      </w:r>
      <w:r>
        <w:rPr>
          <w:i/>
        </w:rPr>
        <w:t xml:space="preserve">vague</w:t>
      </w:r>
      <w:r>
        <w:t xml:space="preserv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w:t>
      </w:r>
      <w:r>
        <w:t xml:space="preserve"> </w:t>
      </w:r>
      <w:r>
        <w:t xml:space="preserve">“</w:t>
      </w:r>
      <w:r>
        <w:t xml:space="preserve">legal</w:t>
      </w:r>
      <w:r>
        <w:t xml:space="preserve">”</w:t>
      </w:r>
      <w:r>
        <w:t xml:space="preserve"> </w:t>
      </w:r>
      <w:r>
        <w:t xml:space="preserve">portions of the representation provided and sever the illegal ones.</w:t>
      </w:r>
    </w:p>
    <w:p>
      <w:pPr>
        <w:pStyle w:val="Compact"/>
        <w:numPr>
          <w:numId w:val="1016"/>
          <w:ilvl w:val="0"/>
        </w:numPr>
      </w:pPr>
      <w:r>
        <w:t xml:space="preserve">For more information, see:</w:t>
      </w:r>
      <w:r>
        <w:t xml:space="preserve"> </w:t>
      </w:r>
      <w:hyperlink r:id="rId94">
        <w:r>
          <w:rPr>
            <w:rStyle w:val="Hyperlink"/>
          </w:rPr>
          <w:t xml:space="preserve">How to obtain a California Talent Agency License</w:t>
        </w:r>
      </w:hyperlink>
      <w:r>
        <w:t xml:space="preserve">.</w:t>
      </w:r>
    </w:p>
    <w:p>
      <w:pPr>
        <w:pStyle w:val="Heading3"/>
      </w:pPr>
      <w:bookmarkStart w:id="95" w:name="music-industry-exception"/>
      <w:r>
        <w:t xml:space="preserve">Music Industry Exception</w:t>
      </w:r>
      <w:bookmarkEnd w:id="95"/>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96">
        <w:r>
          <w:rPr>
            <w:i/>
            <w:rStyle w:val="Hyperlink"/>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pStyle w:val="Compact"/>
        <w:numPr>
          <w:numId w:val="1017"/>
          <w:ilvl w:val="0"/>
        </w:numPr>
      </w:pPr>
      <w:hyperlink r:id="rId97">
        <w:r>
          <w:rPr>
            <w:rStyle w:val="Hyperlink"/>
          </w:rPr>
          <w:t xml:space="preserve">Actors Union Introduces Voluntary Regulation of Talent Managers</w:t>
        </w:r>
      </w:hyperlink>
    </w:p>
    <w:p>
      <w:pPr>
        <w:pStyle w:val="Compact"/>
        <w:numPr>
          <w:numId w:val="1017"/>
          <w:ilvl w:val="0"/>
        </w:numPr>
      </w:pPr>
      <w:hyperlink r:id="rId98">
        <w:r>
          <w:rPr>
            <w:rStyle w:val="Hyperlink"/>
          </w:rPr>
          <w:t xml:space="preserve">Did the California Labor Commissioner Just Shake Up the Music Industry?</w:t>
        </w:r>
      </w:hyperlink>
    </w:p>
    <w:p>
      <w:pPr>
        <w:pStyle w:val="Heading6"/>
      </w:pPr>
      <w:bookmarkStart w:id="99" w:name="section-3"/>
      <w:bookmarkEnd w:id="99"/>
    </w:p>
    <w:p>
      <w:pPr>
        <w:pStyle w:val="Heading2"/>
      </w:pPr>
      <w:bookmarkStart w:id="100" w:name="conflicts-of-interest"/>
      <w:r>
        <w:t xml:space="preserve">Conflicts of Interest:</w:t>
      </w:r>
      <w:bookmarkEnd w:id="100"/>
    </w:p>
    <w:p>
      <w:pPr>
        <w:pStyle w:val="Heading2"/>
      </w:pPr>
      <w:bookmarkStart w:id="101" w:name="croce-v.-kurnit"/>
      <w:r>
        <w:t xml:space="preserve">Croce v. Kurnit</w:t>
      </w:r>
      <w:bookmarkEnd w:id="101"/>
    </w:p>
    <w:p>
      <w:pPr>
        <w:pStyle w:val="Heading6"/>
      </w:pPr>
      <w:bookmarkStart w:id="102" w:name="Xda3ed30af7931575baf0213871ddd96e81ff09e"/>
      <w:r>
        <w:t xml:space="preserve">United States District Court (S.D.N.Y. 1982)</w:t>
      </w:r>
      <w:bookmarkEnd w:id="102"/>
    </w:p>
    <w:p>
      <w:pPr>
        <w:pStyle w:val="Compact"/>
        <w:numPr>
          <w:numId w:val="1018"/>
          <w:ilvl w:val="0"/>
        </w:numPr>
      </w:pPr>
      <w:hyperlink r:id="rId103">
        <w:r>
          <w:rPr>
            <w:i/>
            <w:rStyle w:val="Hyperlink"/>
          </w:rPr>
          <w:t xml:space="preserve">Croce v. Kurnit,</w:t>
        </w:r>
      </w:hyperlink>
      <w:r>
        <w:t xml:space="preserve"> </w:t>
      </w:r>
      <w:r>
        <w:t xml:space="preserve">565 F.Supp. 884 (SDNY 1982).</w:t>
      </w:r>
    </w:p>
    <w:p>
      <w:pPr>
        <w:pStyle w:val="Compact"/>
        <w:numPr>
          <w:numId w:val="1018"/>
          <w:ilvl w:val="0"/>
        </w:numPr>
      </w:pPr>
      <w:hyperlink r:id="rId104">
        <w:r>
          <w:rPr>
            <w:rStyle w:val="Hyperlink"/>
          </w:rPr>
          <w:t xml:space="preserve">case on Google Scholar</w:t>
        </w:r>
      </w:hyperlink>
    </w:p>
    <w:p>
      <w:pPr>
        <w:pStyle w:val="Heading3"/>
      </w:pPr>
      <w:bookmarkStart w:id="105" w:name="opinion"/>
      <w:r>
        <w:t xml:space="preserve">OPINION</w:t>
      </w:r>
      <w:bookmarkEnd w:id="105"/>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w:t>
      </w:r>
      <w:r>
        <w:t xml:space="preserve"> </w:t>
      </w:r>
      <w:r>
        <w:t xml:space="preserve">“</w:t>
      </w:r>
      <w:r>
        <w:t xml:space="preserve">A Star Is Born,</w:t>
      </w:r>
      <w:r>
        <w:t xml:space="preserve">”</w:t>
      </w:r>
      <w:r>
        <w:t xml:space="preserve"> </w:t>
      </w:r>
      <w:r>
        <w:t xml:space="preserve">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w:t>
      </w:r>
      <w:r>
        <w:t xml:space="preserve">“</w:t>
      </w:r>
      <w:r>
        <w:t xml:space="preserve">Mrs. Croce</w:t>
      </w:r>
      <w:r>
        <w:t xml:space="preserve">”</w:t>
      </w:r>
      <w:r>
        <w:t xml:space="preserv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w:t>
      </w:r>
    </w:p>
    <w:p>
      <w:pPr>
        <w:pStyle w:val="Heading4"/>
      </w:pPr>
      <w:bookmarkStart w:id="106" w:name="findings-of-fact"/>
      <w:r>
        <w:rPr>
          <w:i/>
        </w:rPr>
        <w:t xml:space="preserve">Findings of Fact</w:t>
      </w:r>
      <w:bookmarkEnd w:id="106"/>
    </w:p>
    <w:p>
      <w:pPr>
        <w:pStyle w:val="FirstParagraph"/>
      </w:pPr>
      <w:r>
        <w:t xml:space="preserve">James Joseph Croce (</w:t>
      </w:r>
      <w:r>
        <w:t xml:space="preserve">“</w:t>
      </w:r>
      <w:r>
        <w:t xml:space="preserve">Jim Croce</w:t>
      </w:r>
      <w:r>
        <w:t xml:space="preserve">”</w:t>
      </w:r>
      <w:r>
        <w:t xml:space="preserv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w:t>
      </w:r>
      <w:r>
        <w:t xml:space="preserve">“</w:t>
      </w:r>
      <w:r>
        <w:t xml:space="preserve">Pistilli</w:t>
      </w:r>
      <w:r>
        <w:t xml:space="preserve">”</w:t>
      </w:r>
      <w:r>
        <w:t xml:space="preserve">)</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w:t>
      </w:r>
      <w:r>
        <w:t xml:space="preserve"> </w:t>
      </w:r>
      <w:r>
        <w:t xml:space="preserve">“</w:t>
      </w:r>
      <w:r>
        <w:t xml:space="preserve">the lawyer.</w:t>
      </w:r>
      <w:r>
        <w:t xml:space="preserve">”</w:t>
      </w:r>
      <w:r>
        <w:t xml:space="preserve"> </w:t>
      </w:r>
      <w:r>
        <w:t xml:space="preserve">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w:t>
      </w:r>
      <w:r>
        <w:t xml:space="preserve">“</w:t>
      </w:r>
      <w:r>
        <w:t xml:space="preserve">the contracts</w:t>
      </w:r>
      <w:r>
        <w:t xml:space="preserve">”</w:t>
      </w:r>
      <w:r>
        <w:t xml:space="preserve">).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w:t>
      </w:r>
      <w:r>
        <w:t xml:space="preserve">“</w:t>
      </w:r>
      <w:r>
        <w:t xml:space="preserve">Interrobang</w:t>
      </w:r>
      <w:r>
        <w:t xml:space="preserve">”</w:t>
      </w:r>
      <w:r>
        <w:t xml:space="preserve">),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w:t>
      </w:r>
      <w:r>
        <w:t xml:space="preserve"> </w:t>
      </w:r>
      <w:r>
        <w:t xml:space="preserve">“</w:t>
      </w:r>
      <w:r>
        <w:t xml:space="preserve">demo</w:t>
      </w:r>
      <w:r>
        <w:t xml:space="preserve">”</w:t>
      </w:r>
      <w:r>
        <w:t xml:space="preserve">)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w:t>
      </w:r>
      <w:r>
        <w:t xml:space="preserve">“</w:t>
      </w:r>
      <w:r>
        <w:t xml:space="preserve">Cushman</w:t>
      </w:r>
      <w:r>
        <w:t xml:space="preserve">”</w:t>
      </w:r>
      <w:r>
        <w:t xml:space="preserve">) of Pepper, Hamilton &amp; Schatz in Philadelphia. On June 9,</w:t>
      </w:r>
      <w:r>
        <w:t xml:space="preserve"> </w:t>
      </w:r>
      <w:r>
        <w:t xml:space="preserve">1970 Croce wrote to Kurnit seeking to terminate the contracts and</w:t>
      </w:r>
      <w:r>
        <w:t xml:space="preserve"> </w:t>
      </w:r>
      <w:r>
        <w:t xml:space="preserve">advising him that</w:t>
      </w:r>
      <w:r>
        <w:t xml:space="preserve"> </w:t>
      </w:r>
      <w:r>
        <w:t xml:space="preserve">“</w:t>
      </w:r>
      <w:r>
        <w:t xml:space="preserve">Ingrid and I are getting out of music.</w:t>
      </w:r>
      <w:r>
        <w:t xml:space="preserve">”</w:t>
      </w:r>
      <w:r>
        <w:t xml:space="preserve"> </w:t>
      </w:r>
      <w:r>
        <w:t xml:space="preserve">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w:t>
      </w:r>
      <w:r>
        <w:t xml:space="preserve">“</w:t>
      </w:r>
      <w:r>
        <w:t xml:space="preserve">BNB</w:t>
      </w:r>
      <w:r>
        <w:t xml:space="preserve">”</w:t>
      </w:r>
      <w:r>
        <w:t xml:space="preserve">)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w:t>
      </w: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r>
        <w:t xml:space="preserve">”</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w:t>
      </w:r>
      <w:r>
        <w:t xml:space="preserve"> </w:t>
      </w:r>
      <w:r>
        <w:t xml:space="preserve">“</w:t>
      </w:r>
      <w:r>
        <w:t xml:space="preserve">the estate sides,</w:t>
      </w:r>
      <w:r>
        <w:t xml:space="preserve">”</w:t>
      </w:r>
      <w:r>
        <w:t xml:space="preserve"> </w:t>
      </w:r>
      <w:r>
        <w:t xml:space="preserve">were the subject of the contract issues</w:t>
      </w:r>
      <w:r>
        <w:t xml:space="preserve"> </w:t>
      </w:r>
      <w:r>
        <w:t xml:space="preserve">concerning the publication of</w:t>
      </w:r>
      <w:r>
        <w:t xml:space="preserve"> </w:t>
      </w:r>
      <w:r>
        <w:t xml:space="preserve">“</w:t>
      </w:r>
      <w:r>
        <w:t xml:space="preserve">The Faces I Have Been</w:t>
      </w:r>
      <w:r>
        <w:t xml:space="preserve">”</w:t>
      </w:r>
      <w:r>
        <w:t xml:space="preserve"> </w:t>
      </w:r>
      <w:r>
        <w:t xml:space="preserve">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p>
      <w:pPr>
        <w:pStyle w:val="Heading4"/>
      </w:pPr>
      <w:bookmarkStart w:id="107" w:name="representation-by-kurnit"/>
      <w:r>
        <w:t xml:space="preserve">1.</w:t>
      </w:r>
      <w:r>
        <w:t xml:space="preserve"> </w:t>
      </w:r>
      <w:r>
        <w:rPr>
          <w:i/>
        </w:rPr>
        <w:t xml:space="preserve">Representation by Kurnit</w:t>
      </w:r>
      <w:bookmarkEnd w:id="107"/>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w:t>
      </w:r>
      <w:r>
        <w:t xml:space="preserve"> </w:t>
      </w:r>
      <w:r>
        <w:t xml:space="preserve">“</w:t>
      </w:r>
      <w:r>
        <w:t xml:space="preserve">the lawyer,</w:t>
      </w:r>
      <w:r>
        <w:t xml:space="preserve">”</w:t>
      </w:r>
      <w:r>
        <w:t xml:space="preserve"> </w:t>
      </w:r>
      <w:r>
        <w:t xml:space="preserve">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 Kurnit’s introduction as</w:t>
      </w:r>
      <w:r>
        <w:t xml:space="preserve"> </w:t>
      </w:r>
      <w:r>
        <w:t xml:space="preserve">“</w:t>
      </w:r>
      <w:r>
        <w:t xml:space="preserve">the</w:t>
      </w:r>
      <w:r>
        <w:t xml:space="preserve"> </w:t>
      </w:r>
      <w:r>
        <w:t xml:space="preserve">lawyer,</w:t>
      </w:r>
      <w:r>
        <w:t xml:space="preserve">”</w:t>
      </w:r>
      <w:r>
        <w:t xml:space="preserve"> </w:t>
      </w:r>
      <w:r>
        <w:t xml:space="preserve">his explanation to the Croces of the</w:t>
      </w:r>
      <w:r>
        <w:t xml:space="preserve"> </w:t>
      </w:r>
      <w:r>
        <w:t xml:space="preserve">“</w:t>
      </w:r>
      <w:r>
        <w:t xml:space="preserve">legal ramifications</w:t>
      </w:r>
      <w:r>
        <w:t xml:space="preserve">”</w:t>
      </w:r>
      <w:r>
        <w:t xml:space="preserve"> </w:t>
      </w:r>
      <w:r>
        <w:t xml:space="preserve">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108">
        <w:r>
          <w:rPr>
            <w:i/>
            <w:rStyle w:val="Hyperlink"/>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109">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109">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 Mrs.</w:t>
      </w:r>
      <w:r>
        <w:t xml:space="preserve"> </w:t>
      </w:r>
      <w:r>
        <w:t xml:space="preserve">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w:t>
      </w:r>
    </w:p>
    <w:p>
      <w:pPr>
        <w:pStyle w:val="Heading4"/>
      </w:pPr>
      <w:bookmarkStart w:id="110" w:name="X9925a5efad4fe8b51f35eb544ea618ae1f115d6"/>
      <w:r>
        <w:t xml:space="preserve">3.</w:t>
      </w:r>
      <w:r>
        <w:t xml:space="preserve"> </w:t>
      </w:r>
      <w:r>
        <w:rPr>
          <w:i/>
        </w:rPr>
        <w:t xml:space="preserve">Unconscionability and Breach of Fiduciary Duty</w:t>
      </w:r>
      <w:bookmarkEnd w:id="110"/>
    </w:p>
    <w:p>
      <w:pPr>
        <w:pStyle w:val="FirstParagraph"/>
      </w:pPr>
      <w:r>
        <w:t xml:space="preserve">Mrs. Croce contends that the contracts were unconscionable. An</w:t>
      </w:r>
      <w:r>
        <w:t xml:space="preserve"> </w:t>
      </w:r>
      <w:r>
        <w:t xml:space="preserve">unconscionable contract</w:t>
      </w:r>
      <w:r>
        <w:t xml:space="preserve"> </w:t>
      </w:r>
      <w:r>
        <w:t xml:space="preserve">“</w:t>
      </w:r>
      <w:r>
        <w:t xml:space="preserve">affronts the sense of decency,</w:t>
      </w:r>
      <w:r>
        <w:t xml:space="preserve">”</w:t>
      </w:r>
      <w:r>
        <w:t xml:space="preserve"> </w:t>
      </w:r>
      <w:r>
        <w:t xml:space="preserve">…</w:t>
      </w:r>
      <w:r>
        <w:t xml:space="preserve"> </w:t>
      </w:r>
      <w:r>
        <w:t xml:space="preserve">and usually involves gross onesidedness, lack of meaningful choice and</w:t>
      </w:r>
      <w:r>
        <w:t xml:space="preserve"> </w:t>
      </w:r>
      <w:r>
        <w:t xml:space="preserve">susceptible clientèle.… A claim of unconscionability</w:t>
      </w:r>
      <w:r>
        <w:t xml:space="preserve"> </w:t>
      </w:r>
      <w:r>
        <w:t xml:space="preserve">“</w:t>
      </w:r>
      <w:r>
        <w:t xml:space="preserve">requires some showing of</w:t>
      </w:r>
      <w:r>
        <w:t xml:space="preserve"> </w:t>
      </w:r>
      <w:r>
        <w:t xml:space="preserve">‘</w:t>
      </w:r>
      <w:r>
        <w:t xml:space="preserve">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w:t>
      </w:r>
      <w:r>
        <w:t xml:space="preserve">’</w:t>
      </w:r>
      <w:r>
        <w:t xml:space="preserve">”</w:t>
      </w:r>
      <w:r>
        <w:t xml:space="preserve">…</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 ,</w:t>
      </w:r>
      <w:r>
        <w:t xml:space="preserve"> </w:t>
      </w:r>
      <w:r>
        <w:t xml:space="preserve">and that the contracts did not provide for the sole benefit of the</w:t>
      </w:r>
      <w:r>
        <w:t xml:space="preserve"> </w:t>
      </w:r>
      <w:r>
        <w:t xml:space="preserve">defendants, …</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p>
      <w:pPr>
        <w:pStyle w:val="Heading4"/>
      </w:pPr>
      <w:bookmarkStart w:id="111" w:name="remedy"/>
      <w:r>
        <w:t xml:space="preserve">4.</w:t>
      </w:r>
      <w:r>
        <w:t xml:space="preserve"> </w:t>
      </w:r>
      <w:r>
        <w:rPr>
          <w:i/>
        </w:rPr>
        <w:t xml:space="preserve">Remedy</w:t>
      </w:r>
      <w:bookmarkEnd w:id="111"/>
    </w:p>
    <w:p>
      <w:pPr>
        <w:pStyle w:val="FirstParagraph"/>
      </w:pPr>
      <w:r>
        <w:t xml:space="preserve">Mrs. Croce seeks rescission of the contracts or more specifically</w:t>
      </w:r>
      <w:r>
        <w:t xml:space="preserve"> </w:t>
      </w:r>
      <w:r>
        <w:t xml:space="preserve">termination of the contracts on the date of judgment.…</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w:t>
      </w:r>
    </w:p>
    <w:p>
      <w:pPr>
        <w:pStyle w:val="BodyText"/>
      </w:pPr>
      <w:r>
        <w:t xml:space="preserve">IT IS SO ORDERED.</w:t>
      </w:r>
    </w:p>
    <w:p>
      <w:pPr>
        <w:pStyle w:val="Heading3"/>
      </w:pPr>
      <w:bookmarkStart w:id="112" w:name="totally-optional-reading-viewing"/>
      <w:r>
        <w:t xml:space="preserve">Totally Optional Reading &amp; Viewing</w:t>
      </w:r>
      <w:bookmarkEnd w:id="112"/>
    </w:p>
    <w:p>
      <w:pPr>
        <w:pStyle w:val="FirstParagraph"/>
      </w:pPr>
      <w:r>
        <w:rPr>
          <w:b/>
        </w:rPr>
        <w:t xml:space="preserve">Gary Shandling v. Brad Grey</w:t>
      </w:r>
    </w:p>
    <w:p>
      <w:pPr>
        <w:pStyle w:val="Compact"/>
        <w:numPr>
          <w:numId w:val="1019"/>
          <w:ilvl w:val="0"/>
        </w:numPr>
      </w:pPr>
      <w:hyperlink r:id="rId113">
        <w:r>
          <w:rPr>
            <w:rStyle w:val="Hyperlink"/>
          </w:rPr>
          <w:t xml:space="preserve">LA Times on the lawsuit itself</w:t>
        </w:r>
      </w:hyperlink>
    </w:p>
    <w:p>
      <w:pPr>
        <w:pStyle w:val="Compact"/>
        <w:numPr>
          <w:numId w:val="1019"/>
          <w:ilvl w:val="0"/>
        </w:numPr>
      </w:pPr>
      <w:hyperlink r:id="rId114">
        <w:r>
          <w:rPr>
            <w:rStyle w:val="Hyperlink"/>
          </w:rPr>
          <w:t xml:space="preserve">Deadline on Shandling testimony at trial</w:t>
        </w:r>
      </w:hyperlink>
    </w:p>
    <w:p>
      <w:pPr>
        <w:pStyle w:val="Compact"/>
        <w:numPr>
          <w:numId w:val="1019"/>
          <w:ilvl w:val="0"/>
        </w:numPr>
      </w:pPr>
      <w:hyperlink r:id="rId115">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116">
        <w:r>
          <w:rPr>
            <w:rStyle w:val="Hyperlink"/>
          </w:rPr>
          <w:t xml:space="preserve">Slate:</w:t>
        </w:r>
        <w:r>
          <w:rPr>
            <w:rStyle w:val="Hyperlink"/>
          </w:rPr>
          <w:t xml:space="preserve"> </w:t>
        </w:r>
        <w:r>
          <w:rPr>
            <w:i/>
            <w:rStyle w:val="Hyperlink"/>
          </w:rPr>
          <w:t xml:space="preserve">The Difference Between an</w:t>
        </w:r>
        <w:r>
          <w:rPr>
            <w:i/>
            <w:rStyle w:val="Hyperlink"/>
          </w:rPr>
          <w:t xml:space="preserve"> </w:t>
        </w:r>
        <w:r>
          <w:rPr>
            <w:i/>
            <w:rStyle w:val="Hyperlink"/>
          </w:rPr>
          <w:t xml:space="preserve">“</w:t>
        </w:r>
        <w:r>
          <w:rPr>
            <w:i/>
            <w:rStyle w:val="Hyperlink"/>
          </w:rPr>
          <w:t xml:space="preserve">Agent</w:t>
        </w:r>
        <w:r>
          <w:rPr>
            <w:i/>
            <w:rStyle w:val="Hyperlink"/>
          </w:rPr>
          <w:t xml:space="preserve">”</w:t>
        </w:r>
        <w:r>
          <w:rPr>
            <w:i/>
            <w:rStyle w:val="Hyperlink"/>
          </w:rPr>
          <w:t xml:space="preserve"> </w:t>
        </w:r>
        <w:r>
          <w:rPr>
            <w:i/>
            <w:rStyle w:val="Hyperlink"/>
          </w:rPr>
          <w:t xml:space="preserve">and a</w:t>
        </w:r>
        <w:r>
          <w:rPr>
            <w:i/>
            <w:rStyle w:val="Hyperlink"/>
          </w:rPr>
          <w:t xml:space="preserve"> </w:t>
        </w:r>
        <w:r>
          <w:rPr>
            <w:i/>
            <w:rStyle w:val="Hyperlink"/>
          </w:rPr>
          <w:t xml:space="preserve">“</w:t>
        </w:r>
        <w:r>
          <w:rPr>
            <w:i/>
            <w:rStyle w:val="Hyperlink"/>
          </w:rPr>
          <w:t xml:space="preserve">Manager</w:t>
        </w:r>
        <w:r>
          <w:rPr>
            <w:i/>
            <w:rStyle w:val="Hyperlink"/>
          </w:rPr>
          <w:t xml:space="preserve">”</w:t>
        </w:r>
      </w:hyperlink>
    </w:p>
    <w:p>
      <w:pPr>
        <w:pStyle w:val="Compact"/>
        <w:numPr>
          <w:numId w:val="1020"/>
          <w:ilvl w:val="0"/>
        </w:numPr>
      </w:pPr>
      <w:r>
        <w:t xml:space="preserve">Poke around</w:t>
      </w:r>
      <w:r>
        <w:t xml:space="preserve"> </w:t>
      </w:r>
      <w:hyperlink r:id="rId117">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18">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19">
        <w:r>
          <w:rPr>
            <w:rStyle w:val="Hyperlink"/>
          </w:rPr>
          <w:t xml:space="preserve">How do I get an agent?</w:t>
        </w:r>
      </w:hyperlink>
      <w:r>
        <w:t xml:space="preserve">.</w:t>
      </w:r>
    </w:p>
    <w:p>
      <w:pPr>
        <w:pStyle w:val="Compact"/>
        <w:numPr>
          <w:numId w:val="1021"/>
          <w:ilvl w:val="1"/>
        </w:numPr>
      </w:pPr>
      <w:hyperlink r:id="rId120">
        <w:r>
          <w:rPr>
            <w:rStyle w:val="Hyperlink"/>
          </w:rPr>
          <w:t xml:space="preserve">What is coverage?</w:t>
        </w:r>
      </w:hyperlink>
      <w:r>
        <w:t xml:space="preserve">.</w:t>
      </w:r>
    </w:p>
    <w:p>
      <w:pPr>
        <w:pStyle w:val="Compact"/>
        <w:numPr>
          <w:numId w:val="1020"/>
          <w:ilvl w:val="0"/>
        </w:numPr>
      </w:pPr>
      <w:hyperlink r:id="rId121">
        <w:r>
          <w:rPr>
            <w:rStyle w:val="Hyperlink"/>
          </w:rPr>
          <w:t xml:space="preserve">How To Query A Literary Agent,</w:t>
        </w:r>
      </w:hyperlink>
      <w:r>
        <w:t xml:space="preserve"> </w:t>
      </w:r>
      <w:r>
        <w:t xml:space="preserve">by Richard Dooling</w:t>
      </w:r>
    </w:p>
    <w:p>
      <w:pPr>
        <w:pStyle w:val="Compact"/>
        <w:numPr>
          <w:numId w:val="1020"/>
          <w:ilvl w:val="0"/>
        </w:numPr>
      </w:pPr>
      <w:hyperlink r:id="rId122">
        <w:r>
          <w:rPr>
            <w:rStyle w:val="Hyperlink"/>
          </w:rPr>
          <w:t xml:space="preserve">Agents Who Ask For Fees</w:t>
        </w:r>
      </w:hyperlink>
    </w:p>
    <w:p>
      <w:pPr>
        <w:pStyle w:val="Compact"/>
        <w:numPr>
          <w:numId w:val="1020"/>
          <w:ilvl w:val="0"/>
        </w:numPr>
      </w:pPr>
      <w:hyperlink r:id="rId123">
        <w:r>
          <w:rPr>
            <w:rStyle w:val="Hyperlink"/>
          </w:rPr>
          <w:t xml:space="preserve">Wikipedia: Literary Agent</w:t>
        </w:r>
      </w:hyperlink>
    </w:p>
    <w:p>
      <w:pPr>
        <w:pStyle w:val="Compact"/>
        <w:numPr>
          <w:numId w:val="1020"/>
          <w:ilvl w:val="0"/>
        </w:numPr>
      </w:pPr>
      <w:hyperlink r:id="rId124">
        <w:r>
          <w:rPr>
            <w:rStyle w:val="Hyperlink"/>
          </w:rPr>
          <w:t xml:space="preserve">Legal definition of a</w:t>
        </w:r>
        <w:r>
          <w:rPr>
            <w:rStyle w:val="Hyperlink"/>
          </w:rPr>
          <w:t xml:space="preserve"> </w:t>
        </w:r>
        <w:r>
          <w:rPr>
            <w:rStyle w:val="Hyperlink"/>
          </w:rPr>
          <w:t xml:space="preserve">“</w:t>
        </w:r>
        <w:r>
          <w:rPr>
            <w:rStyle w:val="Hyperlink"/>
          </w:rPr>
          <w:t xml:space="preserve">literary agent</w:t>
        </w:r>
        <w:r>
          <w:rPr>
            <w:rStyle w:val="Hyperlink"/>
          </w:rPr>
          <w:t xml:space="preserv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articles.latimes.com/1998/jan/16/business/fi-8897" TargetMode="External" /><Relationship Type="http://schemas.openxmlformats.org/officeDocument/2006/relationships/hyperlink" Id="rId93" Target="http://en.wikipedia.org/wiki/Arsenio_Hall" TargetMode="External" /><Relationship Type="http://schemas.openxmlformats.org/officeDocument/2006/relationships/hyperlink" Id="rId123"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117" Target="http://johnaugust.com" TargetMode="External" /><Relationship Type="http://schemas.openxmlformats.org/officeDocument/2006/relationships/hyperlink" Id="rId118" Target="http://johnaugust.com/2011/get-a-manager" TargetMode="External" /><Relationship Type="http://schemas.openxmlformats.org/officeDocument/2006/relationships/hyperlink" Id="rId119" Target="http://johnaugust.com/2011/scriptnotes-ep-2-how-to-get-an-agent-andor-manager-transcript" TargetMode="External" /><Relationship Type="http://schemas.openxmlformats.org/officeDocument/2006/relationships/hyperlink" Id="rId120" Target="http://johnaugust.com/2013/lets-talk-about-coverage" TargetMode="External" /><Relationship Type="http://schemas.openxmlformats.org/officeDocument/2006/relationships/hyperlink" Id="rId62" Target="http://law.onecle.com/new-york/general-business/GBS0171_171.html" TargetMode="External" /><Relationship Type="http://schemas.openxmlformats.org/officeDocument/2006/relationships/hyperlink" Id="rId92" Target="http://lawschool.westlaw.com/shared/westlawRedirect.aspx?task=find&amp;cite=13+Cal.App.4th+616&amp;appflag=67.12" TargetMode="External" /><Relationship Type="http://schemas.openxmlformats.org/officeDocument/2006/relationships/hyperlink" Id="rId72" Target="http://lawschool.westlaw.com/shared/westlawRedirect.aspx?task=find&amp;cite=174+P.3d+741&amp;appflag=67.12" TargetMode="External" /><Relationship Type="http://schemas.openxmlformats.org/officeDocument/2006/relationships/hyperlink" Id="rId103" Target="http://lawschool.westlaw.com/shared/westlawRedirect.aspx?task=find&amp;cite=565+F.Supp.+884&amp;appflag=67.12" TargetMode="External" /><Relationship Type="http://schemas.openxmlformats.org/officeDocument/2006/relationships/hyperlink" Id="rId45" Target="http://lawschool.westlaw.com/shared/westlawRedirect.aspx?task=find&amp;cite=958+N.Y.S.2d+310&amp;appflag=67.12" TargetMode="External" /><Relationship Type="http://schemas.openxmlformats.org/officeDocument/2006/relationships/hyperlink" Id="rId49" Target="http://scholar.google.co.uk/scholar_case?case=2622311633908231934" TargetMode="External" /><Relationship Type="http://schemas.openxmlformats.org/officeDocument/2006/relationships/hyperlink" Id="rId50" Target="http://scholar.google.co.uk/scholar_case?case=5116981929088179346" TargetMode="External" /><Relationship Type="http://schemas.openxmlformats.org/officeDocument/2006/relationships/hyperlink" Id="rId96" Target="http://scholar.google.co.uk/scholar_case?case=5228204368502171794" TargetMode="External" /><Relationship Type="http://schemas.openxmlformats.org/officeDocument/2006/relationships/hyperlink" Id="rId71" Target="http://scholar.google.com/scholar_case?case=10057569541268667408" TargetMode="External" /><Relationship Type="http://schemas.openxmlformats.org/officeDocument/2006/relationships/hyperlink" Id="rId85" Target="http://scholar.google.com/scholar_case?case=11022283380362174735" TargetMode="External" /><Relationship Type="http://schemas.openxmlformats.org/officeDocument/2006/relationships/hyperlink" Id="rId80" Target="http://scholar.google.com/scholar_case?case=14383445149997334293" TargetMode="External" /><Relationship Type="http://schemas.openxmlformats.org/officeDocument/2006/relationships/hyperlink" Id="rId86" Target="http://scholar.google.com/scholar_case?case=15640680622862336180" TargetMode="External" /><Relationship Type="http://schemas.openxmlformats.org/officeDocument/2006/relationships/hyperlink" Id="rId108" Target="http://scholar.google.com/scholar_case?case=17722836153500270409" TargetMode="External" /><Relationship Type="http://schemas.openxmlformats.org/officeDocument/2006/relationships/hyperlink" Id="rId44" Target="http://scholar.google.com/scholar_case?case=2622311633908231934" TargetMode="External" /><Relationship Type="http://schemas.openxmlformats.org/officeDocument/2006/relationships/hyperlink" Id="rId81" Target="http://scholar.google.com/scholar_case?case=5228204368502171794" TargetMode="External" /><Relationship Type="http://schemas.openxmlformats.org/officeDocument/2006/relationships/hyperlink" Id="rId104" Target="http://scholar.google.com/scholar_case?case=5414204845858812282" TargetMode="External" /><Relationship Type="http://schemas.openxmlformats.org/officeDocument/2006/relationships/hyperlink" Id="rId109" Target="http://scholar.google.com/scholar_case?case=6419292213404249553" TargetMode="External" /><Relationship Type="http://schemas.openxmlformats.org/officeDocument/2006/relationships/hyperlink" Id="rId78" Target="http://scholar.google.com/scholar_case?case=823549855453847638" TargetMode="External" /><Relationship Type="http://schemas.openxmlformats.org/officeDocument/2006/relationships/hyperlink" Id="rId114" Target="http://www.deadline.com/2008/03/garry-shandlings-testimony-at-pellicano-trial/" TargetMode="External" /><Relationship Type="http://schemas.openxmlformats.org/officeDocument/2006/relationships/hyperlink" Id="rId94" Target="http://www.dir.ca.gov/dlse/talent_agency_license.html" TargetMode="External" /><Relationship Type="http://schemas.openxmlformats.org/officeDocument/2006/relationships/hyperlink" Id="rId124" Target="http://www.duhaime.org/LegalDictionary/L/LiteraryAgent.aspx" TargetMode="External" /><Relationship Type="http://schemas.openxmlformats.org/officeDocument/2006/relationships/hyperlink" Id="rId98" Target="http://www.hollywoodreporter.com/thr-esq/did-california-labor-commissioner-just-724960" TargetMode="External" /><Relationship Type="http://schemas.openxmlformats.org/officeDocument/2006/relationships/hyperlink" Id="rId97"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67" Target="http://www.leginfo.ca.gov/.html/lab_table_of_contents.html" TargetMode="External" /><Relationship Type="http://schemas.openxmlformats.org/officeDocument/2006/relationships/hyperlink" Id="rId68" Target="http://www.leginfo.ca.gov/cgi-bin/displaycode?section=lab&amp;group=01001-02000&amp;file=1700-1700.4" TargetMode="External" /><Relationship Type="http://schemas.openxmlformats.org/officeDocument/2006/relationships/hyperlink" Id="rId115" Target="http://www.nytimes.com/2006/03/13/movies/13holl.html?pagewanted=all&amp;_r=0" TargetMode="External" /><Relationship Type="http://schemas.openxmlformats.org/officeDocument/2006/relationships/hyperlink" Id="rId121" Target="http://www.richarddooling.com/index.php/2007/02/07/how-to-query-a-literary-agent/" TargetMode="External" /><Relationship Type="http://schemas.openxmlformats.org/officeDocument/2006/relationships/hyperlink" Id="rId122" Target="http://www.sfwa.org/fees/" TargetMode="External" /><Relationship Type="http://schemas.openxmlformats.org/officeDocument/2006/relationships/hyperlink" Id="rId116" Target="http://www.slate.com/articles/news_and_politics/explainer/1998/12/the_difference_between_an_agent_and_a_manager.html" TargetMode="External" /><Relationship Type="http://schemas.openxmlformats.org/officeDocument/2006/relationships/hyperlink" Id="rId59" Target="https://apps.wga.org/agency/agencylist.aspx" TargetMode="External" /><Relationship Type="http://schemas.openxmlformats.org/officeDocument/2006/relationships/hyperlink" Id="rId40" Target="https://ninc.com/member-benefits/articles-and-links/authors-guild-advisory-interminable-agency-clause/" TargetMode="External" /><Relationship Type="http://schemas.openxmlformats.org/officeDocument/2006/relationships/hyperlink" Id="rId32" Target="https://www.aerogrammestudio.com/2018/09/13/how-to-research-literary-agents-and-book-publishers/" TargetMode="External" /><Relationship Type="http://schemas.openxmlformats.org/officeDocument/2006/relationships/hyperlink" Id="rId27" Target="https://www.amazon.com/Need-Know-About-Music-Business/dp/1501122185/ref=dp_ob_title_bk" TargetMode="External" /><Relationship Type="http://schemas.openxmlformats.org/officeDocument/2006/relationships/hyperlink" Id="rId36" Target="https://www.authorsguild.org/" TargetMode="External" /><Relationship Type="http://schemas.openxmlformats.org/officeDocument/2006/relationships/hyperlink" Id="rId37" Target="https://www.authorsguild.org/member-services/legal-services/" TargetMode="External" /><Relationship Type="http://schemas.openxmlformats.org/officeDocument/2006/relationships/hyperlink" Id="rId29" Target="https://www.janefriedman.com/about/" TargetMode="External" /><Relationship Type="http://schemas.openxmlformats.org/officeDocument/2006/relationships/hyperlink" Id="rId30" Target="https://www.janefriedman.com/find-literary-agent/" TargetMode="External" /><Relationship Type="http://schemas.openxmlformats.org/officeDocument/2006/relationships/hyperlink" Id="rId31" Target="https://www.janefriedman.com/query-letters/" TargetMode="External" /><Relationship Type="http://schemas.openxmlformats.org/officeDocument/2006/relationships/hyperlink" Id="rId34" Target="https://www.publishersmarketplace.com/" TargetMode="External" /><Relationship Type="http://schemas.openxmlformats.org/officeDocument/2006/relationships/hyperlink" Id="rId33" Target="https://www.publishersweekly.com/" TargetMode="External" /><Relationship Type="http://schemas.openxmlformats.org/officeDocument/2006/relationships/hyperlink" Id="rId35" Target="https://www.publishersweekly.com/pw/by-topic/childrens/childrens-authors/article/81059-rights-report-week-of-august-26-2019.html" TargetMode="External" /><Relationship Type="http://schemas.openxmlformats.org/officeDocument/2006/relationships/hyperlink" Id="rId60" Target="https://www.wga.org/employers/signatories/strike-unfair-list" TargetMode="External" /><Relationship Type="http://schemas.openxmlformats.org/officeDocument/2006/relationships/hyperlink" Id="rId57" Target="https://www.wga.org/members/membership-information/agency-agreement/the-truth-about-agency-studios" TargetMode="External" /><Relationship Type="http://schemas.openxmlformats.org/officeDocument/2006/relationships/hyperlink" Id="rId58" Target="https://www.wsj.com/articles/labor-action-with-a-hollywood-twist-screenwriters-threaten-to-fire-their-agents-11553864404?mod=searchresults&amp;page=1&amp;pos=1" TargetMode="External" /><Relationship Type="http://schemas.openxmlformats.org/officeDocument/2006/relationships/hyperlink" Id="rId56" Target="https://youtu.be/v5p6urW6c7I" TargetMode="External" /></Relationships>
</file>

<file path=word/_rels/footnotes.xml.rels><?xml version="1.0" encoding="UTF-8"?>
<Relationships xmlns="http://schemas.openxmlformats.org/package/2006/relationships"><Relationship Type="http://schemas.openxmlformats.org/officeDocument/2006/relationships/hyperlink" Id="rId113" Target="http://articles.latimes.com/1998/jan/16/business/fi-8897" TargetMode="External" /><Relationship Type="http://schemas.openxmlformats.org/officeDocument/2006/relationships/hyperlink" Id="rId93" Target="http://en.wikipedia.org/wiki/Arsenio_Hall" TargetMode="External" /><Relationship Type="http://schemas.openxmlformats.org/officeDocument/2006/relationships/hyperlink" Id="rId123"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117" Target="http://johnaugust.com" TargetMode="External" /><Relationship Type="http://schemas.openxmlformats.org/officeDocument/2006/relationships/hyperlink" Id="rId118" Target="http://johnaugust.com/2011/get-a-manager" TargetMode="External" /><Relationship Type="http://schemas.openxmlformats.org/officeDocument/2006/relationships/hyperlink" Id="rId119" Target="http://johnaugust.com/2011/scriptnotes-ep-2-how-to-get-an-agent-andor-manager-transcript" TargetMode="External" /><Relationship Type="http://schemas.openxmlformats.org/officeDocument/2006/relationships/hyperlink" Id="rId120" Target="http://johnaugust.com/2013/lets-talk-about-coverage" TargetMode="External" /><Relationship Type="http://schemas.openxmlformats.org/officeDocument/2006/relationships/hyperlink" Id="rId62" Target="http://law.onecle.com/new-york/general-business/GBS0171_171.html" TargetMode="External" /><Relationship Type="http://schemas.openxmlformats.org/officeDocument/2006/relationships/hyperlink" Id="rId92" Target="http://lawschool.westlaw.com/shared/westlawRedirect.aspx?task=find&amp;cite=13+Cal.App.4th+616&amp;appflag=67.12" TargetMode="External" /><Relationship Type="http://schemas.openxmlformats.org/officeDocument/2006/relationships/hyperlink" Id="rId72" Target="http://lawschool.westlaw.com/shared/westlawRedirect.aspx?task=find&amp;cite=174+P.3d+741&amp;appflag=67.12" TargetMode="External" /><Relationship Type="http://schemas.openxmlformats.org/officeDocument/2006/relationships/hyperlink" Id="rId103" Target="http://lawschool.westlaw.com/shared/westlawRedirect.aspx?task=find&amp;cite=565+F.Supp.+884&amp;appflag=67.12" TargetMode="External" /><Relationship Type="http://schemas.openxmlformats.org/officeDocument/2006/relationships/hyperlink" Id="rId45" Target="http://lawschool.westlaw.com/shared/westlawRedirect.aspx?task=find&amp;cite=958+N.Y.S.2d+310&amp;appflag=67.12" TargetMode="External" /><Relationship Type="http://schemas.openxmlformats.org/officeDocument/2006/relationships/hyperlink" Id="rId49" Target="http://scholar.google.co.uk/scholar_case?case=2622311633908231934" TargetMode="External" /><Relationship Type="http://schemas.openxmlformats.org/officeDocument/2006/relationships/hyperlink" Id="rId50" Target="http://scholar.google.co.uk/scholar_case?case=5116981929088179346" TargetMode="External" /><Relationship Type="http://schemas.openxmlformats.org/officeDocument/2006/relationships/hyperlink" Id="rId96" Target="http://scholar.google.co.uk/scholar_case?case=5228204368502171794" TargetMode="External" /><Relationship Type="http://schemas.openxmlformats.org/officeDocument/2006/relationships/hyperlink" Id="rId71" Target="http://scholar.google.com/scholar_case?case=10057569541268667408" TargetMode="External" /><Relationship Type="http://schemas.openxmlformats.org/officeDocument/2006/relationships/hyperlink" Id="rId85" Target="http://scholar.google.com/scholar_case?case=11022283380362174735" TargetMode="External" /><Relationship Type="http://schemas.openxmlformats.org/officeDocument/2006/relationships/hyperlink" Id="rId80" Target="http://scholar.google.com/scholar_case?case=14383445149997334293" TargetMode="External" /><Relationship Type="http://schemas.openxmlformats.org/officeDocument/2006/relationships/hyperlink" Id="rId86" Target="http://scholar.google.com/scholar_case?case=15640680622862336180" TargetMode="External" /><Relationship Type="http://schemas.openxmlformats.org/officeDocument/2006/relationships/hyperlink" Id="rId108" Target="http://scholar.google.com/scholar_case?case=17722836153500270409" TargetMode="External" /><Relationship Type="http://schemas.openxmlformats.org/officeDocument/2006/relationships/hyperlink" Id="rId44" Target="http://scholar.google.com/scholar_case?case=2622311633908231934" TargetMode="External" /><Relationship Type="http://schemas.openxmlformats.org/officeDocument/2006/relationships/hyperlink" Id="rId81" Target="http://scholar.google.com/scholar_case?case=5228204368502171794" TargetMode="External" /><Relationship Type="http://schemas.openxmlformats.org/officeDocument/2006/relationships/hyperlink" Id="rId104" Target="http://scholar.google.com/scholar_case?case=5414204845858812282" TargetMode="External" /><Relationship Type="http://schemas.openxmlformats.org/officeDocument/2006/relationships/hyperlink" Id="rId109" Target="http://scholar.google.com/scholar_case?case=6419292213404249553" TargetMode="External" /><Relationship Type="http://schemas.openxmlformats.org/officeDocument/2006/relationships/hyperlink" Id="rId78" Target="http://scholar.google.com/scholar_case?case=823549855453847638" TargetMode="External" /><Relationship Type="http://schemas.openxmlformats.org/officeDocument/2006/relationships/hyperlink" Id="rId114" Target="http://www.deadline.com/2008/03/garry-shandlings-testimony-at-pellicano-trial/" TargetMode="External" /><Relationship Type="http://schemas.openxmlformats.org/officeDocument/2006/relationships/hyperlink" Id="rId94" Target="http://www.dir.ca.gov/dlse/talent_agency_license.html" TargetMode="External" /><Relationship Type="http://schemas.openxmlformats.org/officeDocument/2006/relationships/hyperlink" Id="rId124" Target="http://www.duhaime.org/LegalDictionary/L/LiteraryAgent.aspx" TargetMode="External" /><Relationship Type="http://schemas.openxmlformats.org/officeDocument/2006/relationships/hyperlink" Id="rId98" Target="http://www.hollywoodreporter.com/thr-esq/did-california-labor-commissioner-just-724960" TargetMode="External" /><Relationship Type="http://schemas.openxmlformats.org/officeDocument/2006/relationships/hyperlink" Id="rId97"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67" Target="http://www.leginfo.ca.gov/.html/lab_table_of_contents.html" TargetMode="External" /><Relationship Type="http://schemas.openxmlformats.org/officeDocument/2006/relationships/hyperlink" Id="rId68" Target="http://www.leginfo.ca.gov/cgi-bin/displaycode?section=lab&amp;group=01001-02000&amp;file=1700-1700.4" TargetMode="External" /><Relationship Type="http://schemas.openxmlformats.org/officeDocument/2006/relationships/hyperlink" Id="rId115" Target="http://www.nytimes.com/2006/03/13/movies/13holl.html?pagewanted=all&amp;_r=0" TargetMode="External" /><Relationship Type="http://schemas.openxmlformats.org/officeDocument/2006/relationships/hyperlink" Id="rId121" Target="http://www.richarddooling.com/index.php/2007/02/07/how-to-query-a-literary-agent/" TargetMode="External" /><Relationship Type="http://schemas.openxmlformats.org/officeDocument/2006/relationships/hyperlink" Id="rId122" Target="http://www.sfwa.org/fees/" TargetMode="External" /><Relationship Type="http://schemas.openxmlformats.org/officeDocument/2006/relationships/hyperlink" Id="rId116" Target="http://www.slate.com/articles/news_and_politics/explainer/1998/12/the_difference_between_an_agent_and_a_manager.html" TargetMode="External" /><Relationship Type="http://schemas.openxmlformats.org/officeDocument/2006/relationships/hyperlink" Id="rId59" Target="https://apps.wga.org/agency/agencylist.aspx" TargetMode="External" /><Relationship Type="http://schemas.openxmlformats.org/officeDocument/2006/relationships/hyperlink" Id="rId40" Target="https://ninc.com/member-benefits/articles-and-links/authors-guild-advisory-interminable-agency-clause/" TargetMode="External" /><Relationship Type="http://schemas.openxmlformats.org/officeDocument/2006/relationships/hyperlink" Id="rId32" Target="https://www.aerogrammestudio.com/2018/09/13/how-to-research-literary-agents-and-book-publishers/" TargetMode="External" /><Relationship Type="http://schemas.openxmlformats.org/officeDocument/2006/relationships/hyperlink" Id="rId27" Target="https://www.amazon.com/Need-Know-About-Music-Business/dp/1501122185/ref=dp_ob_title_bk" TargetMode="External" /><Relationship Type="http://schemas.openxmlformats.org/officeDocument/2006/relationships/hyperlink" Id="rId36" Target="https://www.authorsguild.org/" TargetMode="External" /><Relationship Type="http://schemas.openxmlformats.org/officeDocument/2006/relationships/hyperlink" Id="rId37" Target="https://www.authorsguild.org/member-services/legal-services/" TargetMode="External" /><Relationship Type="http://schemas.openxmlformats.org/officeDocument/2006/relationships/hyperlink" Id="rId29" Target="https://www.janefriedman.com/about/" TargetMode="External" /><Relationship Type="http://schemas.openxmlformats.org/officeDocument/2006/relationships/hyperlink" Id="rId30" Target="https://www.janefriedman.com/find-literary-agent/" TargetMode="External" /><Relationship Type="http://schemas.openxmlformats.org/officeDocument/2006/relationships/hyperlink" Id="rId31" Target="https://www.janefriedman.com/query-letters/" TargetMode="External" /><Relationship Type="http://schemas.openxmlformats.org/officeDocument/2006/relationships/hyperlink" Id="rId34" Target="https://www.publishersmarketplace.com/" TargetMode="External" /><Relationship Type="http://schemas.openxmlformats.org/officeDocument/2006/relationships/hyperlink" Id="rId33" Target="https://www.publishersweekly.com/" TargetMode="External" /><Relationship Type="http://schemas.openxmlformats.org/officeDocument/2006/relationships/hyperlink" Id="rId35" Target="https://www.publishersweekly.com/pw/by-topic/childrens/childrens-authors/article/81059-rights-report-week-of-august-26-2019.html" TargetMode="External" /><Relationship Type="http://schemas.openxmlformats.org/officeDocument/2006/relationships/hyperlink" Id="rId60" Target="https://www.wga.org/employers/signatories/strike-unfair-list" TargetMode="External" /><Relationship Type="http://schemas.openxmlformats.org/officeDocument/2006/relationships/hyperlink" Id="rId57" Target="https://www.wga.org/members/membership-information/agency-agreement/the-truth-about-agency-studios" TargetMode="External" /><Relationship Type="http://schemas.openxmlformats.org/officeDocument/2006/relationships/hyperlink" Id="rId58" Target="https://www.wsj.com/articles/labor-action-with-a-hollywood-twist-screenwriters-threaten-to-fire-their-agents-11553864404?mod=searchresults&amp;page=1&amp;pos=1" TargetMode="External" /><Relationship Type="http://schemas.openxmlformats.org/officeDocument/2006/relationships/hyperlink" Id="rId56" Target="https://youtu.be/v5p6urW6c7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2019-11-22T23:17:34Z</dcterms:created>
  <dcterms:modified xsi:type="dcterms:W3CDTF">2019-11-22T23:17:34Z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Representation</vt:lpwstr>
  </property>
  <property fmtid="{D5CDD505-2E9C-101B-9397-08002B2CF9AE}" pid="3" name="subtitle">
    <vt:lpwstr>Lawyers For The Talent</vt:lpwstr>
  </property>
</Properties>
</file>