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Suggested</w:t>
      </w:r>
      <w:r>
        <w:t xml:space="preserve"> </w:t>
      </w:r>
      <w:r>
        <w:t xml:space="preserve">Readings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FirstParagraph"/>
      </w:pPr>
      <w:r>
        <w:t xml:space="preserve">These titles seemed to work well for people. I include two of my own only because it’s sometimes fun to do this with the author present. Or we can skype in an author, which I’ve done several times.</w:t>
      </w:r>
    </w:p>
    <w:p>
      <w:pPr>
        <w:pStyle w:val="BodyText"/>
      </w:pPr>
      <w:r>
        <w:t xml:space="preserve">I’ll keep adding to these as suggestions come in.</w:t>
      </w:r>
    </w:p>
    <w:p>
      <w:pPr>
        <w:pStyle w:val="Heading2"/>
      </w:pPr>
      <w:bookmarkStart w:id="20" w:name="nonfiction"/>
      <w:r>
        <w:t xml:space="preserve">Nonfiction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Gorgias</w:t>
      </w:r>
      <w:r>
        <w:t xml:space="preserve">, by Plato.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In Cold Blood</w:t>
      </w:r>
      <w:r>
        <w:t xml:space="preserve">, by Truman Capote.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Handcarved Coffins</w:t>
      </w:r>
      <w:r>
        <w:t xml:space="preserve"> </w:t>
      </w:r>
      <w:r>
        <w:t xml:space="preserve">by Truman Capote (in</w:t>
      </w:r>
      <w:r>
        <w:t xml:space="preserve"> </w:t>
      </w:r>
      <w:r>
        <w:rPr>
          <w:i/>
        </w:rPr>
        <w:t xml:space="preserve">Music for Chameleons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Diving Bell and the Butterfly</w:t>
      </w:r>
      <w:r>
        <w:t xml:space="preserve">, by Jean Dominique Bauby.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Great Dissent: How Oliver Wendell Holmes Changed His Mind and Changed the History of Free Speech in America,</w:t>
      </w:r>
      <w:r>
        <w:t xml:space="preserve"> </w:t>
      </w:r>
      <w:r>
        <w:t xml:space="preserve">by Thomas Healy.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i/>
            <w:rStyle w:val="Hyperlink"/>
          </w:rPr>
          <w:t xml:space="preserve">Iphigenia in Forest Hills: Anatomy of a murder trial</w:t>
        </w:r>
      </w:hyperlink>
      <w:r>
        <w:t xml:space="preserve">, by Janet Malcom.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Journalist and the Murderer</w:t>
      </w:r>
      <w:r>
        <w:t xml:space="preserve">, by Janet Malcom.</w:t>
      </w:r>
    </w:p>
    <w:p>
      <w:pPr>
        <w:pStyle w:val="Heading2"/>
      </w:pPr>
      <w:bookmarkStart w:id="22" w:name="fiction"/>
      <w:r>
        <w:t xml:space="preserve">Fiction</w:t>
      </w:r>
      <w:bookmarkEnd w:id="22"/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The Stranger</w:t>
      </w:r>
      <w:r>
        <w:t xml:space="preserve">, by Albert Camus.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The Fall</w:t>
      </w:r>
      <w:r>
        <w:t xml:space="preserve">, by Albert Camus.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To Kill A Mockingbird</w:t>
      </w:r>
      <w:r>
        <w:t xml:space="preserve">, by Harper Lee.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Presumed Innocent</w:t>
      </w:r>
      <w:r>
        <w:t xml:space="preserve">, by Scott Turow.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Brave New World</w:t>
      </w:r>
      <w:r>
        <w:t xml:space="preserve">, by Aldous Huxley.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1984</w:t>
      </w:r>
      <w:r>
        <w:t xml:space="preserve">, by George Orwell.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Brain Storm</w:t>
      </w:r>
      <w:r>
        <w:t xml:space="preserve">, by Richard Dooling.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i/>
            <w:rStyle w:val="Hyperlink"/>
          </w:rPr>
          <w:t xml:space="preserve">The Postman Always Rings Twice</w:t>
        </w:r>
      </w:hyperlink>
      <w:r>
        <w:t xml:space="preserve">, by James M. Cain.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The Maltese Falcon</w:t>
      </w:r>
      <w:r>
        <w:t xml:space="preserve"> </w:t>
      </w:r>
      <w:r>
        <w:t xml:space="preserve">by Dashiel Hammett.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The Sweet Hereafter</w:t>
      </w:r>
      <w:r>
        <w:t xml:space="preserve">, by Russel Banks.</w:t>
      </w:r>
    </w:p>
    <w:p>
      <w:pPr>
        <w:pStyle w:val="Heading2"/>
      </w:pPr>
      <w:bookmarkStart w:id="24" w:name="short-fiction"/>
      <w:r>
        <w:t xml:space="preserve">Short Fiction</w:t>
      </w:r>
      <w:bookmarkEnd w:id="24"/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The Lottery</w:t>
      </w:r>
      <w:r>
        <w:t xml:space="preserve">, by Shirley Jackson.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Good Country People</w:t>
      </w:r>
      <w:r>
        <w:t xml:space="preserve">, Flannery O’Connor.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A Good Man Is Hard To Find</w:t>
      </w:r>
      <w:r>
        <w:t xml:space="preserve">, by Flannery O’Connor.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The Lottery of Babylon</w:t>
      </w:r>
      <w:r>
        <w:t xml:space="preserve">, Jorge Luis Borges.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Harrison Bergeron</w:t>
      </w:r>
      <w:r>
        <w:t xml:space="preserve">, Kurt Vonnegut.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You Could Look It Up</w:t>
      </w:r>
      <w:r>
        <w:t xml:space="preserve">, James Thurber (1941) (course packet)</w:t>
      </w:r>
    </w:p>
    <w:p>
      <w:pPr>
        <w:pStyle w:val="Compact"/>
        <w:numPr>
          <w:numId w:val="1003"/>
          <w:ilvl w:val="0"/>
        </w:numPr>
      </w:pPr>
      <w:hyperlink r:id="rId25">
        <w:r>
          <w:rPr>
            <w:i/>
            <w:rStyle w:val="Hyperlink"/>
          </w:rPr>
          <w:t xml:space="preserve">A Jury of Her Peers</w:t>
        </w:r>
      </w:hyperlink>
      <w:r>
        <w:t xml:space="preserve">, by Susan Glaspell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The Short Happy Life of Francis Macomber</w:t>
      </w:r>
      <w:r>
        <w:t xml:space="preserve">, by Ernest Hemingway.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Bush Pigs</w:t>
      </w:r>
      <w:r>
        <w:t xml:space="preserve">, by Richard Dooling.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Billy Budd, Foretopman</w:t>
      </w:r>
      <w:r>
        <w:t xml:space="preserve">, by Herman Melville.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Bartleby Scrivener</w:t>
      </w:r>
      <w:r>
        <w:t xml:space="preserve">, by Herman Melville.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Witness For The Prosecution</w:t>
      </w:r>
      <w:r>
        <w:t xml:space="preserve">, by Agatha Christie.</w:t>
      </w:r>
    </w:p>
    <w:p>
      <w:pPr>
        <w:pStyle w:val="Heading2"/>
      </w:pPr>
      <w:bookmarkStart w:id="26" w:name="criticism"/>
      <w:r>
        <w:t xml:space="preserve">Criticism</w:t>
      </w:r>
      <w:bookmarkEnd w:id="26"/>
    </w:p>
    <w:p>
      <w:pPr>
        <w:pStyle w:val="Compact"/>
        <w:numPr>
          <w:numId w:val="1004"/>
          <w:ilvl w:val="0"/>
        </w:numPr>
      </w:pPr>
      <w:hyperlink r:id="rId27">
        <w:r>
          <w:rPr>
            <w:i/>
            <w:rStyle w:val="Hyperlink"/>
          </w:rPr>
          <w:t xml:space="preserve">The Courthouse Ring: Atticus Finch and the limits of Southern liberalism,</w:t>
        </w:r>
      </w:hyperlink>
      <w:r>
        <w:t xml:space="preserve">, by Malcom Gladwell, from</w:t>
      </w:r>
      <w:r>
        <w:t xml:space="preserve"> </w:t>
      </w:r>
      <w:r>
        <w:rPr>
          <w:i/>
        </w:rPr>
        <w:t xml:space="preserve">The New Yorker</w:t>
      </w:r>
      <w:r>
        <w:t xml:space="preserve"> </w:t>
      </w:r>
      <w:r>
        <w:t xml:space="preserve">(good to read along with</w:t>
      </w:r>
      <w:r>
        <w:t xml:space="preserve"> </w:t>
      </w:r>
      <w:r>
        <w:rPr>
          <w:i/>
        </w:rPr>
        <w:t xml:space="preserve">To Kill A Mockingbird</w:t>
      </w:r>
      <w:r>
        <w:t xml:space="preserve">).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Aristotle’s Poetics For Screenwriters: Storytelling Secrets From the Greatest Mind in Western Civilization</w:t>
      </w:r>
      <w:r>
        <w:t xml:space="preserve">, by Michael Tierno.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Law and Literature: A Mistaken Relation</w:t>
      </w:r>
      <w:r>
        <w:t xml:space="preserve">, 2nd edition, by Richard Posner.</w:t>
      </w:r>
    </w:p>
    <w:p>
      <w:pPr>
        <w:pStyle w:val="Heading2"/>
      </w:pPr>
      <w:bookmarkStart w:id="28" w:name="plays-screenplays"/>
      <w:r>
        <w:t xml:space="preserve">Plays &amp; Screenplays</w:t>
      </w:r>
      <w:bookmarkEnd w:id="28"/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Michael Clayton</w:t>
      </w:r>
      <w:r>
        <w:t xml:space="preserve"> </w:t>
      </w:r>
      <w:r>
        <w:t xml:space="preserve">screenplay, by Tony Gilroy.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 Streetcar Named Desire</w:t>
      </w:r>
      <w:r>
        <w:t xml:space="preserve">, Tennessee Williams.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Julius Caesar</w:t>
      </w:r>
      <w:r>
        <w:t xml:space="preserve">, by William Shakespeare.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Macbeth</w:t>
      </w:r>
      <w:r>
        <w:t xml:space="preserve">, by William Shakespeare.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Merchant of Venice</w:t>
      </w:r>
      <w:r>
        <w:t xml:space="preserve">, by William Shakespeare.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newyorker.com/magazine/2009/08/10/the-courthouse-ring" TargetMode="External" /><Relationship Type="http://schemas.openxmlformats.org/officeDocument/2006/relationships/hyperlink" Id="rId21" Target="http://www.newyorker.com/magazine/2010/05/03/iphigenia-in-forest-hills" TargetMode="External" /><Relationship Type="http://schemas.openxmlformats.org/officeDocument/2006/relationships/hyperlink" Id="rId23" Target="https://www.amazon.com/Postman-Always-Rings-Twice/dp/0679723250/" TargetMode="External" /><Relationship Type="http://schemas.openxmlformats.org/officeDocument/2006/relationships/hyperlink" Id="rId25" Target="https://www.learner.org/exhibits/literature/story/fulltex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newyorker.com/magazine/2009/08/10/the-courthouse-ring" TargetMode="External" /><Relationship Type="http://schemas.openxmlformats.org/officeDocument/2006/relationships/hyperlink" Id="rId21" Target="http://www.newyorker.com/magazine/2010/05/03/iphigenia-in-forest-hills" TargetMode="External" /><Relationship Type="http://schemas.openxmlformats.org/officeDocument/2006/relationships/hyperlink" Id="rId23" Target="https://www.amazon.com/Postman-Always-Rings-Twice/dp/0679723250/" TargetMode="External" /><Relationship Type="http://schemas.openxmlformats.org/officeDocument/2006/relationships/hyperlink" Id="rId25" Target="https://www.learner.org/exhibits/literature/story/fulltex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Suggested Readings</dc:title>
  <dc:creator>Richard Dooling</dc:creator>
  <cp:keywords/>
  <dcterms:created xsi:type="dcterms:W3CDTF">2019-01-13T22:33:49Z</dcterms:created>
  <dcterms:modified xsi:type="dcterms:W3CDTF">2019-01-13T22:33:49Z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