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1"/>
      <w:r>
        <w:t xml:space="preserve">M&amp;F 4th, Chapter 1</w:t>
      </w:r>
      <w:bookmarkEnd w:id="20"/>
    </w:p>
    <w:p>
      <w:pPr>
        <w:pStyle w:val="Heading6"/>
      </w:pPr>
      <w:bookmarkStart w:id="21" w:name="lawyers-role-regulation"/>
      <w:r>
        <w:t xml:space="preserve">Lawyers: Role &amp; Regulation</w:t>
      </w:r>
      <w:bookmarkEnd w:id="21"/>
    </w:p>
    <w:p>
      <w:pPr>
        <w:pStyle w:val="Heading3"/>
      </w:pPr>
      <w:bookmarkStart w:id="22" w:name="preamble-scope"/>
      <w:r>
        <w:t xml:space="preserve">Preamble &amp; Scope</w:t>
      </w:r>
      <w:bookmarkEnd w:id="22"/>
    </w:p>
    <w:p>
      <w:pPr>
        <w:pStyle w:val="FirstParagraph"/>
      </w:pPr>
      <w:r>
        <w:t xml:space="preserve">The Preamble tells us that the lawyer is:</w:t>
      </w:r>
    </w:p>
    <w:p>
      <w:pPr>
        <w:pStyle w:val="Compact"/>
        <w:numPr>
          <w:numId w:val="1001"/>
          <w:ilvl w:val="0"/>
        </w:numPr>
      </w:pPr>
      <w:r>
        <w:t xml:space="preserve">a member of the legal profession,</w:t>
      </w:r>
    </w:p>
    <w:p>
      <w:pPr>
        <w:pStyle w:val="Compact"/>
        <w:numPr>
          <w:numId w:val="1001"/>
          <w:ilvl w:val="0"/>
        </w:numPr>
      </w:pPr>
      <w:r>
        <w:t xml:space="preserve">a representative of clients,</w:t>
      </w:r>
    </w:p>
    <w:p>
      <w:pPr>
        <w:pStyle w:val="Compact"/>
        <w:numPr>
          <w:numId w:val="1001"/>
          <w:ilvl w:val="0"/>
        </w:numPr>
      </w:pPr>
      <w:r>
        <w:t xml:space="preserve">an officer of the legal system</w:t>
      </w:r>
    </w:p>
    <w:p>
      <w:pPr>
        <w:pStyle w:val="Compact"/>
        <w:numPr>
          <w:numId w:val="1001"/>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w:t>
      </w:r>
      <w:r>
        <w:t xml:space="preserve"> </w:t>
      </w:r>
      <w:r>
        <w:t xml:space="preserve">“</w:t>
      </w:r>
      <w:r>
        <w:t xml:space="preserve">goes free,</w:t>
      </w:r>
      <w:r>
        <w:t xml:space="preserve">”</w:t>
      </w:r>
      <w:r>
        <w:t xml:space="preserve"> </w:t>
      </w:r>
      <w:r>
        <w:t xml:space="preserve">only to drink, drive, and injure</w:t>
      </w:r>
      <w:r>
        <w:t xml:space="preserve"> </w:t>
      </w:r>
      <w:r>
        <w:t xml:space="preserve">or kill others by driving under the influence?</w:t>
      </w:r>
    </w:p>
    <w:p>
      <w:pPr>
        <w:pStyle w:val="Heading4"/>
      </w:pPr>
      <w:bookmarkStart w:id="23" w:name="preamble-scope-comment-3"/>
      <w:r>
        <w:t xml:space="preserve">Preamble &amp; Scope Comment 3</w:t>
      </w:r>
      <w:bookmarkEnd w:id="23"/>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24">
        <w:r>
          <w:rPr>
            <w:rStyle w:val="Hyperlink"/>
          </w:rPr>
          <w:t xml:space="preserve">Model Rule 8.4.</w:t>
        </w:r>
      </w:hyperlink>
    </w:p>
    <w:p>
      <w:pPr>
        <w:pStyle w:val="Heading4"/>
      </w:pPr>
      <w:bookmarkStart w:id="25" w:name="preamble-scope-comment-20"/>
      <w:r>
        <w:t xml:space="preserve">Preamble &amp; Scope Comment 20</w:t>
      </w:r>
      <w:bookmarkEnd w:id="25"/>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2"/>
      </w:pPr>
      <w:bookmarkStart w:id="26" w:name="what-do-you-do"/>
      <w:r>
        <w:t xml:space="preserve">What Do You Do?</w:t>
      </w:r>
      <w:bookmarkEnd w:id="26"/>
    </w:p>
    <w:p>
      <w:pPr>
        <w:pStyle w:val="FirstParagraph"/>
      </w:pPr>
      <w:r>
        <w:t xml:space="preserve">In</w:t>
      </w:r>
      <w:r>
        <w:t xml:space="preserve"> </w:t>
      </w:r>
      <w:hyperlink r:id="rId27">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w:t>
      </w:r>
      <w:r>
        <w:t xml:space="preserve"> </w:t>
      </w:r>
      <w:r>
        <w:t xml:space="preserve">“</w:t>
      </w:r>
      <w:r>
        <w:t xml:space="preserve">high art</w:t>
      </w:r>
      <w:r>
        <w:t xml:space="preserve">”</w:t>
      </w:r>
      <w:r>
        <w:t xml:space="preserve"> </w:t>
      </w:r>
      <w:r>
        <w:t xml:space="preserve">of which he speaks.</w:t>
      </w:r>
    </w:p>
    <w:p>
      <w:pPr>
        <w:pStyle w:val="BodyText"/>
      </w:pPr>
      <w:r>
        <w:t xml:space="preserve">“</w:t>
      </w:r>
      <w:r>
        <w:t xml:space="preserve">What is it you do?</w:t>
      </w:r>
      <w:r>
        <w:t xml:space="preserve">”</w:t>
      </w:r>
      <w:r>
        <w:t xml:space="preserve"> </w:t>
      </w:r>
      <w:r>
        <w:t xml:space="preserve">Socrates asks Gorgias.</w:t>
      </w:r>
      <w:r>
        <w:t xml:space="preserve"> </w:t>
      </w:r>
      <w:r>
        <w:t xml:space="preserve">“</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r>
        <w:t xml:space="preserve">”</w:t>
      </w:r>
    </w:p>
    <w:p>
      <w:pPr>
        <w:pStyle w:val="BodyText"/>
      </w:pPr>
      <w:r>
        <w:t xml:space="preserve">Socrates also says,</w:t>
      </w:r>
      <w:r>
        <w:t xml:space="preserve"> </w:t>
      </w:r>
      <w:r>
        <w:t xml:space="preserve">“</w:t>
      </w:r>
      <w:r>
        <w:t xml:space="preserve">Tell me, Gorgias,</w:t>
      </w:r>
      <w:r>
        <w:t xml:space="preserve"> </w:t>
      </w:r>
      <w:r>
        <w:t xml:space="preserve">do you teach your young orators about about right and wrong?</w:t>
      </w:r>
      <w:r>
        <w:t xml:space="preserve">”</w:t>
      </w:r>
    </w:p>
    <w:p>
      <w:pPr>
        <w:pStyle w:val="BodyText"/>
      </w:pPr>
      <w:r>
        <w:t xml:space="preserve">Gorgias says essentially: Not my department.</w:t>
      </w:r>
      <w:r>
        <w:t xml:space="preserve"> </w:t>
      </w:r>
      <w:r>
        <w:t xml:space="preserve">“</w:t>
      </w:r>
      <w:r>
        <w:t xml:space="preserve">I teach rhetoric.</w:t>
      </w:r>
      <w:r>
        <w:t xml:space="preserve"> </w:t>
      </w:r>
      <w:r>
        <w:t xml:space="preserve">I’m not responsible if my students take that skill use it to commit a wrong.</w:t>
      </w:r>
      <w:r>
        <w:t xml:space="preserve">”</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t>
      </w:r>
      <w:r>
        <w:t xml:space="preserve">What about health or business or politics?</w:t>
      </w:r>
      <w:r>
        <w:t xml:space="preserve"> </w:t>
      </w:r>
      <w:r>
        <w:t xml:space="preserve">What do orators (lawyers) really know about those?</w:t>
      </w:r>
      <w:r>
        <w:t xml:space="preserve">”</w:t>
      </w:r>
    </w:p>
    <w:p>
      <w:pPr>
        <w:pStyle w:val="BodyText"/>
      </w:pPr>
      <w:r>
        <w:t xml:space="preserve">Gorgias says orators don’t need to know about any of those,</w:t>
      </w:r>
      <w:r>
        <w:t xml:space="preserve"> </w:t>
      </w:r>
      <w:r>
        <w:t xml:space="preserve">because once you master rhetoric:</w:t>
      </w:r>
      <w:r>
        <w:t xml:space="preserve"> </w:t>
      </w:r>
      <w:r>
        <w:t xml:space="preserve">“</w:t>
      </w:r>
      <w:r>
        <w:t xml:space="preserve">You will have the doctor as your slave,</w:t>
      </w:r>
      <w:r>
        <w:t xml:space="preserve"> </w:t>
      </w:r>
      <w:r>
        <w:t xml:space="preserve">and that businessman? He will be working for you.</w:t>
      </w:r>
      <w:r>
        <w:t xml:space="preserve">”</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28" w:name="possible-lessons"/>
      <w:r>
        <w:t xml:space="preserve">Possible Lessons</w:t>
      </w:r>
      <w:bookmarkEnd w:id="28"/>
    </w:p>
    <w:p>
      <w:pPr>
        <w:pStyle w:val="FirstParagraph"/>
      </w:pPr>
      <w:r>
        <w:t xml:space="preserve">Socrates plainly feels that it’s not enough to have technical skills.</w:t>
      </w:r>
      <w:r>
        <w:t xml:space="preserve"> </w:t>
      </w:r>
      <w:r>
        <w:t xml:space="preserve">One also must consider whether one is using those skills to commit a wrong.</w:t>
      </w:r>
    </w:p>
    <w:p>
      <w:pPr>
        <w:pStyle w:val="BodyText"/>
      </w:pPr>
      <w:r>
        <w:t xml:space="preserve">Freedman and Smith:</w:t>
      </w:r>
      <w:r>
        <w:t xml:space="preserve"> </w:t>
      </w:r>
      <w:r>
        <w:t xml:space="preserve">Is there a single point of view that can be</w:t>
      </w:r>
      <w:r>
        <w:t xml:space="preserve"> </w:t>
      </w:r>
      <w:r>
        <w:t xml:space="preserve">identified as</w:t>
      </w:r>
      <w:r>
        <w:t xml:space="preserve"> </w:t>
      </w:r>
      <w:r>
        <w:t xml:space="preserve">“</w:t>
      </w:r>
      <w:r>
        <w:t xml:space="preserve">the moral</w:t>
      </w:r>
      <w:r>
        <w:t xml:space="preserve">”</w:t>
      </w:r>
      <w:r>
        <w:t xml:space="preserve"> </w:t>
      </w:r>
      <w:r>
        <w:t xml:space="preserve">one?</w:t>
      </w:r>
    </w:p>
    <w:p>
      <w:pPr>
        <w:pStyle w:val="BodyText"/>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w:t>
      </w:r>
      <w:r>
        <w:t xml:space="preserve"> </w:t>
      </w:r>
      <w:r>
        <w:t xml:space="preserve">“</w:t>
      </w:r>
      <w:r>
        <w:t xml:space="preserve">justice</w:t>
      </w:r>
      <w:r>
        <w:t xml:space="preserve">”</w:t>
      </w:r>
      <w:r>
        <w:t xml:space="preserve"> </w:t>
      </w:r>
      <w:r>
        <w:t xml:space="preserve">and the client’s interests</w:t>
      </w:r>
    </w:p>
    <w:p>
      <w:pPr>
        <w:pStyle w:val="BodyText"/>
      </w:pPr>
      <w:r>
        <w:t xml:space="preserve">Dooling: The time to have a moral dilemma is when the lawyer is deciding whether to take the case.</w:t>
      </w:r>
    </w:p>
    <w:p>
      <w:pPr>
        <w:pStyle w:val="Heading2"/>
      </w:pPr>
      <w:bookmarkStart w:id="29" w:name="typesroles-of-lawyers"/>
      <w:r>
        <w:t xml:space="preserve">Types/Roles of Lawyers</w:t>
      </w:r>
      <w:bookmarkEnd w:id="29"/>
    </w:p>
    <w:p>
      <w:pPr>
        <w:pStyle w:val="Compact"/>
        <w:numPr>
          <w:numId w:val="1002"/>
          <w:ilvl w:val="0"/>
        </w:numPr>
      </w:pPr>
      <w:r>
        <w:t xml:space="preserve">Instrument –</w:t>
      </w:r>
      <w:r>
        <w:t xml:space="preserve"> </w:t>
      </w:r>
      <w:r>
        <w:t xml:space="preserve">“</w:t>
      </w:r>
      <w:r>
        <w:t xml:space="preserve">Hired Guns</w:t>
      </w:r>
      <w:r>
        <w:t xml:space="preserve">”</w:t>
      </w:r>
      <w:r>
        <w:t xml:space="preserve"> </w:t>
      </w:r>
      <w:r>
        <w:t xml:space="preserve">Tool for the clients; lawyer is limited only by law and legal system.</w:t>
      </w:r>
    </w:p>
    <w:p>
      <w:pPr>
        <w:pStyle w:val="Compact"/>
        <w:numPr>
          <w:numId w:val="1002"/>
          <w:ilvl w:val="0"/>
        </w:numPr>
      </w:pPr>
      <w:r>
        <w:t xml:space="preserve">Director –</w:t>
      </w:r>
      <w:r>
        <w:t xml:space="preserve"> </w:t>
      </w:r>
      <w:r>
        <w:t xml:space="preserve">“</w:t>
      </w:r>
      <w:r>
        <w:t xml:space="preserve">Moral Actors</w:t>
      </w:r>
      <w:r>
        <w:t xml:space="preserve">”</w:t>
      </w:r>
      <w:r>
        <w:t xml:space="preserve"> </w:t>
      </w:r>
      <w:r>
        <w:t xml:space="preserve">Legal expert capable of determining how to handle client’s affairs with little client input. Also often</w:t>
      </w:r>
      <w:r>
        <w:t xml:space="preserve"> </w:t>
      </w:r>
      <w:r>
        <w:t xml:space="preserve">“</w:t>
      </w:r>
      <w:r>
        <w:t xml:space="preserve">Lawyer to the Situation,</w:t>
      </w:r>
      <w:r>
        <w:t xml:space="preserve">”</w:t>
      </w:r>
      <w:r>
        <w:t xml:space="preserve"> </w:t>
      </w:r>
      <w:r>
        <w:t xml:space="preserve">instead of Lawyer to the Client.</w:t>
      </w:r>
    </w:p>
    <w:p>
      <w:pPr>
        <w:pStyle w:val="Compact"/>
        <w:numPr>
          <w:numId w:val="1002"/>
          <w:ilvl w:val="0"/>
        </w:numPr>
      </w:pPr>
      <w:r>
        <w:t xml:space="preserve">Collaborator/Translator – Client is best able to make decisions for herself, but needs the perspective of lawyers to know both her own interests and the effect of her decisions on others</w:t>
      </w:r>
    </w:p>
    <w:p>
      <w:pPr>
        <w:pStyle w:val="Compact"/>
        <w:numPr>
          <w:numId w:val="1002"/>
          <w:ilvl w:val="0"/>
        </w:numPr>
      </w:pPr>
      <w:r>
        <w:t xml:space="preserve">Obey your own conscience, not your client’s? </w:t>
      </w:r>
    </w:p>
    <w:p>
      <w:pPr>
        <w:pStyle w:val="CaptionedFigure"/>
      </w:pPr>
      <w:r>
        <w:drawing>
          <wp:inline>
            <wp:extent cx="5334000" cy="3650119"/>
            <wp:effectExtent b="0" l="0" r="0" t="0"/>
            <wp:docPr descr="Lawyer_Roles" title="Lawyer Roles" id="1" name="Picture"/>
            <a:graphic>
              <a:graphicData uri="http://schemas.openxmlformats.org/drawingml/2006/picture">
                <pic:pic>
                  <pic:nvPicPr>
                    <pic:cNvPr descr="images/Lawyer_Roles.png" id="0" name="Picture"/>
                    <pic:cNvPicPr>
                      <a:picLocks noChangeArrowheads="1" noChangeAspect="1"/>
                    </pic:cNvPicPr>
                  </pic:nvPicPr>
                  <pic:blipFill>
                    <a:blip r:embed="rId30"/>
                    <a:stretch>
                      <a:fillRect/>
                    </a:stretch>
                  </pic:blipFill>
                  <pic:spPr bwMode="auto">
                    <a:xfrm>
                      <a:off x="0" y="0"/>
                      <a:ext cx="5334000" cy="3650119"/>
                    </a:xfrm>
                    <a:prstGeom prst="rect">
                      <a:avLst/>
                    </a:prstGeom>
                    <a:noFill/>
                    <a:ln w="9525">
                      <a:noFill/>
                      <a:headEnd/>
                      <a:tailEnd/>
                    </a:ln>
                  </pic:spPr>
                </pic:pic>
              </a:graphicData>
            </a:graphic>
          </wp:inline>
        </w:drawing>
      </w:r>
    </w:p>
    <w:p>
      <w:pPr>
        <w:pStyle w:val="ImageCaption"/>
      </w:pPr>
      <w:r>
        <w:t xml:space="preserve">Lawyer_Roles</w:t>
      </w:r>
    </w:p>
    <w:p>
      <w:pPr>
        <w:pStyle w:val="Heading2"/>
      </w:pPr>
      <w:bookmarkStart w:id="31" w:name="recommended-reading-viewing"/>
      <w:r>
        <w:t xml:space="preserve">Recommended Reading &amp; Viewing</w:t>
      </w:r>
      <w:bookmarkEnd w:id="31"/>
    </w:p>
    <w:p>
      <w:pPr>
        <w:pStyle w:val="Compact"/>
        <w:numPr>
          <w:numId w:val="1003"/>
          <w:ilvl w:val="0"/>
        </w:numPr>
      </w:pPr>
      <w:hyperlink r:id="rId32">
        <w:r>
          <w:rPr>
            <w:rStyle w:val="Hyperlink"/>
          </w:rPr>
          <w:t xml:space="preserve">RLGL</w:t>
        </w:r>
        <w:r>
          <w:rPr>
            <w:rStyle w:val="Hyperlink"/>
          </w:rPr>
          <w:t xml:space="preserve"> </w:t>
        </w:r>
        <w:r>
          <w:rPr>
            <w:rStyle w:val="Hyperlink"/>
          </w:rPr>
          <w:t xml:space="preserve">“</w:t>
        </w:r>
        <w:r>
          <w:rPr>
            <w:rStyle w:val="Hyperlink"/>
          </w:rPr>
          <w:t xml:space="preserve">Professional Discipline</w:t>
        </w:r>
        <w:r>
          <w:rPr>
            <w:rStyle w:val="Hyperlink"/>
          </w:rPr>
          <w:t xml:space="preserve">”</w:t>
        </w:r>
        <w:r>
          <w:rPr>
            <w:rStyle w:val="Hyperlink"/>
          </w:rPr>
          <w:t xml:space="preserve"> </w:t>
        </w:r>
        <w:r>
          <w:rPr>
            <w:rStyle w:val="Hyperlink"/>
          </w:rPr>
          <w:t xml:space="preserve">§ 5</w:t>
        </w:r>
      </w:hyperlink>
    </w:p>
    <w:p>
      <w:pPr>
        <w:pStyle w:val="Compact"/>
        <w:numPr>
          <w:numId w:val="1003"/>
          <w:ilvl w:val="0"/>
        </w:numPr>
      </w:pPr>
      <w:hyperlink r:id="rId33">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27">
        <w:r>
          <w:rPr>
            <w:rStyle w:val="Hyperlink"/>
          </w:rPr>
          <w:t xml:space="preserve">Gorgias at Wikipedia</w:t>
        </w:r>
      </w:hyperlink>
      <w:r>
        <w:t xml:space="preserve">.</w:t>
      </w:r>
    </w:p>
    <w:p>
      <w:pPr>
        <w:pStyle w:val="Compact"/>
        <w:numPr>
          <w:numId w:val="1003"/>
          <w:ilvl w:val="0"/>
        </w:numPr>
      </w:pPr>
      <w:hyperlink r:id="rId34">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35">
        <w:r>
          <w:rPr>
            <w:rStyle w:val="Hyperlink"/>
          </w:rPr>
          <w:t xml:space="preserve">the 1962 movie version</w:t>
        </w:r>
      </w:hyperlink>
      <w:r>
        <w:t xml:space="preserve">, starring Gregory Peck (DVD on reserve in Schmid Law Library).</w:t>
      </w:r>
    </w:p>
    <w:p>
      <w:pPr>
        <w:pStyle w:val="Compact"/>
        <w:numPr>
          <w:numId w:val="1003"/>
          <w:ilvl w:val="0"/>
        </w:numPr>
      </w:pPr>
      <w:hyperlink r:id="rId36">
        <w:r>
          <w:rPr>
            <w:rStyle w:val="Hyperlink"/>
          </w:rPr>
          <w:t xml:space="preserve">Malcom Gladwell’s</w:t>
        </w:r>
        <w:r>
          <w:rPr>
            <w:rStyle w:val="Hyperlink"/>
          </w:rPr>
          <w:t xml:space="preserve"> </w:t>
        </w:r>
        <w:r>
          <w:rPr>
            <w:rStyle w:val="Hyperlink"/>
          </w:rPr>
          <w:t xml:space="preserve">“</w:t>
        </w:r>
        <w:r>
          <w:rPr>
            <w:rStyle w:val="Hyperlink"/>
          </w:rPr>
          <w:t xml:space="preserve">The Courthouse Ring: Atticus Finch and the limits of Southern liberalism,</w:t>
        </w:r>
        <w:r>
          <w:rPr>
            <w:rStyle w:val="Hyperlink"/>
          </w:rPr>
          <w:t xml:space="preserve">”</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36">
        <w:r>
          <w:rPr>
            <w:i/>
            <w:rStyle w:val="Hyperlink"/>
          </w:rPr>
          <w:t xml:space="preserve">The New Yorker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33"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1</dc:title>
  <dc:creator>Richard Dooling</dc:creator>
  <cp:keywords/>
  <dcterms:created xsi:type="dcterms:W3CDTF">2018-05-14T20:50:39Z</dcterms:created>
  <dcterms:modified xsi:type="dcterms:W3CDTF">2018-05-14T20:50:39Z</dcterms:modified>
</cp:coreProperties>
</file>