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3"/>
      <w:bookmarkEnd w:id="21"/>
      <w:r>
        <w:t xml:space="preserve">M&amp;F 3rd, Chapter 3</w:t>
      </w:r>
    </w:p>
    <w:p>
      <w:pPr>
        <w:pStyle w:val="Heading6"/>
      </w:pPr>
      <w:bookmarkStart w:id="22" w:name="beginning-the-client-lawyer-relationship"/>
      <w:bookmarkEnd w:id="22"/>
      <w:r>
        <w:t xml:space="preserve">Beginning the Client-Lawyer Relationship</w:t>
      </w:r>
    </w:p>
    <w:p>
      <w:pPr>
        <w:pStyle w:val="Heading2"/>
      </w:pPr>
      <w:bookmarkStart w:id="23" w:name="in-the-beginning-.-.-."/>
      <w:bookmarkEnd w:id="23"/>
      <w:r>
        <w:t xml:space="preserve">In The Beginning . . .</w:t>
      </w:r>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For certain people, after fifty, litigation takes the place of sex. --Gore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w:t>
      </w:r>
    </w:p>
    <w:p>
      <w:pPr>
        <w:pStyle w:val="BodyText"/>
      </w:pPr>
      <w:r>
        <w:t xml:space="preserve">But they have other obligations governed by court rules.</w:t>
      </w:r>
    </w:p>
    <w:p>
      <w:pPr>
        <w:pStyle w:val="BodyText"/>
      </w:pPr>
      <w:r>
        <w:t xml:space="preserve">Formation of the lawyer-client relationship, the place of fees in that relationship, and the various forms of the duty of confidentiality.</w:t>
      </w:r>
    </w:p>
    <w:p>
      <w:pPr>
        <w:pStyle w:val="Heading2"/>
      </w:pPr>
      <w:bookmarkStart w:id="24" w:name="access-to-justice"/>
      <w:bookmarkEnd w:id="24"/>
      <w:r>
        <w:t xml:space="preserve">Access To Justice</w:t>
      </w:r>
    </w:p>
    <w:p>
      <w:pPr>
        <w:pStyle w:val="FirstParagraph"/>
      </w:pPr>
      <w:r>
        <w:t xml:space="preserve">Access to justice in America remains elusive for most of the poor and much of the middle class.</w:t>
      </w:r>
    </w:p>
    <w:p>
      <w:pPr>
        <w:pStyle w:val="BodyText"/>
      </w:pP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BlockText"/>
      </w:pPr>
      <w:r>
        <w:t xml:space="preserve">A man's respect for law and order exists in precise relationship to the size of his pay check. --Adam Clayton Powell</w:t>
      </w:r>
    </w:p>
    <w:p>
      <w:pPr>
        <w:pStyle w:val="BlockText"/>
      </w:pPr>
      <w:r>
        <w:t xml:space="preserve">Laws were made for the exploitation of those who don't understand them or are prevented by naked misery from obeying them. --Clarence Darrow</w:t>
      </w:r>
    </w:p>
    <w:p>
      <w:pPr>
        <w:pStyle w:val="BlockText"/>
      </w:pPr>
      <w:r>
        <w:t xml:space="preserve">The men who own the earth make the laws to protect what they have. Laws were never organized or enforced to do justice. Only you, the jury, can give us justice. --Clarence Darrow</w:t>
      </w:r>
    </w:p>
    <w:p>
      <w:pPr>
        <w:pStyle w:val="Heading2"/>
      </w:pPr>
      <w:bookmarkStart w:id="25" w:name="court-appointments"/>
      <w:bookmarkEnd w:id="25"/>
      <w:r>
        <w:t xml:space="preserve">Court Appointments</w:t>
      </w:r>
    </w:p>
    <w:p>
      <w:pPr>
        <w:pStyle w:val="FirstParagraph"/>
      </w:pPr>
      <w:r>
        <w:t xml:space="preserve">Courts have the power to APPOINT 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6" w:name="model-rule-6.1"/>
      <w:bookmarkEnd w:id="26"/>
      <w:r>
        <w:t xml:space="preserve">Model Rule 6.1</w:t>
      </w:r>
    </w:p>
    <w:p>
      <w:pPr>
        <w:pStyle w:val="Heading6"/>
      </w:pPr>
      <w:bookmarkStart w:id="27" w:name="voluntary-pro-bono-publico-service"/>
      <w:bookmarkEnd w:id="27"/>
      <w:r>
        <w:t xml:space="preserve">Voluntary Pro Bono Publico Service</w:t>
      </w:r>
    </w:p>
    <w:p>
      <w:pPr>
        <w:pStyle w:val="FirstParagraph"/>
      </w:pPr>
      <w:r>
        <w:t xml:space="preserve">Every lawyer has a professional responsibility to provide legal services to those unable to pay. A lawyer SHOULD 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8" w:name="model-rule-6.2"/>
      <w:bookmarkEnd w:id="28"/>
      <w:r>
        <w:t xml:space="preserve">Model Rule 6.2</w:t>
      </w:r>
    </w:p>
    <w:p>
      <w:pPr>
        <w:pStyle w:val="Heading6"/>
      </w:pPr>
      <w:bookmarkStart w:id="29" w:name="accepting-appointments"/>
      <w:bookmarkEnd w:id="29"/>
      <w:r>
        <w:t xml:space="preserve">Accepting Appointments:</w:t>
      </w:r>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3"/>
      </w:pPr>
      <w:bookmarkStart w:id="30" w:name="model-rule-2.1"/>
      <w:bookmarkEnd w:id="30"/>
      <w:r>
        <w:t xml:space="preserve">Model Rule 2.1</w:t>
      </w:r>
    </w:p>
    <w:p>
      <w:pPr>
        <w:pStyle w:val="Heading6"/>
      </w:pPr>
      <w:bookmarkStart w:id="31" w:name="duties-as-advisor-to-client"/>
      <w:bookmarkEnd w:id="31"/>
      <w:r>
        <w:t xml:space="preserve">Duties as Advisor to Client:</w:t>
      </w:r>
    </w:p>
    <w:p>
      <w:pPr>
        <w:pStyle w:val="Compact"/>
        <w:numPr>
          <w:numId w:val="1005"/>
          <w:ilvl w:val="0"/>
        </w:numPr>
      </w:pPr>
      <w:r>
        <w:t xml:space="preserve">Lawyer shall:</w:t>
      </w:r>
    </w:p>
    <w:p>
      <w:pPr>
        <w:pStyle w:val="Compact"/>
        <w:numPr>
          <w:numId w:val="1006"/>
          <w:ilvl w:val="1"/>
        </w:numPr>
      </w:pPr>
      <w:r>
        <w:t xml:space="preserve">Exercise independent professional judgment and render candid advice;</w:t>
      </w:r>
    </w:p>
    <w:p>
      <w:pPr>
        <w:pStyle w:val="Compact"/>
        <w:numPr>
          <w:numId w:val="1005"/>
          <w:ilvl w:val="0"/>
        </w:numPr>
      </w:pPr>
      <w:r>
        <w:t xml:space="preserve">Lawyer May:</w:t>
      </w:r>
    </w:p>
    <w:p>
      <w:pPr>
        <w:pStyle w:val="Compact"/>
        <w:numPr>
          <w:numId w:val="1007"/>
          <w:ilvl w:val="1"/>
        </w:numPr>
      </w:pPr>
      <w:r>
        <w:t xml:space="preserve">Refer not only to LAW, but other considerations, including (1) moral (2) economic (3) ethical (4) social and (5) political factors.</w:t>
      </w:r>
    </w:p>
    <w:p>
      <w:pPr>
        <w:pStyle w:val="Compact"/>
        <w:numPr>
          <w:numId w:val="1005"/>
          <w:ilvl w:val="0"/>
        </w:numPr>
      </w:pPr>
      <w:r>
        <w:t xml:space="preserve">May include information from non-lawyer professionals.</w:t>
      </w:r>
    </w:p>
    <w:p>
      <w:pPr>
        <w:pStyle w:val="Compact"/>
        <w:numPr>
          <w:numId w:val="1005"/>
          <w:ilvl w:val="0"/>
        </w:numPr>
      </w:pPr>
      <w:r>
        <w:t xml:space="preserve">If the matter involves litigation, lawyer SHOULD also inform client of alternative dispute resolution, but so far NOT REQUIRED. Still a very good idea, depending on the circumstances.</w:t>
      </w:r>
    </w:p>
    <w:p>
      <w:pPr>
        <w:pStyle w:val="Heading4"/>
      </w:pPr>
      <w:bookmarkStart w:id="32" w:name="accidental-clients"/>
      <w:bookmarkEnd w:id="32"/>
      <w:r>
        <w:t xml:space="preserve">Accidental Clients</w:t>
      </w:r>
    </w:p>
    <w:p>
      <w:pPr>
        <w:pStyle w:val="Heading5"/>
      </w:pPr>
      <w:bookmarkStart w:id="33" w:name="preamble-scope-comment-17"/>
      <w:bookmarkEnd w:id="33"/>
      <w:r>
        <w:t xml:space="preserve">Preamble &amp; Scope Comment 17</w:t>
      </w:r>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4">
        <w:r>
          <w:rPr>
            <w:rStyle w:val="Hyperlink"/>
          </w:rPr>
          <w:t xml:space="preserve">Preamble &amp; Scope</w:t>
        </w:r>
      </w:hyperlink>
      <w:r>
        <w:t xml:space="preserve"> </w:t>
      </w:r>
      <w:r>
        <w:t xml:space="preserve">to the Model Rules tells us that "principles of substantive law external to these Rules determine whether a client-lawyer relationship exists." 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5">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6">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7" w:name="rlgl-14"/>
      <w:bookmarkEnd w:id="37"/>
      <w:r>
        <w:t xml:space="preserve">RLGL § 14</w:t>
      </w:r>
    </w:p>
    <w:p>
      <w:pPr>
        <w:pStyle w:val="FirstParagraph"/>
      </w:pPr>
      <w:hyperlink r:id="rId38">
        <w:r>
          <w:rPr>
            <w:rStyle w:val="Hyperlink"/>
          </w:rPr>
          <w:t xml:space="preserve">RLGL § 14: "Formation of a Client-Lawyer Relationship"</w:t>
        </w:r>
      </w:hyperlink>
    </w:p>
    <w:p>
      <w:pPr>
        <w:pStyle w:val="BodyText"/>
      </w:pPr>
      <w:r>
        <w:t xml:space="preserve">The lawyer-client relationship arises when a person wants the lawyer to provide legal services and EITHER:</w:t>
      </w:r>
    </w:p>
    <w:p>
      <w:pPr>
        <w:pStyle w:val="Compact"/>
        <w:numPr>
          <w:numId w:val="1008"/>
          <w:ilvl w:val="0"/>
        </w:numPr>
      </w:pPr>
      <w:r>
        <w:t xml:space="preserve">the lawyer consents, OR</w:t>
      </w:r>
    </w:p>
    <w:p>
      <w:pPr>
        <w:pStyle w:val="Compact"/>
        <w:numPr>
          <w:numId w:val="1008"/>
          <w:ilvl w:val="0"/>
        </w:numPr>
      </w:pPr>
      <w:r>
        <w:t xml:space="preserve">the lawyer FAILS TO MANIFEST LACK OF CONSENT.</w:t>
      </w:r>
    </w:p>
    <w:p>
      <w:pPr>
        <w:pStyle w:val="Heading4"/>
      </w:pPr>
      <w:bookmarkStart w:id="39" w:name="togstadt-and-common-sense"/>
      <w:bookmarkEnd w:id="39"/>
      <w:r>
        <w:rPr>
          <w:i/>
        </w:rPr>
        <w:t xml:space="preserve">Togstadt</w:t>
      </w:r>
      <w:r>
        <w:t xml:space="preserve"> </w:t>
      </w:r>
      <w:r>
        <w:t xml:space="preserve">and Common Sense</w:t>
      </w:r>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 "No I can't take your case" then lawyer should send a</w:t>
      </w:r>
      <w:r>
        <w:t xml:space="preserve"> </w:t>
      </w:r>
      <w:hyperlink r:id="rId40">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9"/>
          <w:ilvl w:val="0"/>
        </w:numPr>
      </w:pPr>
      <w:r>
        <w:t xml:space="preserve">For example, lawyer says: "I don't think you have a case, but I'll talk to my senior partner and get back to you." (</w:t>
      </w:r>
      <w:r>
        <w:rPr>
          <w:i/>
        </w:rPr>
        <w:t xml:space="preserve">Togstadt</w:t>
      </w:r>
      <w:r>
        <w:t xml:space="preserve">)</w:t>
      </w:r>
    </w:p>
    <w:p>
      <w:pPr>
        <w:pStyle w:val="Compact"/>
        <w:numPr>
          <w:numId w:val="1010"/>
          <w:ilvl w:val="1"/>
        </w:numPr>
      </w:pPr>
      <w:r>
        <w:t xml:space="preserve">While client waits for lawyer to get back to her, the statute of limitations runs.</w:t>
      </w:r>
    </w:p>
    <w:p>
      <w:pPr>
        <w:pStyle w:val="Compact"/>
        <w:numPr>
          <w:numId w:val="1009"/>
          <w:ilvl w:val="0"/>
        </w:numPr>
      </w:pPr>
      <w:r>
        <w:t xml:space="preserve">A lawyer may enter into an attorney-client relationship if the lawyer gives legal advice to a person who reasonably relies on it, even at social gatherings or on social media.</w:t>
      </w:r>
    </w:p>
    <w:p>
      <w:pPr>
        <w:pStyle w:val="Compact"/>
        <w:numPr>
          <w:numId w:val="1009"/>
          <w:ilvl w:val="0"/>
        </w:numPr>
      </w:pPr>
      <w:r>
        <w:t xml:space="preserve">How to Avoid these "accidental clients"?</w:t>
      </w:r>
    </w:p>
    <w:p>
      <w:pPr>
        <w:pStyle w:val="Compact"/>
        <w:numPr>
          <w:numId w:val="1009"/>
          <w:ilvl w:val="0"/>
        </w:numPr>
      </w:pPr>
      <w:r>
        <w:t xml:space="preserve">Simple direct statements: "This is not legal advice!" Or, "I cannot be your lawyer!" Then take whatever question the person asked and cast it as a hypothetical.</w:t>
      </w:r>
    </w:p>
    <w:p>
      <w:pPr>
        <w:pStyle w:val="Compact"/>
        <w:numPr>
          <w:numId w:val="1009"/>
          <w:ilvl w:val="0"/>
        </w:numPr>
      </w:pPr>
      <w:r>
        <w:t xml:space="preserve">Send non-engagement letters.</w:t>
      </w:r>
    </w:p>
    <w:p>
      <w:pPr>
        <w:pStyle w:val="Compact"/>
        <w:numPr>
          <w:numId w:val="1009"/>
          <w:ilvl w:val="0"/>
        </w:numPr>
      </w:pPr>
      <w:r>
        <w:t xml:space="preserve">Train non-lawyer office staff. Even staff may inadvertently give impression that an attorney-client relationship has been formed, so lawyers must train them to avoid this.</w:t>
      </w:r>
    </w:p>
    <w:p>
      <w:pPr>
        <w:pStyle w:val="Heading3"/>
      </w:pPr>
      <w:bookmarkStart w:id="41" w:name="model-rule-1.2c"/>
      <w:bookmarkEnd w:id="41"/>
      <w:r>
        <w:t xml:space="preserve">Model Rule 1.2(c)</w:t>
      </w:r>
    </w:p>
    <w:p>
      <w:pPr>
        <w:pStyle w:val="Heading6"/>
      </w:pPr>
      <w:bookmarkStart w:id="42" w:name="providing-limited-representation"/>
      <w:bookmarkEnd w:id="42"/>
      <w:r>
        <w:t xml:space="preserve">Providing Limited Representation:</w:t>
      </w:r>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3">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4" w:name="online-legal-services"/>
      <w:bookmarkEnd w:id="44"/>
      <w:r>
        <w:t xml:space="preserve">Online Legal Services</w:t>
      </w:r>
    </w:p>
    <w:p>
      <w:pPr>
        <w:pStyle w:val="Compact"/>
        <w:numPr>
          <w:numId w:val="1011"/>
          <w:ilvl w:val="0"/>
        </w:numPr>
      </w:pPr>
      <w:hyperlink r:id="rId45">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"Legal Analytics" 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2"/>
          <w:ilvl w:val="0"/>
        </w:numPr>
      </w:pPr>
      <w:r>
        <w:t xml:space="preserve">Mike Rhodin, Senior Vice President, IBM Watson at the 47 minute mark.</w:t>
      </w:r>
    </w:p>
    <w:p>
      <w:pPr>
        <w:pStyle w:val="Compact"/>
        <w:numPr>
          <w:numId w:val="1012"/>
          <w:ilvl w:val="0"/>
        </w:numPr>
      </w:pPr>
      <w:r>
        <w:t xml:space="preserve">John Suh, CEO of LegalZoom at the 1:05 and</w:t>
      </w:r>
    </w:p>
    <w:p>
      <w:pPr>
        <w:pStyle w:val="Compact"/>
        <w:numPr>
          <w:numId w:val="1012"/>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3"/>
          <w:ilvl w:val="0"/>
        </w:numPr>
      </w:pPr>
      <w:hyperlink r:id="rId46">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 “I, for one, welcome our new computer overlords,” he wrote on his video screen, borrowing a line from a “Simpsons” 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 "Jeopardy" in 2011.</w:t>
      </w:r>
    </w:p>
    <w:p>
      <w:pPr>
        <w:pStyle w:val="BodyText"/>
      </w:pPr>
      <w:r>
        <w:t xml:space="preserve">"On 'Jeopardy' it read 200 million pages of data in three seconds," says Gold. "Now [the machine] is 90 percent smaller and 24 times faster." Ferrauiola adds, "One way to think about it is that the machine used on 'Jeopardy' filled a room. Now it would fill three pizza boxes."</w:t>
      </w:r>
    </w:p>
    <w:p>
      <w:pPr>
        <w:pStyle w:val="BodyText"/>
      </w:pPr>
      <w:r>
        <w:t xml:space="preserve">Compare to the 90s when Intuit and Quicken and companies came out with Tax Software. The accountants are long gone who said: "You don’t want to use that, you should just use me."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7" w:name="lawyer-autonomy"/>
      <w:bookmarkEnd w:id="47"/>
      <w:r>
        <w:t xml:space="preserve">Lawyer Autonomy</w:t>
      </w:r>
    </w:p>
    <w:p>
      <w:pPr>
        <w:pStyle w:val="Heading3"/>
      </w:pPr>
      <w:bookmarkStart w:id="48" w:name="model-rule-1.2b"/>
      <w:bookmarkEnd w:id="48"/>
      <w:r>
        <w:t xml:space="preserve">Model Rule 1.2(b):</w:t>
      </w:r>
    </w:p>
    <w:p>
      <w:pPr>
        <w:pStyle w:val="BlockText"/>
      </w:pPr>
      <w:r>
        <w:t xml:space="preserve">representation . . . Does not constitute an endorsement of the client’s political, economic, social or moral views or activities.”</w:t>
      </w:r>
    </w:p>
    <w:p>
      <w:pPr>
        <w:pStyle w:val="Heading4"/>
      </w:pPr>
      <w:bookmarkStart w:id="49" w:name="advocate"/>
      <w:bookmarkEnd w:id="49"/>
      <w:r>
        <w:t xml:space="preserve">Advocate</w:t>
      </w:r>
    </w:p>
    <w:p>
      <w:pPr>
        <w:pStyle w:val="FirstParagraph"/>
      </w:pPr>
      <w:r>
        <w:t xml:space="preserve">An ADVOCATE deals with past conduct and takes the facts as he or she finds them.</w:t>
      </w:r>
    </w:p>
    <w:p>
      <w:pPr>
        <w:pStyle w:val="BodyText"/>
      </w:pPr>
      <w:r>
        <w:t xml:space="preserve">“It is what it is,” 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that the role of COUNSELLOR or ADVISOR, where we are usually dealing with the present and future</w:t>
      </w:r>
    </w:p>
    <w:p>
      <w:pPr>
        <w:pStyle w:val="Heading3"/>
      </w:pPr>
      <w:bookmarkStart w:id="50" w:name="advisor"/>
      <w:bookmarkEnd w:id="50"/>
      <w:r>
        <w:t xml:space="preserve">Advisor</w:t>
      </w:r>
    </w:p>
    <w:p>
      <w:pPr>
        <w:pStyle w:val="Heading3"/>
      </w:pPr>
      <w:bookmarkStart w:id="51" w:name="model-rule-2.1-1"/>
      <w:bookmarkEnd w:id="51"/>
      <w:r>
        <w:t xml:space="preserve">Model Rule 2.1</w:t>
      </w:r>
    </w:p>
    <w:p>
      <w:pPr>
        <w:pStyle w:val="Heading6"/>
      </w:pPr>
      <w:bookmarkStart w:id="52" w:name="candid-advice-professional-judgment"/>
      <w:bookmarkEnd w:id="52"/>
      <w:r>
        <w:t xml:space="preserve">Candid advice &amp;  professional judgment</w:t>
      </w:r>
    </w:p>
    <w:p>
      <w:pPr>
        <w:pStyle w:val="FirstParagraph"/>
      </w:pPr>
      <w:r>
        <w:t xml:space="preserve">Comment 3: “. . . may include . . . more . . . than strictly legal considerations.”</w:t>
      </w:r>
    </w:p>
    <w:p>
      <w:pPr>
        <w:pStyle w:val="BodyText"/>
      </w:pPr>
      <w:r>
        <w:t xml:space="preserve">Comment 4: If the advice needed is in “the domain of another profession,” such as “social work,” the lawyer should recommend . . .</w:t>
      </w:r>
    </w:p>
    <w:p>
      <w:pPr>
        <w:pStyle w:val="BodyText"/>
      </w:pPr>
      <w:r>
        <w:t xml:space="preserve">“[T]he lawyer’s responsibility as an advisor . . .”</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3" w:name="any-obligation-to-accept-unsavory-clients"/>
      <w:bookmarkEnd w:id="53"/>
      <w:r>
        <w:t xml:space="preserve">Any obligation to accept unsavory clients?</w:t>
      </w:r>
    </w:p>
    <w:p>
      <w:pPr>
        <w:pStyle w:val="FirstParagraph"/>
      </w:pPr>
      <w:r>
        <w:t xml:space="preserve">Under the old Code, Ethical Canon 2-26 stated: “a lawyer should not lightly decline proffered employment.”</w:t>
      </w:r>
    </w:p>
    <w:p>
      <w:pPr>
        <w:pStyle w:val="BodyText"/>
      </w:pPr>
      <w:r>
        <w:t xml:space="preserve">Lawyer should accept her “share of tendered employment which may be unattractive both to her and the bar generally.”</w:t>
      </w:r>
    </w:p>
    <w:p>
      <w:pPr>
        <w:pStyle w:val="BodyText"/>
      </w:pPr>
      <w:r>
        <w:t xml:space="preserve">ABA Model CODE of Professional Responsibility (1969-1983)</w:t>
      </w:r>
    </w:p>
    <w:p>
      <w:pPr>
        <w:pStyle w:val="BodyText"/>
      </w:pPr>
      <w:r>
        <w:t xml:space="preserve">Closest thing in Rules is 6.2: “Accepting Appointments.”</w:t>
      </w:r>
    </w:p>
    <w:p>
      <w:pPr>
        <w:pStyle w:val="BodyText"/>
      </w:pPr>
      <w:r>
        <w:t xml:space="preserve">Really?</w:t>
      </w:r>
    </w:p>
    <w:p>
      <w:pPr>
        <w:pStyle w:val="BodyText"/>
      </w:pPr>
      <w:r>
        <w:t xml:space="preserve">How do you feel about this?</w:t>
      </w:r>
    </w:p>
    <w:p>
      <w:pPr>
        <w:pStyle w:val="Heading4"/>
      </w:pPr>
      <w:bookmarkStart w:id="54" w:name="what-if-client-refuses-an-appointed-lawyers-services"/>
      <w:bookmarkEnd w:id="54"/>
      <w:r>
        <w:t xml:space="preserve">What If Client Refuses An Appointed Lawyer's Services?</w:t>
      </w:r>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55" w:name="accidental-clients-1"/>
      <w:bookmarkEnd w:id="55"/>
      <w:r>
        <w:t xml:space="preserve">Accidental Clients</w:t>
      </w:r>
    </w:p>
    <w:p>
      <w:pPr>
        <w:pStyle w:val="Heading3"/>
      </w:pPr>
      <w:bookmarkStart w:id="56" w:name="model-rule-1.18"/>
      <w:bookmarkEnd w:id="56"/>
      <w:r>
        <w:t xml:space="preserve">Model Rule 1.18</w:t>
      </w:r>
    </w:p>
    <w:p>
      <w:pPr>
        <w:pStyle w:val="Heading6"/>
      </w:pPr>
      <w:bookmarkStart w:id="57" w:name="duties-to-prospective-clients"/>
      <w:bookmarkEnd w:id="57"/>
      <w:r>
        <w:t xml:space="preserve">Duties To Prospective Clients</w:t>
      </w:r>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58" w:name="rlgl-14-1"/>
      <w:bookmarkEnd w:id="58"/>
      <w:r>
        <w:t xml:space="preserve">RLGL §14</w:t>
      </w:r>
    </w:p>
    <w:p>
      <w:pPr>
        <w:pStyle w:val="Heading6"/>
      </w:pPr>
      <w:bookmarkStart w:id="59" w:name="formation-of-lawyer-client-relationship"/>
      <w:bookmarkEnd w:id="59"/>
      <w:r>
        <w:t xml:space="preserve">Formation of Lawyer-Client Relationship</w:t>
      </w:r>
    </w:p>
    <w:p>
      <w:pPr>
        <w:pStyle w:val="FirstParagraph"/>
      </w:pPr>
      <w:r>
        <w:t xml:space="preserve">The lawyer-client relationship arises when a person wants the lawyer to provide legal services and EITHER:</w:t>
      </w:r>
    </w:p>
    <w:p>
      <w:pPr>
        <w:pStyle w:val="Compact"/>
        <w:numPr>
          <w:numId w:val="1014"/>
          <w:ilvl w:val="0"/>
        </w:numPr>
      </w:pPr>
      <w:r>
        <w:t xml:space="preserve">the lawyer consents OR</w:t>
      </w:r>
    </w:p>
    <w:p>
      <w:pPr>
        <w:pStyle w:val="Compact"/>
        <w:numPr>
          <w:numId w:val="1014"/>
          <w:ilvl w:val="0"/>
        </w:numPr>
      </w:pPr>
      <w:r>
        <w:t xml:space="preserve">the lawyer “FAILS TO MANIFEST LACK OF CONSENT”</w:t>
      </w:r>
    </w:p>
    <w:p>
      <w:pPr>
        <w:pStyle w:val="Heading3"/>
      </w:pPr>
      <w:bookmarkStart w:id="60" w:name="totally-optional-reading-viewing"/>
      <w:bookmarkEnd w:id="60"/>
      <w:r>
        <w:t xml:space="preserve">Totally Optional Reading &amp; Viewing</w:t>
      </w:r>
    </w:p>
    <w:p>
      <w:pPr>
        <w:pStyle w:val="Compact"/>
        <w:numPr>
          <w:numId w:val="1015"/>
          <w:ilvl w:val="0"/>
        </w:numPr>
      </w:pPr>
      <w:r>
        <w:t xml:space="preserve">[A Mockery of Justice for the Poor,] (http://www.nytimes.com/2016/04/30/opinion/a-mockery-of-justice-for-the-poor.html)</w:t>
      </w:r>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16"/>
          <w:ilvl w:val="0"/>
        </w:numPr>
      </w:pPr>
      <w:hyperlink r:id="rId61">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16"/>
          <w:ilvl w:val="0"/>
        </w:numPr>
      </w:pPr>
      <w:hyperlink r:id="rId62">
        <w:r>
          <w:rPr>
            <w:rStyle w:val="Hyperlink"/>
          </w:rPr>
          <w:t xml:space="preserve">Wealth Inequality In America</w:t>
        </w:r>
      </w:hyperlink>
    </w:p>
    <w:p>
      <w:pPr>
        <w:pStyle w:val="Compact"/>
        <w:numPr>
          <w:numId w:val="1017"/>
          <w:ilvl w:val="1"/>
        </w:numPr>
      </w:pPr>
      <w:r>
        <w:t xml:space="preserve">We don't discuss income inequality. Rather, this supports my belief that half the country can't afford legal services under the traditional billable-hour, fee-for-service model. See also:</w:t>
      </w:r>
      <w:r>
        <w:t xml:space="preserve"> </w:t>
      </w:r>
      <w:hyperlink r:id="rId63">
        <w:r>
          <w:rPr>
            <w:rStyle w:val="Hyperlink"/>
          </w:rPr>
          <w:t xml:space="preserve">Time Magazine: Half of Americans Live Paycheck-To-Paycheck</w:t>
        </w:r>
      </w:hyperlink>
    </w:p>
    <w:p>
      <w:pPr>
        <w:pStyle w:val="Compact"/>
        <w:numPr>
          <w:numId w:val="1017"/>
          <w:ilvl w:val="1"/>
        </w:numPr>
      </w:pPr>
      <w:r>
        <w:t xml:space="preserve">I believe that your generation of lawyers will leverage technology and find a way to serve these clients. The new client-service models and fee arrangements will involve the usual</w:t>
      </w:r>
      <w:r>
        <w:t xml:space="preserve"> </w:t>
      </w:r>
      <w:hyperlink r:id="rId64">
        <w:r>
          <w:rPr>
            <w:rStyle w:val="Hyperlink"/>
          </w:rPr>
          <w:t xml:space="preserve">creative destruction</w:t>
        </w:r>
      </w:hyperlink>
      <w:r>
        <w:t xml:space="preserve"> </w:t>
      </w:r>
      <w:r>
        <w:t xml:space="preserve">and</w:t>
      </w:r>
      <w:r>
        <w:t xml:space="preserve"> </w:t>
      </w:r>
      <w:hyperlink r:id="rId65">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16"/>
          <w:ilvl w:val="0"/>
        </w:numPr>
      </w:pPr>
      <w:hyperlink r:id="rId66">
        <w:r>
          <w:rPr>
            <w:rStyle w:val="Hyperlink"/>
          </w:rPr>
          <w:t xml:space="preserve">Walmart heirs own more wealth than bottom 40 percent of Americans</w:t>
        </w:r>
      </w:hyperlink>
      <w:r>
        <w:t xml:space="preserve">("If you’ve no debts and have $10 in your pocket you have more wealth than 25 percent of Americans").</w:t>
      </w:r>
    </w:p>
    <w:p>
      <w:pPr>
        <w:pStyle w:val="Compact"/>
        <w:numPr>
          <w:numId w:val="1016"/>
          <w:ilvl w:val="0"/>
        </w:numPr>
      </w:pPr>
      <w:hyperlink r:id="rId67">
        <w:r>
          <w:rPr>
            <w:rStyle w:val="Hyperlink"/>
          </w:rPr>
          <w:t xml:space="preserve">Is There Such A Thing As An Affordable Lawyer?</w:t>
        </w:r>
      </w:hyperlink>
    </w:p>
    <w:p>
      <w:pPr>
        <w:pStyle w:val="Compact"/>
        <w:numPr>
          <w:numId w:val="1016"/>
          <w:ilvl w:val="0"/>
        </w:numPr>
      </w:pPr>
      <w:r>
        <w:t xml:space="preserve">[</w:t>
      </w:r>
      <w:r>
        <w:rPr>
          <w:i/>
        </w:rPr>
        <w:t xml:space="preserve">The People Versus Larry Flynt</w:t>
      </w:r>
      <w:r>
        <w:t xml:space="preserve">][flynt] (stars Woody Harrelson, Ed Norton, and Courtney Love).</w:t>
      </w:r>
    </w:p>
    <w:p>
      <w:pPr>
        <w:pStyle w:val="Compact"/>
        <w:numPr>
          <w:numId w:val="1018"/>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16"/>
          <w:ilvl w:val="0"/>
        </w:numPr>
      </w:pPr>
      <w:hyperlink r:id="rId68">
        <w:r>
          <w:rPr>
            <w:rStyle w:val="Hyperlink"/>
          </w:rPr>
          <w:t xml:space="preserve">California Supreme Court Says Journalist and Serial Liar Can't Be Lawyer</w:t>
        </w:r>
      </w:hyperlink>
    </w:p>
    <w:p>
      <w:pPr>
        <w:pStyle w:val="Compact"/>
        <w:numPr>
          <w:numId w:val="1016"/>
          <w:ilvl w:val="0"/>
        </w:numPr>
      </w:pPr>
      <w:hyperlink r:id="rId69">
        <w:r>
          <w:rPr>
            <w:rStyle w:val="Hyperlink"/>
          </w:rPr>
          <w:t xml:space="preserve">Stephen Glass, Dishonest Journalist Not Admitted to Bar</w:t>
        </w:r>
      </w:hyperlink>
    </w:p>
    <w:p>
      <w:pPr>
        <w:pStyle w:val="Compact"/>
        <w:numPr>
          <w:numId w:val="1016"/>
          <w:ilvl w:val="0"/>
        </w:numPr>
      </w:pPr>
      <w:hyperlink r:id="rId70">
        <w:r>
          <w:rPr>
            <w:rStyle w:val="Hyperlink"/>
          </w:rPr>
          <w:t xml:space="preserve">Iowa Toys With Abolishing Bar Exam Requirment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cb2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1dd5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articles.latimes.com/1997-04-03/news/mn-44919_1_credit-suisse" TargetMode="External" /><Relationship Type="http://schemas.openxmlformats.org/officeDocument/2006/relationships/hyperlink" Id="rId63" Target="http://business.time.com/2014/01/30/nearly-half-of-america-lives-paycheck-to-paycheck/" TargetMode="External" /><Relationship Type="http://schemas.openxmlformats.org/officeDocument/2006/relationships/hyperlink" Id="rId64" Target="http://en.wikipedia.org/wiki/Creative_destruction" TargetMode="External" /><Relationship Type="http://schemas.openxmlformats.org/officeDocument/2006/relationships/hyperlink" Id="rId65" Target="http://en.wikipedia.org/wiki/Disruptive_innovation" TargetMode="External" /><Relationship Type="http://schemas.openxmlformats.org/officeDocument/2006/relationships/hyperlink" Id="rId69" Target="http://en.wikipedia.org/wiki/Shattered_Glass_(film)" TargetMode="External" /><Relationship Type="http://schemas.openxmlformats.org/officeDocument/2006/relationships/hyperlink" Id="rId40" Target="http://tinyurl.com/ksnvsy9" TargetMode="External" /><Relationship Type="http://schemas.openxmlformats.org/officeDocument/2006/relationships/hyperlink" Id="rId43" Target="http://tinyurl.com/ouu6hkd" TargetMode="External" /><Relationship Type="http://schemas.openxmlformats.org/officeDocument/2006/relationships/hyperlink" Id="rId3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8_duties_of_prospective_client.html" TargetMode="External" /><Relationship Type="http://schemas.openxmlformats.org/officeDocument/2006/relationships/hyperlink" Id="rId35" Target="http://www.americanbar.org/groups/professional_responsibility/publications/model_rules_of_professional_conduct/rule_1_6_confidentiality_of_information.html" TargetMode="External" /><Relationship Type="http://schemas.openxmlformats.org/officeDocument/2006/relationships/hyperlink" Id="rId68" Target="http://www.cnn.com/2014/01/27/justice/stephen-glass-court-ruling/index.html?hpt=hp_t2" TargetMode="External" /><Relationship Type="http://schemas.openxmlformats.org/officeDocument/2006/relationships/hyperlink" Id="rId70" Target="http://www.omaha.com/article/20140209/MONEY/140208899/1707#iowa-raises-legal-issue-abolish-the-bar-exam" TargetMode="External" /><Relationship Type="http://schemas.openxmlformats.org/officeDocument/2006/relationships/hyperlink" Id="rId66" Target="http://www.politifact.com/truth-o-meter/statements/2012/jul/31/bernie-s/sanders-says-walmart-heirs-own-more-wealth-bottom-/" TargetMode="External" /><Relationship Type="http://schemas.openxmlformats.org/officeDocument/2006/relationships/hyperlink" Id="rId67" Target="http://www.theatlantic.com/business/archive/2014/05/is-there-such-a-thing-as-an-affordable-lawyer/371746/" TargetMode="External" /><Relationship Type="http://schemas.openxmlformats.org/officeDocument/2006/relationships/hyperlink" Id="rId62" Target="http://youtu.be/QPKKQnijnsM" TargetMode="External" /><Relationship Type="http://schemas.openxmlformats.org/officeDocument/2006/relationships/hyperlink" Id="rId38"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5" Target="https://www.youtube.com/watch?v=RBtAMcrbFXg" TargetMode="External" /><Relationship Type="http://schemas.openxmlformats.org/officeDocument/2006/relationships/hyperlink" Id="rId46"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1" Target="http://articles.latimes.com/1997-04-03/news/mn-44919_1_credit-suisse" TargetMode="External" /><Relationship Type="http://schemas.openxmlformats.org/officeDocument/2006/relationships/hyperlink" Id="rId63" Target="http://business.time.com/2014/01/30/nearly-half-of-america-lives-paycheck-to-paycheck/" TargetMode="External" /><Relationship Type="http://schemas.openxmlformats.org/officeDocument/2006/relationships/hyperlink" Id="rId64" Target="http://en.wikipedia.org/wiki/Creative_destruction" TargetMode="External" /><Relationship Type="http://schemas.openxmlformats.org/officeDocument/2006/relationships/hyperlink" Id="rId65" Target="http://en.wikipedia.org/wiki/Disruptive_innovation" TargetMode="External" /><Relationship Type="http://schemas.openxmlformats.org/officeDocument/2006/relationships/hyperlink" Id="rId69" Target="http://en.wikipedia.org/wiki/Shattered_Glass_(film)" TargetMode="External" /><Relationship Type="http://schemas.openxmlformats.org/officeDocument/2006/relationships/hyperlink" Id="rId40" Target="http://tinyurl.com/ksnvsy9" TargetMode="External" /><Relationship Type="http://schemas.openxmlformats.org/officeDocument/2006/relationships/hyperlink" Id="rId43" Target="http://tinyurl.com/ouu6hkd" TargetMode="External" /><Relationship Type="http://schemas.openxmlformats.org/officeDocument/2006/relationships/hyperlink" Id="rId3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8_duties_of_prospective_client.html" TargetMode="External" /><Relationship Type="http://schemas.openxmlformats.org/officeDocument/2006/relationships/hyperlink" Id="rId35" Target="http://www.americanbar.org/groups/professional_responsibility/publications/model_rules_of_professional_conduct/rule_1_6_confidentiality_of_information.html" TargetMode="External" /><Relationship Type="http://schemas.openxmlformats.org/officeDocument/2006/relationships/hyperlink" Id="rId68" Target="http://www.cnn.com/2014/01/27/justice/stephen-glass-court-ruling/index.html?hpt=hp_t2" TargetMode="External" /><Relationship Type="http://schemas.openxmlformats.org/officeDocument/2006/relationships/hyperlink" Id="rId70" Target="http://www.omaha.com/article/20140209/MONEY/140208899/1707#iowa-raises-legal-issue-abolish-the-bar-exam" TargetMode="External" /><Relationship Type="http://schemas.openxmlformats.org/officeDocument/2006/relationships/hyperlink" Id="rId66" Target="http://www.politifact.com/truth-o-meter/statements/2012/jul/31/bernie-s/sanders-says-walmart-heirs-own-more-wealth-bottom-/" TargetMode="External" /><Relationship Type="http://schemas.openxmlformats.org/officeDocument/2006/relationships/hyperlink" Id="rId67" Target="http://www.theatlantic.com/business/archive/2014/05/is-there-such-a-thing-as-an-affordable-lawyer/371746/" TargetMode="External" /><Relationship Type="http://schemas.openxmlformats.org/officeDocument/2006/relationships/hyperlink" Id="rId62" Target="http://youtu.be/QPKKQnijnsM" TargetMode="External" /><Relationship Type="http://schemas.openxmlformats.org/officeDocument/2006/relationships/hyperlink" Id="rId38"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5" Target="https://www.youtube.com/watch?v=RBtAMcrbFXg" TargetMode="External" /><Relationship Type="http://schemas.openxmlformats.org/officeDocument/2006/relationships/hyperlink" Id="rId46"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1</dc:title>
  <dc:creator>Richard Dooling</dc:creator>
  <dcterms:created xsi:type="dcterms:W3CDTF">2017-04-03T22:40:30Z</dcterms:created>
  <dcterms:modified xsi:type="dcterms:W3CDTF">2017-04-03T22:40:30Z</dcterms:modified>
</cp:coreProperties>
</file>