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3"/>
      <w:r>
        <w:t xml:space="preserve">M&amp;F 4th, Chapter 3</w:t>
      </w:r>
      <w:bookmarkEnd w:id="21"/>
    </w:p>
    <w:p>
      <w:pPr>
        <w:pStyle w:val="Heading6"/>
      </w:pPr>
      <w:bookmarkStart w:id="22" w:name="beginning-the-client-lawyer-relationship"/>
      <w:r>
        <w:t xml:space="preserve">Beginning the Client-Lawyer Relationship</w:t>
      </w:r>
      <w:bookmarkEnd w:id="22"/>
    </w:p>
    <w:p>
      <w:pPr>
        <w:pStyle w:val="Heading2"/>
      </w:pPr>
      <w:bookmarkStart w:id="23" w:name="in-the-beginning-.-.-."/>
      <w:r>
        <w:t xml:space="preserve">In The Beginning . . .</w:t>
      </w:r>
      <w:bookmarkEnd w:id="23"/>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 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4" w:name="access-to-justice"/>
      <w:r>
        <w:t xml:space="preserve">Access To Justice</w:t>
      </w:r>
      <w:bookmarkEnd w:id="24"/>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 Adam Clayton Powell said it better:</w:t>
      </w:r>
      <w:r>
        <w:t xml:space="preserve"> </w:t>
      </w:r>
      <w:r>
        <w:t xml:space="preserve">“</w:t>
      </w:r>
      <w:r>
        <w:t xml:space="preserve">A man’s respect for law and order exists in precise relationship to the size of his pay check.</w:t>
      </w:r>
      <w:r>
        <w:t xml:space="preserve">”</w:t>
      </w:r>
    </w:p>
    <w:p>
      <w:pPr>
        <w:pStyle w:val="BodyText"/>
      </w:pPr>
      <w:r>
        <w:t xml:space="preserve">Without access to justice, the poor have no incentive to respect the law.</w:t>
      </w:r>
      <w:r>
        <w:t xml:space="preserve"> </w:t>
      </w:r>
      <w:r>
        <w:t xml:space="preserve">Clarene Darrow, for one, said,</w:t>
      </w:r>
      <w:r>
        <w:t xml:space="preserve"> </w:t>
      </w:r>
      <w:r>
        <w:t xml:space="preserve">“</w:t>
      </w:r>
      <w:r>
        <w:t xml:space="preserve">Laws were made for the exploitation of those who don’t understand them or are prevented by naked misery from obeying them.</w:t>
      </w:r>
      <w:r>
        <w:t xml:space="preserve">”</w:t>
      </w:r>
      <w:r>
        <w:t xml:space="preserve"> </w:t>
      </w:r>
      <w:r>
        <w:t xml:space="preserve">He harangued juries with this notion of the law:</w:t>
      </w:r>
      <w:r>
        <w:t xml:space="preserve"> </w:t>
      </w:r>
      <w:r>
        <w:t xml:space="preserve">“</w:t>
      </w:r>
      <w:r>
        <w:t xml:space="preserve">The men who own the earth make the laws to protect what they have. Laws were never organized or enforced to do justice. Only you, the jury, can give us justice.</w:t>
      </w:r>
      <w:r>
        <w:t xml:space="preserve">”</w:t>
      </w:r>
    </w:p>
    <w:p>
      <w:pPr>
        <w:pStyle w:val="Heading2"/>
      </w:pPr>
      <w:bookmarkStart w:id="25" w:name="court-appointments"/>
      <w:r>
        <w:t xml:space="preserve">Court Appointments</w:t>
      </w:r>
      <w:bookmarkEnd w:id="25"/>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6" w:name="model-rule-6.1"/>
      <w:r>
        <w:t xml:space="preserve">Model Rule 6.1</w:t>
      </w:r>
      <w:bookmarkEnd w:id="26"/>
    </w:p>
    <w:p>
      <w:pPr>
        <w:pStyle w:val="Heading6"/>
      </w:pPr>
      <w:bookmarkStart w:id="27" w:name="voluntary-pro-bono-publico-service"/>
      <w:r>
        <w:t xml:space="preserve">Voluntary Pro Bono Publico Service</w:t>
      </w:r>
      <w:bookmarkEnd w:id="27"/>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8" w:name="model-rule-6.2"/>
      <w:r>
        <w:t xml:space="preserve">Model Rule 6.2</w:t>
      </w:r>
      <w:bookmarkEnd w:id="28"/>
    </w:p>
    <w:p>
      <w:pPr>
        <w:pStyle w:val="Heading6"/>
      </w:pPr>
      <w:bookmarkStart w:id="29" w:name="accepting-appointments"/>
      <w:r>
        <w:t xml:space="preserve">Accepting Appointments:</w:t>
      </w:r>
      <w:bookmarkEnd w:id="29"/>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0" w:name="accidental-clients"/>
      <w:r>
        <w:t xml:space="preserve">Accidental Clients</w:t>
      </w:r>
      <w:bookmarkEnd w:id="30"/>
    </w:p>
    <w:p>
      <w:pPr>
        <w:pStyle w:val="Heading5"/>
      </w:pPr>
      <w:bookmarkStart w:id="31" w:name="preamble-scope-comment-17"/>
      <w:r>
        <w:t xml:space="preserve">Preamble &amp; Scope Comment 17</w:t>
      </w:r>
      <w:bookmarkEnd w:id="31"/>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2">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3">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4">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5" w:name="rlgl-14"/>
      <w:r>
        <w:t xml:space="preserve">RLGL § 14</w:t>
      </w:r>
      <w:bookmarkEnd w:id="35"/>
    </w:p>
    <w:p>
      <w:pPr>
        <w:pStyle w:val="FirstParagraph"/>
      </w:pPr>
      <w:hyperlink r:id="rId36">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7" w:name="togstadt-and-common-sense"/>
      <w:r>
        <w:rPr>
          <w:i/>
        </w:rPr>
        <w:t xml:space="preserve">Togstadt</w:t>
      </w:r>
      <w:r>
        <w:t xml:space="preserve"> </w:t>
      </w:r>
      <w:r>
        <w:t xml:space="preserve">and Common Sense</w:t>
      </w:r>
      <w:bookmarkEnd w:id="37"/>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8">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39" w:name="model-rule-1.2c"/>
      <w:r>
        <w:t xml:space="preserve">Model Rule 1.2(c)</w:t>
      </w:r>
      <w:bookmarkEnd w:id="39"/>
    </w:p>
    <w:p>
      <w:pPr>
        <w:pStyle w:val="Heading6"/>
      </w:pPr>
      <w:bookmarkStart w:id="40" w:name="providing-limited-representation"/>
      <w:r>
        <w:t xml:space="preserve">Providing Limited Representation:</w:t>
      </w:r>
      <w:bookmarkEnd w:id="40"/>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1">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2" w:name="online-legal-services"/>
      <w:r>
        <w:t xml:space="preserve">Online Legal Services</w:t>
      </w:r>
      <w:bookmarkEnd w:id="42"/>
    </w:p>
    <w:p>
      <w:pPr>
        <w:pStyle w:val="Compact"/>
        <w:numPr>
          <w:numId w:val="1009"/>
          <w:ilvl w:val="0"/>
        </w:numPr>
      </w:pPr>
      <w:hyperlink r:id="rId43">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0"/>
          <w:ilvl w:val="0"/>
        </w:numPr>
      </w:pPr>
      <w:r>
        <w:t xml:space="preserve">Mike Rhodin, Senior Vice President, IBM Watson at the 47 minute mark.</w:t>
      </w:r>
    </w:p>
    <w:p>
      <w:pPr>
        <w:pStyle w:val="Compact"/>
        <w:numPr>
          <w:numId w:val="1010"/>
          <w:ilvl w:val="0"/>
        </w:numPr>
      </w:pPr>
      <w:r>
        <w:t xml:space="preserve">John Suh, CEO of LegalZoom at the 1:05 and</w:t>
      </w:r>
    </w:p>
    <w:p>
      <w:pPr>
        <w:pStyle w:val="Compact"/>
        <w:numPr>
          <w:numId w:val="1010"/>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1"/>
          <w:ilvl w:val="0"/>
        </w:numPr>
      </w:pPr>
      <w:hyperlink r:id="rId44">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scope-of-representation-and-allocation-of-authority"/>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12"/>
          <w:ilvl w:val="0"/>
        </w:numPr>
      </w:pPr>
      <w:r>
        <w:t xml:space="preserve">Client controls (in all cases):</w:t>
      </w:r>
    </w:p>
    <w:p>
      <w:pPr>
        <w:pStyle w:val="Compact"/>
        <w:numPr>
          <w:numId w:val="1013"/>
          <w:ilvl w:val="1"/>
        </w:numPr>
      </w:pPr>
      <w:r>
        <w:t xml:space="preserve">The goals, objectives and purposes of representation.</w:t>
      </w:r>
    </w:p>
    <w:p>
      <w:pPr>
        <w:pStyle w:val="Compact"/>
        <w:numPr>
          <w:numId w:val="1013"/>
          <w:ilvl w:val="1"/>
        </w:numPr>
      </w:pPr>
      <w:r>
        <w:t xml:space="preserve">Settlement decisions.</w:t>
      </w:r>
    </w:p>
    <w:p>
      <w:pPr>
        <w:pStyle w:val="Compact"/>
        <w:numPr>
          <w:numId w:val="1012"/>
          <w:ilvl w:val="0"/>
        </w:numPr>
      </w:pPr>
      <w:r>
        <w:t xml:space="preserve">Client controls (in criminal cases):</w:t>
      </w:r>
    </w:p>
    <w:p>
      <w:pPr>
        <w:pStyle w:val="Compact"/>
        <w:numPr>
          <w:numId w:val="1014"/>
          <w:ilvl w:val="1"/>
        </w:numPr>
      </w:pPr>
      <w:r>
        <w:t xml:space="preserve">What plea is entered.</w:t>
      </w:r>
    </w:p>
    <w:p>
      <w:pPr>
        <w:pStyle w:val="Compact"/>
        <w:numPr>
          <w:numId w:val="1014"/>
          <w:ilvl w:val="1"/>
        </w:numPr>
      </w:pPr>
      <w:r>
        <w:t xml:space="preserve">Whether to waive jury trial.</w:t>
      </w:r>
    </w:p>
    <w:p>
      <w:pPr>
        <w:pStyle w:val="Compact"/>
        <w:numPr>
          <w:numId w:val="1014"/>
          <w:ilvl w:val="1"/>
        </w:numPr>
      </w:pPr>
      <w:r>
        <w:t xml:space="preserve">Whether client will testify.</w:t>
      </w:r>
    </w:p>
    <w:p>
      <w:pPr>
        <w:pStyle w:val="Compact"/>
        <w:numPr>
          <w:numId w:val="1012"/>
          <w:ilvl w:val="0"/>
        </w:numPr>
      </w:pPr>
      <w:r>
        <w:t xml:space="preserve">Lawyer Controls:</w:t>
      </w:r>
    </w:p>
    <w:p>
      <w:pPr>
        <w:pStyle w:val="Compact"/>
        <w:numPr>
          <w:numId w:val="1015"/>
          <w:ilvl w:val="1"/>
        </w:numPr>
      </w:pPr>
      <w:r>
        <w:t xml:space="preserve">The means to achieve the client’s goals.</w:t>
      </w:r>
    </w:p>
    <w:p>
      <w:pPr>
        <w:pStyle w:val="Compact"/>
        <w:numPr>
          <w:numId w:val="1015"/>
          <w:ilvl w:val="1"/>
        </w:numPr>
      </w:pPr>
      <w:r>
        <w:t xml:space="preserve">But lawyer must consult with the client about the MEANS or HOW TO achieve those goals. [Model Rule 1.4][aba1.4]: Duty To Consult/Communicate with Client.</w:t>
      </w:r>
    </w:p>
    <w:p>
      <w:pPr>
        <w:pStyle w:val="Compact"/>
        <w:numPr>
          <w:numId w:val="1012"/>
          <w:ilvl w:val="0"/>
        </w:numPr>
      </w:pPr>
      <w:r>
        <w:t xml:space="preserve">Lawyer may be impliedly authorized to take action on behalf of client even without client’s informed consent [Model Rule 1.14][aba1.14]: Client With Diminished Capacity), but this is unusual.</w:t>
      </w:r>
    </w:p>
    <w:p>
      <w:pPr>
        <w:pStyle w:val="Compact"/>
        <w:numPr>
          <w:numId w:val="1012"/>
          <w:ilvl w:val="0"/>
        </w:numPr>
      </w:pPr>
      <w:r>
        <w:t xml:space="preserve">A lawyer may take such action on behalf of the client as she is impliedly authorized to carry out.</w:t>
      </w:r>
    </w:p>
    <w:p>
      <w:pPr>
        <w:pStyle w:val="Heading4"/>
      </w:pPr>
      <w:bookmarkStart w:id="49" w:name="model-rule-1.2b"/>
      <w:r>
        <w:t xml:space="preserve">Model Rule 1.2(b)</w:t>
      </w:r>
      <w:bookmarkEnd w:id="49"/>
    </w:p>
    <w:p>
      <w:pPr>
        <w:pStyle w:val="Compact"/>
        <w:numPr>
          <w:numId w:val="1016"/>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0" w:name="model-rule-1.2c-1"/>
      <w:r>
        <w:t xml:space="preserve">Model Rule 1.2(c)</w:t>
      </w:r>
      <w:bookmarkEnd w:id="50"/>
    </w:p>
    <w:p>
      <w:pPr>
        <w:pStyle w:val="Compact"/>
        <w:numPr>
          <w:numId w:val="1017"/>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7"/>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1" w:name="model-rule-1.2d---the-biggie"/>
      <w:r>
        <w:t xml:space="preserve">Model Rule 1.2(d) - The biggie!</w:t>
      </w:r>
      <w:bookmarkEnd w:id="51"/>
    </w:p>
    <w:p>
      <w:pPr>
        <w:pStyle w:val="Compact"/>
        <w:numPr>
          <w:numId w:val="1018"/>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9"/>
          <w:ilvl w:val="1"/>
        </w:numPr>
      </w:pPr>
      <w:r>
        <w:t xml:space="preserve">Lawyer cannot COUNSEL by giving client a how-to or tutorial in criminal or fraudulent behavior.</w:t>
      </w:r>
    </w:p>
    <w:p>
      <w:pPr>
        <w:pStyle w:val="Compact"/>
        <w:numPr>
          <w:numId w:val="1019"/>
          <w:ilvl w:val="1"/>
        </w:numPr>
      </w:pPr>
      <w:r>
        <w:t xml:space="preserve">Lawyer cannot ASSIST client (e.g. by submitting documents to obtain a settlement on an insurance claim the lawyer knows is fraudulent).</w:t>
      </w:r>
    </w:p>
    <w:p>
      <w:pPr>
        <w:pStyle w:val="Compact"/>
        <w:numPr>
          <w:numId w:val="1018"/>
          <w:ilvl w:val="0"/>
        </w:numPr>
      </w:pPr>
      <w:r>
        <w:t xml:space="preserve">But a lawyer may discuss the legal consequences of any proposed course of conduct with a client;</w:t>
      </w:r>
    </w:p>
    <w:p>
      <w:pPr>
        <w:pStyle w:val="Compact"/>
        <w:numPr>
          <w:numId w:val="1018"/>
          <w:ilvl w:val="0"/>
        </w:numPr>
      </w:pPr>
      <w:r>
        <w:t xml:space="preserve">And may counsel or assist a client to determine the validity, scope, meaning or application of the law.</w:t>
      </w:r>
    </w:p>
    <w:p>
      <w:pPr>
        <w:pStyle w:val="Compact"/>
        <w:numPr>
          <w:numId w:val="1018"/>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2">
        <w:r>
          <w:rPr>
            <w:rStyle w:val="Hyperlink"/>
          </w:rPr>
          <w:t xml:space="preserve">Anonymous, Inc. - See what happens when hidden cameras capture New York lawyers being asked to move highly questionable funds into the U.S.</w:t>
        </w:r>
      </w:hyperlink>
      <w:r>
        <w:t xml:space="preserve"> </w:t>
      </w:r>
      <w:r>
        <w:t xml:space="preserve">### Model Rule 1.2(b):</w:t>
      </w:r>
    </w:p>
    <w:p>
      <w:pPr>
        <w:pStyle w:val="BlockText"/>
      </w:pPr>
      <w:r>
        <w:t xml:space="preserve">representation . . . Does not constitute an endorsement of the client’s political, economic, social or moral views or activities.”</w:t>
      </w:r>
    </w:p>
    <w:p>
      <w:pPr>
        <w:pStyle w:val="Heading4"/>
      </w:pPr>
      <w:bookmarkStart w:id="53" w:name="advocate"/>
      <w:r>
        <w:t xml:space="preserve">Advocate</w:t>
      </w:r>
      <w:bookmarkEnd w:id="53"/>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4" w:name="advisor"/>
      <w:r>
        <w:t xml:space="preserve">Advisor</w:t>
      </w:r>
      <w:bookmarkEnd w:id="54"/>
    </w:p>
    <w:p>
      <w:pPr>
        <w:pStyle w:val="Heading3"/>
      </w:pPr>
      <w:bookmarkStart w:id="55" w:name="model-rule-2.1"/>
      <w:r>
        <w:t xml:space="preserve">Model Rule 2.1</w:t>
      </w:r>
      <w:bookmarkEnd w:id="55"/>
    </w:p>
    <w:p>
      <w:pPr>
        <w:pStyle w:val="Heading6"/>
      </w:pPr>
      <w:bookmarkStart w:id="56" w:name="candid-advice-professional-judgment"/>
      <w:r>
        <w:t xml:space="preserve">Candid advice &amp;  professional judgment</w:t>
      </w:r>
      <w:bookmarkEnd w:id="56"/>
    </w:p>
    <w:p>
      <w:pPr>
        <w:pStyle w:val="Heading3"/>
      </w:pPr>
      <w:bookmarkStart w:id="57" w:name="model-rule-2.1-1"/>
      <w:r>
        <w:t xml:space="preserve">Model Rule 2.1</w:t>
      </w:r>
      <w:bookmarkEnd w:id="57"/>
    </w:p>
    <w:p>
      <w:pPr>
        <w:pStyle w:val="Heading6"/>
      </w:pPr>
      <w:bookmarkStart w:id="58" w:name="duties-as-advisor-to-client"/>
      <w:r>
        <w:t xml:space="preserve">Duties as Advisor to Client:</w:t>
      </w:r>
      <w:bookmarkEnd w:id="58"/>
    </w:p>
    <w:p>
      <w:pPr>
        <w:pStyle w:val="Compact"/>
        <w:numPr>
          <w:numId w:val="1020"/>
          <w:ilvl w:val="0"/>
        </w:numPr>
      </w:pPr>
      <w:r>
        <w:t xml:space="preserve">Lawyer shall:</w:t>
      </w:r>
    </w:p>
    <w:p>
      <w:pPr>
        <w:pStyle w:val="Compact"/>
        <w:numPr>
          <w:numId w:val="1021"/>
          <w:ilvl w:val="1"/>
        </w:numPr>
      </w:pPr>
      <w:r>
        <w:t xml:space="preserve">Exercise independent professional judgment and render candid advice;</w:t>
      </w:r>
    </w:p>
    <w:p>
      <w:pPr>
        <w:pStyle w:val="Compact"/>
        <w:numPr>
          <w:numId w:val="1020"/>
          <w:ilvl w:val="0"/>
        </w:numPr>
      </w:pPr>
      <w:r>
        <w:t xml:space="preserve">Lawyer May:</w:t>
      </w:r>
    </w:p>
    <w:p>
      <w:pPr>
        <w:pStyle w:val="Compact"/>
        <w:numPr>
          <w:numId w:val="1022"/>
          <w:ilvl w:val="1"/>
        </w:numPr>
      </w:pPr>
      <w:r>
        <w:t xml:space="preserve">Refer not only to LAW, but other considerations, including (1) moral (2) economic (3) ethical (4) social and (5) political factors.</w:t>
      </w:r>
    </w:p>
    <w:p>
      <w:pPr>
        <w:pStyle w:val="Compact"/>
        <w:numPr>
          <w:numId w:val="1020"/>
          <w:ilvl w:val="0"/>
        </w:numPr>
      </w:pPr>
      <w:r>
        <w:t xml:space="preserve">May include information from non-lawyer professionals.</w:t>
      </w:r>
    </w:p>
    <w:p>
      <w:pPr>
        <w:pStyle w:val="Compact"/>
        <w:numPr>
          <w:numId w:val="1020"/>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9" w:name="any-obligation-to-accept-unsavory-clients"/>
      <w:r>
        <w:t xml:space="preserve">Any obligation to accept unsavory clients?</w:t>
      </w:r>
      <w:bookmarkEnd w:id="59"/>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0" w:name="what-if-client-refuses-an-appointed-lawyers-services"/>
      <w:r>
        <w:t xml:space="preserve">What If Client Refuses An Appointed Lawyer’s Services?</w:t>
      </w:r>
      <w:bookmarkEnd w:id="60"/>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1" w:name="accidental-clients-1"/>
      <w:r>
        <w:t xml:space="preserve">Accidental Clients</w:t>
      </w:r>
      <w:bookmarkEnd w:id="61"/>
    </w:p>
    <w:p>
      <w:pPr>
        <w:pStyle w:val="Heading3"/>
      </w:pPr>
      <w:bookmarkStart w:id="62" w:name="model-rule-1.18"/>
      <w:r>
        <w:t xml:space="preserve">Model Rule 1.18</w:t>
      </w:r>
      <w:bookmarkEnd w:id="62"/>
    </w:p>
    <w:p>
      <w:pPr>
        <w:pStyle w:val="Heading6"/>
      </w:pPr>
      <w:bookmarkStart w:id="63" w:name="duties-to-prospective-clients"/>
      <w:r>
        <w:t xml:space="preserve">Duties To Prospective Clients</w:t>
      </w:r>
      <w:bookmarkEnd w:id="63"/>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4" w:name="rlgl-14-1"/>
      <w:r>
        <w:t xml:space="preserve">RLGL §14</w:t>
      </w:r>
      <w:bookmarkEnd w:id="64"/>
    </w:p>
    <w:p>
      <w:pPr>
        <w:pStyle w:val="Heading6"/>
      </w:pPr>
      <w:bookmarkStart w:id="65" w:name="formation-of-lawyer-client-relationship"/>
      <w:r>
        <w:t xml:space="preserve">Formation of Lawyer-Client Relationship</w:t>
      </w:r>
      <w:bookmarkEnd w:id="65"/>
    </w:p>
    <w:p>
      <w:pPr>
        <w:pStyle w:val="FirstParagraph"/>
      </w:pPr>
      <w:r>
        <w:t xml:space="preserve">The lawyer-client relationship arises when a person wants the lawyer to provide legal services and EITHER:</w:t>
      </w:r>
    </w:p>
    <w:p>
      <w:pPr>
        <w:pStyle w:val="Compact"/>
        <w:numPr>
          <w:numId w:val="1023"/>
          <w:ilvl w:val="0"/>
        </w:numPr>
      </w:pPr>
      <w:r>
        <w:t xml:space="preserve">the lawyer consents OR</w:t>
      </w:r>
    </w:p>
    <w:p>
      <w:pPr>
        <w:pStyle w:val="Compact"/>
        <w:numPr>
          <w:numId w:val="1023"/>
          <w:ilvl w:val="0"/>
        </w:numPr>
      </w:pPr>
      <w:r>
        <w:t xml:space="preserve">the lawyer</w:t>
      </w:r>
      <w:r>
        <w:t xml:space="preserve"> </w:t>
      </w:r>
      <w:r>
        <w:t xml:space="preserve">“</w:t>
      </w:r>
      <w:r>
        <w:t xml:space="preserve">FAILS TO MANIFEST LACK OF CONSENT</w:t>
      </w:r>
      <w:r>
        <w:t xml:space="preserve">”</w:t>
      </w:r>
    </w:p>
    <w:p>
      <w:pPr>
        <w:pStyle w:val="Heading3"/>
      </w:pPr>
      <w:bookmarkStart w:id="66" w:name="totally-optional-reading-viewing"/>
      <w:r>
        <w:t xml:space="preserve">Totally Optional Reading &amp; Viewing</w:t>
      </w:r>
      <w:bookmarkEnd w:id="66"/>
    </w:p>
    <w:p>
      <w:pPr>
        <w:pStyle w:val="Compact"/>
        <w:numPr>
          <w:numId w:val="1024"/>
          <w:ilvl w:val="0"/>
        </w:numPr>
      </w:pPr>
      <w:r>
        <w:t xml:space="preserve">[A Mockery of Justice for the Poor,] (http://www.nytimes.com/2016/04/30/opinion/a-mockery-of-justice-for-the-poor.html)</w:t>
      </w:r>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5"/>
          <w:ilvl w:val="0"/>
        </w:numPr>
      </w:pPr>
      <w:hyperlink r:id="rId67">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5"/>
          <w:ilvl w:val="0"/>
        </w:numPr>
      </w:pPr>
      <w:hyperlink r:id="rId68">
        <w:r>
          <w:rPr>
            <w:rStyle w:val="Hyperlink"/>
          </w:rPr>
          <w:t xml:space="preserve">Wealth Inequality In America</w:t>
        </w:r>
      </w:hyperlink>
    </w:p>
    <w:p>
      <w:pPr>
        <w:pStyle w:val="Compact"/>
        <w:numPr>
          <w:numId w:val="1026"/>
          <w:ilvl w:val="1"/>
        </w:numPr>
      </w:pPr>
      <w:r>
        <w:t xml:space="preserve">We don’t discuss income inequality. Rather, this supports my belief that half the country can’t afford legal services under the traditional billable-hour, fee-for-service model. See also:</w:t>
      </w:r>
      <w:r>
        <w:t xml:space="preserve"> </w:t>
      </w:r>
      <w:hyperlink r:id="rId69">
        <w:r>
          <w:rPr>
            <w:rStyle w:val="Hyperlink"/>
          </w:rPr>
          <w:t xml:space="preserve">Time Magazine: Half of Americans Live Paycheck-To-Paycheck</w:t>
        </w:r>
      </w:hyperlink>
    </w:p>
    <w:p>
      <w:pPr>
        <w:pStyle w:val="Compact"/>
        <w:numPr>
          <w:numId w:val="1026"/>
          <w:ilvl w:val="1"/>
        </w:numPr>
      </w:pPr>
      <w:r>
        <w:t xml:space="preserve">I believe that your generation of lawyers will leverage technology and find a way to serve these clients. The new client-service models and fee arrangements will involve the usual</w:t>
      </w:r>
      <w:r>
        <w:t xml:space="preserve"> </w:t>
      </w:r>
      <w:hyperlink r:id="rId70">
        <w:r>
          <w:rPr>
            <w:rStyle w:val="Hyperlink"/>
          </w:rPr>
          <w:t xml:space="preserve">creative destruction</w:t>
        </w:r>
      </w:hyperlink>
      <w:r>
        <w:t xml:space="preserve"> </w:t>
      </w:r>
      <w:r>
        <w:t xml:space="preserve">and</w:t>
      </w:r>
      <w:r>
        <w:t xml:space="preserve"> </w:t>
      </w:r>
      <w:hyperlink r:id="rId71">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5"/>
          <w:ilvl w:val="0"/>
        </w:numPr>
      </w:pPr>
      <w:hyperlink r:id="rId72">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5"/>
          <w:ilvl w:val="0"/>
        </w:numPr>
      </w:pPr>
      <w:hyperlink r:id="rId73">
        <w:r>
          <w:rPr>
            <w:rStyle w:val="Hyperlink"/>
          </w:rPr>
          <w:t xml:space="preserve">Is There Such A Thing As An Affordable Lawyer?</w:t>
        </w:r>
      </w:hyperlink>
    </w:p>
    <w:p>
      <w:pPr>
        <w:pStyle w:val="Compact"/>
        <w:numPr>
          <w:numId w:val="1025"/>
          <w:ilvl w:val="0"/>
        </w:numPr>
      </w:pPr>
      <w:hyperlink r:id="rId74">
        <w:r>
          <w:rPr>
            <w:i/>
            <w:rStyle w:val="Hyperlink"/>
          </w:rPr>
          <w:t xml:space="preserve">The People Versus Larry Flynt</w:t>
        </w:r>
      </w:hyperlink>
      <w:r>
        <w:t xml:space="preserve"> </w:t>
      </w:r>
      <w:r>
        <w:t xml:space="preserve">(stars Woody Harrelson, Ed Norton, and Courtney Love).</w:t>
      </w:r>
    </w:p>
    <w:p>
      <w:pPr>
        <w:pStyle w:val="Compact"/>
        <w:numPr>
          <w:numId w:val="1027"/>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5"/>
          <w:ilvl w:val="0"/>
        </w:numPr>
      </w:pPr>
      <w:hyperlink r:id="rId75">
        <w:r>
          <w:rPr>
            <w:rStyle w:val="Hyperlink"/>
          </w:rPr>
          <w:t xml:space="preserve">California Supreme Court Says Journalist and Serial Liar Can’t Be Lawyer</w:t>
        </w:r>
      </w:hyperlink>
    </w:p>
    <w:p>
      <w:pPr>
        <w:pStyle w:val="Compact"/>
        <w:numPr>
          <w:numId w:val="1025"/>
          <w:ilvl w:val="0"/>
        </w:numPr>
      </w:pPr>
      <w:hyperlink r:id="rId76">
        <w:r>
          <w:rPr>
            <w:rStyle w:val="Hyperlink"/>
          </w:rPr>
          <w:t xml:space="preserve">Stephen Glass, Dishonest Journalist Not Admitted to Bar</w:t>
        </w:r>
      </w:hyperlink>
    </w:p>
    <w:p>
      <w:pPr>
        <w:pStyle w:val="Compact"/>
        <w:numPr>
          <w:numId w:val="1025"/>
          <w:ilvl w:val="0"/>
        </w:numPr>
      </w:pPr>
      <w:hyperlink r:id="rId77">
        <w:r>
          <w:rPr>
            <w:rStyle w:val="Hyperlink"/>
          </w:rPr>
          <w:t xml:space="preserve">Iowa Toys With Abolishing Bar Exam Requirment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0c46e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c224a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11535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6"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5" Target="http://www.cnn.com/2014/01/27/justice/stephen-glass-court-ruling/index.html?hpt=hp_t2" TargetMode="External" /><Relationship Type="http://schemas.openxmlformats.org/officeDocument/2006/relationships/hyperlink" Id="rId77" Target="http://www.omaha.com/article/20140209/MONEY/140208899/1707#iowa-raises-legal-issue-abolish-the-bar-exam"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4" Target="https://en.wikipedia.org/wiki/The_People_vs._Larry_Flyn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6"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5" Target="http://www.cnn.com/2014/01/27/justice/stephen-glass-court-ruling/index.html?hpt=hp_t2" TargetMode="External" /><Relationship Type="http://schemas.openxmlformats.org/officeDocument/2006/relationships/hyperlink" Id="rId77" Target="http://www.omaha.com/article/20140209/MONEY/140208899/1707#iowa-raises-legal-issue-abolish-the-bar-exam"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4" Target="https://en.wikipedia.org/wiki/The_People_vs._Larry_Flyn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2018-01-14T18:11:39Z</dcterms:created>
  <dcterms:modified xsi:type="dcterms:W3CDTF">2018-01-14T18:11:39Z</dcterms:modified>
</cp:coreProperties>
</file>