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3rd-chapter-7"/>
      <w:r>
        <w:t xml:space="preserve">M&amp;F3rd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 NOT 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 NOT 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pPr>
        <w:pStyle w:val="FirstParagraph"/>
      </w:pPr>
      <w:r>
        <w:t xml:space="preserve">Notice these are only EDITED reminders of the exceptions.</w:t>
      </w:r>
      <w:r>
        <w:t xml:space="preserve"> </w:t>
      </w:r>
      <w:r>
        <w:t xml:space="preserve">For instance, note how the full text of exceptions (b)(2) and (b)(3)</w:t>
      </w:r>
      <w:r>
        <w:t xml:space="preserve"> </w:t>
      </w:r>
      <w:r>
        <w:t xml:space="preserve">specify that they apply only if</w:t>
      </w:r>
      <w:r>
        <w:t xml:space="preserve"> </w:t>
      </w:r>
      <w:r>
        <w:t xml:space="preserve">THE CLIENT is committing or has committed a crime or fraud,</w:t>
      </w:r>
      <w:r>
        <w:t xml:space="preserve"> </w:t>
      </w:r>
      <w:r>
        <w:t xml:space="preserve">and even then only when the client IS USING or HAS USED 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 IF YOU SEE SOMETHING, SAY SOMETHING rule.</w:t>
      </w:r>
      <w:r>
        <w:t xml:space="preserve"> </w:t>
      </w:r>
      <w:r>
        <w:t xml:space="preserve">The lawyer must be sure that all the ingredients of the exceptions apply 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 IMMINENT death or serious bodily harm.</w:t>
      </w:r>
      <w:r>
        <w:t xml:space="preserve"> </w:t>
      </w:r>
      <w:r>
        <w:t xml:space="preserve">The new rule requires REASONABLY CERTAIN death or serious bodily harm.</w:t>
      </w:r>
    </w:p>
    <w:p>
      <w:pPr>
        <w:pStyle w:val="BodyText"/>
      </w:pPr>
      <w:r>
        <w:t xml:space="preserve">Note, so far, this exception has NOT been interpreted to cover the prevention of serious mental anguish or psychological trauma. 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numPr>
          <w:numId w:val="1003"/>
          <w:ilvl w:val="0"/>
        </w:numPr>
      </w:pPr>
      <w:hyperlink r:id="rId27">
        <w:r>
          <w:rPr>
            <w:rStyle w:val="Hyperlink"/>
          </w:rPr>
          <w:t xml:space="preserve">§ 60 A Lawyer’s Duty to Safeguard Confidential Client Information</w:t>
        </w:r>
      </w:hyperlink>
      <w:r>
        <w:t xml:space="preserve">.</w:t>
      </w:r>
    </w:p>
    <w:p>
      <w:pPr>
        <w:numPr>
          <w:numId w:val="1003"/>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 FUTURE ABUSE,</w:t>
      </w:r>
      <w:r>
        <w:t xml:space="preserve"> </w:t>
      </w:r>
      <w:r>
        <w:t xml:space="preserve">but a client’s confession to a lawyer</w:t>
      </w:r>
      <w:r>
        <w:t xml:space="preserve"> </w:t>
      </w:r>
      <w:r>
        <w:t xml:space="preserve">about past conduct is CONFIDENTIAL AND PRIVILEGED</w:t>
      </w:r>
      <w:r>
        <w:t xml:space="preserve"> </w:t>
      </w:r>
      <w:r>
        <w:t xml:space="preserve">and may not be disclosed.</w:t>
      </w:r>
    </w:p>
    <w:p>
      <w:pPr>
        <w:pStyle w:val="BodyText"/>
      </w:pPr>
      <w:r>
        <w:t xml:space="preserve">These are TOUGH 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b/>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 MAY report child abuse,</w:t>
      </w:r>
      <w:r>
        <w:t xml:space="preserve"> </w:t>
      </w:r>
      <w:r>
        <w:t xml:space="preserve">and presumably lawyers with hard evidence WOULD report.</w:t>
      </w:r>
    </w:p>
    <w:p>
      <w:pPr>
        <w:pStyle w:val="BodyText"/>
      </w:pPr>
      <w:r>
        <w:t xml:space="preserve">Quite another thing to say lawyers MUST report,</w:t>
      </w:r>
      <w:r>
        <w:t xml:space="preserve"> </w:t>
      </w:r>
      <w:r>
        <w:t xml:space="preserve">because then the law will sweep up a lot of edge cases</w:t>
      </w:r>
      <w:r>
        <w:t xml:space="preserve"> </w:t>
      </w:r>
      <w:r>
        <w:t xml:space="preserve">reported by lawyers who fear prosecution.</w:t>
      </w:r>
    </w:p>
    <w:p>
      <w:pPr>
        <w:pStyle w:val="BodyText"/>
      </w:pPr>
      <w:r>
        <w:t xml:space="preserve">Also by commanding lawyers to report,</w:t>
      </w:r>
      <w:r>
        <w:t xml:space="preserve"> </w:t>
      </w:r>
      <w:r>
        <w:t xml:space="preserve">a LOT of child abuse will be driven even further underground</w:t>
      </w:r>
      <w:r>
        <w:t xml:space="preserve"> </w:t>
      </w:r>
      <w:r>
        <w:t xml:space="preserve">and out of sight.</w:t>
      </w:r>
      <w:r>
        <w:t xml:space="preserve"> </w:t>
      </w:r>
      <w:r>
        <w:t xml:space="preserve">If speaking to a lawyer about child abuse</w:t>
      </w:r>
      <w:r>
        <w:t xml:space="preserve"> </w:t>
      </w:r>
      <w:r>
        <w:t xml:space="preserve">means your lawyer will report you,</w:t>
      </w:r>
      <w:r>
        <w:t xml:space="preserve"> </w:t>
      </w:r>
      <w:r>
        <w:t xml:space="preserve">sex offenders won’t seek legal advice or medical help</w:t>
      </w:r>
      <w:r>
        <w:t xml:space="preserve"> </w:t>
      </w:r>
      <w:r>
        <w:t xml:space="preserve">for fear of being arrested and indicted.</w:t>
      </w:r>
      <w:r>
        <w:t xml:space="preserve"> </w:t>
      </w:r>
      <w:r>
        <w:t xml:space="preserve">Speaking to a lawyer</w:t>
      </w:r>
      <w:r>
        <w:t xml:space="preserve"> </w:t>
      </w:r>
      <w:r>
        <w:t xml:space="preserve">means having the whole world know</w:t>
      </w:r>
      <w:r>
        <w:t xml:space="preserve"> </w:t>
      </w:r>
      <w:r>
        <w:t xml:space="preserve">about a mere allegation of child abuse and your husband thrown in jail</w:t>
      </w:r>
      <w:r>
        <w:t xml:space="preserve"> </w:t>
      </w:r>
      <w:r>
        <w:t xml:space="preserve">while an investigation takes place.</w:t>
      </w:r>
    </w:p>
    <w:p>
      <w:pPr>
        <w:pStyle w:val="BodyText"/>
      </w:pPr>
      <w:r>
        <w:t xml:space="preserve">That said, the trend in many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Heading5"/>
      </w:pPr>
      <w:bookmarkStart w:id="33" w:name="priests"/>
      <w:r>
        <w:t xml:space="preserve">Priests?</w:t>
      </w:r>
      <w:bookmarkEnd w:id="33"/>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U.S. Supreme Court denied cert.</w:t>
      </w:r>
      <w:r>
        <w:t xml:space="preserve"> </w:t>
      </w:r>
      <w:r>
        <w:t xml:space="preserve">when presented with that question recently,</w:t>
      </w:r>
      <w:r>
        <w:t xml:space="preserve"> </w:t>
      </w:r>
      <w:r>
        <w:t xml:space="preserve">so a</w:t>
      </w:r>
      <w:r>
        <w:t xml:space="preserve"> </w:t>
      </w:r>
      <w:hyperlink r:id="rId34">
        <w:r>
          <w:rPr>
            <w:rStyle w:val="Hyperlink"/>
          </w:rPr>
          <w:t xml:space="preserve">Baton Rouge trial judge will decide the question</w:t>
        </w:r>
      </w:hyperlink>
      <w:r>
        <w:t xml:space="preserve">.</w:t>
      </w:r>
    </w:p>
    <w:p>
      <w:pPr>
        <w:pStyle w:val="Heading4"/>
      </w:pPr>
      <w:bookmarkStart w:id="35" w:name="how-about-toxic-waste"/>
      <w:r>
        <w:t xml:space="preserve">How About Toxic Waste</w:t>
      </w:r>
      <w:bookmarkEnd w:id="35"/>
    </w:p>
    <w:p>
      <w:pPr>
        <w:pStyle w:val="Heading6"/>
      </w:pPr>
      <w:bookmarkStart w:id="36" w:name="rule-1.6-comment-6"/>
      <w:r>
        <w:t xml:space="preserve">Rule 1.6 comment 6</w:t>
      </w:r>
      <w:bookmarkEnd w:id="36"/>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7" w:name="financial-harm"/>
      <w:r>
        <w:t xml:space="preserve">Financial Harm</w:t>
      </w:r>
      <w:bookmarkEnd w:id="37"/>
    </w:p>
    <w:p>
      <w:pPr>
        <w:pStyle w:val="FirstParagraph"/>
      </w:pPr>
      <w:r>
        <w:t xml:space="preserve">As we saw above, the (b)(2) and (b)(3) financial harm exceptions above are complicated. These rules came out</w:t>
      </w:r>
      <w:r>
        <w:t xml:space="preserve"> </w:t>
      </w:r>
      <w:hyperlink r:id="rId38">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Enron, Tyco, Worldcom.</w:t>
      </w:r>
      <w:r>
        <w:t xml:space="preserve"> </w:t>
      </w:r>
      <w:r>
        <w:t xml:space="preserve">Delaware and Louisiana have adopted the ABA’s 2003 version of 1.6 verbatim.</w:t>
      </w:r>
    </w:p>
    <w:p>
      <w:pPr>
        <w:pStyle w:val="BodyText"/>
      </w:pPr>
      <w:r>
        <w:t xml:space="preserve">There is as yet no</w:t>
      </w:r>
      <w:r>
        <w:t xml:space="preserve"> </w:t>
      </w:r>
      <w:hyperlink r:id="rId39">
        <w:r>
          <w:rPr>
            <w:i/>
            <w:rStyle w:val="Hyper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40">
        <w:r>
          <w:rPr>
            <w:rStyle w:val="Hyperlink"/>
          </w:rPr>
          <w:t xml:space="preserve">RLGL § 67: Using or Disclosing Information to Prevent, Rectify, or Mitigate Substantial Financial Loss.</w:t>
        </w:r>
      </w:hyperlink>
    </w:p>
    <w:p>
      <w:pPr>
        <w:pStyle w:val="Heading3"/>
      </w:pPr>
      <w:bookmarkStart w:id="41" w:name="securing-legal-advice"/>
      <w:r>
        <w:t xml:space="preserve">Securing Legal Advice</w:t>
      </w:r>
      <w:bookmarkEnd w:id="41"/>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2" w:name="lawyer-self-defense"/>
      <w:r>
        <w:t xml:space="preserve">Lawyer Self-Defense</w:t>
      </w:r>
      <w:bookmarkEnd w:id="42"/>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3" w:name="confidentiality-vs.candor"/>
      <w:r>
        <w:t xml:space="preserve">Confidentiality vs. Candor</w:t>
      </w:r>
      <w:bookmarkEnd w:id="43"/>
    </w:p>
    <w:p>
      <w:pPr>
        <w:pStyle w:val="Heading3"/>
      </w:pPr>
      <w:bookmarkStart w:id="44" w:name="model-rule-4.1a"/>
      <w:r>
        <w:t xml:space="preserve">Model Rule 4.1(a)</w:t>
      </w:r>
      <w:bookmarkEnd w:id="44"/>
    </w:p>
    <w:p>
      <w:pPr>
        <w:pStyle w:val="Heading6"/>
      </w:pPr>
      <w:bookmarkStart w:id="45" w:name="confidentiality-lawyers-duty-to-be-truthful"/>
      <w:r>
        <w:t xml:space="preserve">Confidentiality &amp; Lawyers Duty To Be Truthful</w:t>
      </w:r>
      <w:bookmarkEnd w:id="45"/>
    </w:p>
    <w:p>
      <w:pPr>
        <w:pStyle w:val="FirstParagraph"/>
      </w:pPr>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6">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 FACTUAL STATEMENTS,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Your CREDIBILITY!</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7" w:name="rule-4.1b"/>
      <w:r>
        <w:t xml:space="preserve">Rule 4.1(b)</w:t>
      </w:r>
      <w:bookmarkEnd w:id="47"/>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8" w:name="mandatory-disclosure"/>
      <w:r>
        <w:t xml:space="preserve">Mandatory Disclosure?</w:t>
      </w:r>
      <w:bookmarkEnd w:id="48"/>
    </w:p>
    <w:p>
      <w:pPr>
        <w:pStyle w:val="FirstParagraph"/>
      </w:pPr>
      <w:r>
        <w:t xml:space="preserve">Rule 4.1(b) opens a can of worms, because it purports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 REQUIRES 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4762500" cy="4742042"/>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49"/>
                    <a:stretch>
                      <a:fillRect/>
                    </a:stretch>
                  </pic:blipFill>
                  <pic:spPr bwMode="auto">
                    <a:xfrm>
                      <a:off x="0" y="0"/>
                      <a:ext cx="4762500" cy="4742042"/>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0" w:name="more-fraud"/>
      <w:r>
        <w:t xml:space="preserve">More Fraud</w:t>
      </w:r>
      <w:bookmarkEnd w:id="50"/>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1" w:name="rest.-2nd-torts-5512c"/>
      <w:r>
        <w:t xml:space="preserve">Rest. 2nd Torts § 551(2)(c)</w:t>
      </w:r>
      <w:bookmarkEnd w:id="51"/>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2" w:name="rest.-2nd-torts-5522-misrepresentation"/>
      <w:r>
        <w:t xml:space="preserve">Rest. 2nd Torts § 552(2) Misrepresentation</w:t>
      </w:r>
      <w:bookmarkEnd w:id="52"/>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3" w:name="confidentiality-corporations"/>
      <w:r>
        <w:t xml:space="preserve">Confidentiality &amp; Corporations</w:t>
      </w:r>
      <w:bookmarkEnd w:id="53"/>
    </w:p>
    <w:p>
      <w:pPr>
        <w:pStyle w:val="FirstParagraph"/>
      </w:pPr>
      <w:r>
        <w:t xml:space="preserve">What does the company want?</w:t>
      </w:r>
    </w:p>
    <w:p>
      <w:pPr>
        <w:pStyle w:val="Compact"/>
        <w:numPr>
          <w:numId w:val="1008"/>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8"/>
          <w:ilvl w:val="0"/>
        </w:numPr>
      </w:pPr>
      <w:r>
        <w:t xml:space="preserve">Think of</w:t>
      </w:r>
      <w:r>
        <w:t xml:space="preserve"> </w:t>
      </w:r>
      <w:hyperlink r:id="rId54">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5" w:name="model-rule-1.13b"/>
      <w:r>
        <w:t xml:space="preserve">Model Rule 1.13(b)</w:t>
      </w:r>
      <w:bookmarkEnd w:id="55"/>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represenation.</w:t>
      </w:r>
      <w:r>
        <w:t xml:space="preserve"> </w:t>
      </w:r>
      <w:r>
        <w:t xml:space="preserve">The lawyer may also "reveal information relating to the representation</w:t>
      </w:r>
      <w:r>
        <w:t xml:space="preserve"> </w:t>
      </w:r>
      <w:r>
        <w:rPr>
          <w:b/>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6" w:name="the-business-judgment-rule"/>
      <w:r>
        <w:t xml:space="preserve">the business judgment rule</w:t>
      </w:r>
      <w:bookmarkEnd w:id="56"/>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 LEGAL decisions.</w:t>
      </w:r>
    </w:p>
    <w:p>
      <w:pPr>
        <w:pStyle w:val="Heading4"/>
      </w:pPr>
      <w:bookmarkStart w:id="57" w:name="test-question"/>
      <w:r>
        <w:t xml:space="preserve">Test Question</w:t>
      </w:r>
      <w:bookmarkEnd w:id="57"/>
    </w:p>
    <w:p>
      <w:pPr>
        <w:pStyle w:val="FirstParagraph"/>
      </w:pPr>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8" w:name="to-comply-with-court-orders"/>
      <w:r>
        <w:t xml:space="preserve">To Comply With Court Orders</w:t>
      </w:r>
      <w:bookmarkEnd w:id="58"/>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59" w:name="model-rule-1.6-comment-12"/>
      <w:r>
        <w:t xml:space="preserve">Model Rule 1.6 Comment 12</w:t>
      </w:r>
      <w:bookmarkEnd w:id="59"/>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0" w:name="new-rule-1.6c"/>
      <w:r>
        <w:t xml:space="preserve">New Rule 1.6(c)</w:t>
      </w:r>
      <w:bookmarkEnd w:id="60"/>
    </w:p>
    <w:p>
      <w:pPr>
        <w:pStyle w:val="Heading6"/>
      </w:pPr>
      <w:bookmarkStart w:id="61" w:name="preserving-protecting-client-information"/>
      <w:r>
        <w:t xml:space="preserve">Preserving &amp; Protecting Client Information</w:t>
      </w:r>
      <w:bookmarkEnd w:id="61"/>
    </w:p>
    <w:p>
      <w:pPr>
        <w:pStyle w:val="FirstParagraph"/>
      </w:pPr>
      <w:r>
        <w:t xml:space="preserve">Following the</w:t>
      </w:r>
      <w:r>
        <w:t xml:space="preserve"> </w:t>
      </w:r>
      <w:hyperlink r:id="rId62">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 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3">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64" w:name="nebraskas-rule-1.6"/>
      <w:r>
        <w:t xml:space="preserve">Nebraska’s Rule 1.6</w:t>
      </w:r>
      <w:bookmarkEnd w:id="64"/>
    </w:p>
    <w:p>
      <w:pPr>
        <w:pStyle w:val="Heading6"/>
      </w:pPr>
      <w:bookmarkStart w:id="65" w:name="confidentiality-of-information."/>
      <w:r>
        <w:t xml:space="preserve">§ 3-501.6 - Confidentiality of information.</w:t>
      </w:r>
      <w:bookmarkEnd w:id="65"/>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6" w:name="exceptions-to-attorney-client-privilege"/>
      <w:r>
        <w:t xml:space="preserve">Exceptions To Attorney-Client Privilege</w:t>
      </w:r>
      <w:bookmarkEnd w:id="66"/>
    </w:p>
    <w:p>
      <w:pPr>
        <w:pStyle w:val="FirstParagraph"/>
      </w:pPr>
      <w:r>
        <w:t xml:space="preserve">Unlike the broad duty of confidentiality which covers ALL information related to the representation whatever its source, the attorney-client privilege is NARROW 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7">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8" w:name="crime-fraud-exception"/>
      <w:r>
        <w:t xml:space="preserve">Crime-Fraud Exception</w:t>
      </w:r>
      <w:bookmarkEnd w:id="68"/>
    </w:p>
    <w:p>
      <w:pPr>
        <w:pStyle w:val="BlockText"/>
      </w:pPr>
      <w:r>
        <w:t xml:space="preserve">The attorney-client privilege … cannot be used to shield ONGOING</w:t>
      </w:r>
      <w:r>
        <w:t xml:space="preserve"> </w:t>
      </w:r>
      <w:r>
        <w:t xml:space="preserve">or intended FUTURE criminal conduct. –</w:t>
      </w:r>
      <w:r>
        <w:rPr>
          <w:i/>
        </w:rPr>
        <w:t xml:space="preserve">United States v. Zolin</w:t>
      </w:r>
      <w:r>
        <w:t xml:space="preserve"> </w:t>
      </w:r>
      <w:r>
        <w:t xml:space="preserve">(Sct.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 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 And I am going to take the stand and say that at the time of the murder I was eating dinner with my Mom.</w:t>
      </w:r>
      <w:r>
        <w:t xml:space="preserve">”</w:t>
      </w:r>
    </w:p>
    <w:p>
      <w:pPr>
        <w:pStyle w:val="BodyText"/>
      </w:pPr>
      <w:r>
        <w:t xml:space="preserve">To best promote the purposes of the attorney-client privilege, the crime fraud exception should apply ONLY if the communication seeks assistance in or furtherance of future criminal conduct.</w:t>
      </w:r>
    </w:p>
    <w:p>
      <w:pPr>
        <w:pStyle w:val="Heading4"/>
      </w:pPr>
      <w:bookmarkStart w:id="69" w:name="united-states-v.-zolin-sct.1989"/>
      <w:r>
        <w:t xml:space="preserve">United States v. Zolin (Sct.1989)</w:t>
      </w:r>
      <w:bookmarkEnd w:id="69"/>
    </w:p>
    <w:p>
      <w:pPr>
        <w:pStyle w:val="FirstParagraph"/>
      </w:pPr>
      <w:r>
        <w:t xml:space="preserve">If prosecutors suspect the crime-fraud exception applies,</w:t>
      </w:r>
      <w:r>
        <w:t xml:space="preserve"> </w:t>
      </w:r>
      <w:r>
        <w:t xml:space="preserve">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 that the atty’s services were used to further an ongoing unlawful scheme?</w:t>
      </w:r>
      <w:r>
        <w:t xml:space="preserve">”</w:t>
      </w:r>
    </w:p>
    <w:p>
      <w:pPr>
        <w:pStyle w:val="BodyText"/>
      </w:pPr>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pPr>
        <w:pStyle w:val="BodyText"/>
      </w:pPr>
      <w:r>
        <w:t xml:space="preserve">Crime-fraud exception turns on client’s intent rather that the lawyer’s knowledge of the client’s goal.</w:t>
      </w:r>
    </w:p>
    <w:p>
      <w:pPr>
        <w:pStyle w:val="BodyText"/>
      </w:pPr>
      <w:r>
        <w:t xml:space="preserve">Lawyers learn to look at their emails and their advice the way a judge or jury might look at it after the fact.</w:t>
      </w:r>
    </w:p>
    <w:p>
      <w:pPr>
        <w:pStyle w:val="Heading3"/>
      </w:pPr>
      <w:bookmarkStart w:id="70" w:name="claimants-through-same-deceased-client"/>
      <w:r>
        <w:t xml:space="preserve">Claimants Through Same Deceased Client</w:t>
      </w:r>
      <w:bookmarkEnd w:id="70"/>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 NOT get his hands on my gun collection</w:t>
      </w:r>
      <w:r>
        <w:t xml:space="preserve">”</w:t>
      </w:r>
    </w:p>
    <w:p>
      <w:pPr>
        <w:pStyle w:val="BodyText"/>
      </w:pPr>
      <w:r>
        <w:t xml:space="preserve">Then you can put the waiver right in the Will.</w:t>
      </w:r>
    </w:p>
    <w:p>
      <w:pPr>
        <w:pStyle w:val="Heading3"/>
      </w:pPr>
      <w:bookmarkStart w:id="71" w:name="breach-of-duty-lawyer-or-client"/>
      <w:r>
        <w:t xml:space="preserve">Breach of Duty (Lawyer OR Client)</w:t>
      </w:r>
      <w:bookmarkEnd w:id="71"/>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72" w:name="lawyer-attesting-to-a-document"/>
      <w:r>
        <w:t xml:space="preserve">Lawyer Attesting To A Document</w:t>
      </w:r>
      <w:bookmarkEnd w:id="72"/>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73" w:name="joint-clients"/>
      <w:r>
        <w:t xml:space="preserve">Joint Clients</w:t>
      </w:r>
      <w:bookmarkEnd w:id="73"/>
    </w:p>
    <w:p>
      <w:pPr>
        <w:pStyle w:val="FirstParagraph"/>
      </w:pPr>
      <w:r>
        <w:t xml:space="preserve">Joints clients may assert the attorney-client privilege</w:t>
      </w:r>
      <w:r>
        <w:t xml:space="preserve"> </w:t>
      </w:r>
      <w:r>
        <w:t xml:space="preserve">when it’s The World vs. Them.</w:t>
      </w:r>
    </w:p>
    <w:p>
      <w:pPr>
        <w:pStyle w:val="BodyText"/>
      </w:pPr>
      <w:r>
        <w:t xml:space="preserve">But any ONE 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 NOT protected</w:t>
      </w:r>
      <w:r>
        <w:t xml:space="preserve"> </w:t>
      </w:r>
      <w:r>
        <w:t xml:space="preserve">by the attorney-client privilege.</w:t>
      </w:r>
    </w:p>
    <w:p>
      <w:pPr>
        <w:pStyle w:val="Heading3"/>
      </w:pPr>
      <w:bookmarkStart w:id="74" w:name="underlying-information-not-protected"/>
      <w:r>
        <w:t xml:space="preserve">Underlying Information Not Protected</w:t>
      </w:r>
      <w:bookmarkEnd w:id="74"/>
    </w:p>
    <w:p>
      <w:pPr>
        <w:pStyle w:val="FirstParagraph"/>
      </w:pPr>
      <w:r>
        <w:t xml:space="preserve">"The privilege protects communication with counsel, but does not protect the underlying information. –Stephen Gillers</w:t>
      </w:r>
    </w:p>
    <w:p>
      <w:pPr>
        <w:pStyle w:val="BodyText"/>
      </w:pPr>
      <w:r>
        <w:t xml:space="preserve">Client emails lawyer a problematic Word document that client wrote and transmitted a few years ago and in which client arguably committed fraud.</w:t>
      </w:r>
      <w:r>
        <w:t xml:space="preserve"> </w:t>
      </w:r>
      <w:r>
        <w:t xml:space="preserve">Client’s communications in the body of the email and the possibly even the fact that client emailed lawyer are protected by the attorney-client privilege.</w:t>
      </w:r>
    </w:p>
    <w:p>
      <w:pPr>
        <w:pStyle w:val="BodyText"/>
      </w:pPr>
      <w:r>
        <w:t xml:space="preserve">However the document remains evidence. And if the other side seeks discovery,</w:t>
      </w:r>
      <w:r>
        <w:t xml:space="preserve"> </w:t>
      </w:r>
      <w:r>
        <w:t xml:space="preserve">the client has not somehow cloaked the document in the attorney-client privilege by mailing it to the lawyer.</w:t>
      </w:r>
    </w:p>
    <w:p>
      <w:pPr>
        <w:pStyle w:val="Heading3"/>
      </w:pPr>
      <w:bookmarkStart w:id="75" w:name="recommended-reading-viewing"/>
      <w:r>
        <w:t xml:space="preserve">Recommended Reading &amp; Viewing</w:t>
      </w:r>
      <w:bookmarkEnd w:id="75"/>
    </w:p>
    <w:p>
      <w:pPr>
        <w:pStyle w:val="FirstParagraph"/>
      </w:pPr>
      <w:r>
        <w:t xml:space="preserve">Some vivid real-life examples of the innocent-person-on-death-row dilemma (see M&amp;F3rd Problem 7-4 on page 212).</w:t>
      </w:r>
    </w:p>
    <w:p>
      <w:pPr>
        <w:pStyle w:val="Compact"/>
        <w:numPr>
          <w:numId w:val="1015"/>
          <w:ilvl w:val="0"/>
        </w:numPr>
      </w:pPr>
      <w:hyperlink r:id="rId76">
        <w:r>
          <w:rPr>
            <w:rStyle w:val="Hyperlink"/>
          </w:rPr>
          <w:t xml:space="preserve">NYTimes: Lawyer Reveals Secret, Toppling Death Sentence</w:t>
        </w:r>
      </w:hyperlink>
    </w:p>
    <w:p>
      <w:pPr>
        <w:pStyle w:val="Compact"/>
        <w:numPr>
          <w:numId w:val="1015"/>
          <w:ilvl w:val="0"/>
        </w:numPr>
      </w:pPr>
      <w:hyperlink r:id="rId77">
        <w:r>
          <w:rPr>
            <w:rStyle w:val="Hyperlink"/>
          </w:rPr>
          <w:t xml:space="preserve">Inmate’s Freedom May Hinge on Secret Kept For 26 Years</w:t>
        </w:r>
      </w:hyperlink>
    </w:p>
    <w:p>
      <w:pPr>
        <w:pStyle w:val="Compact"/>
        <w:numPr>
          <w:numId w:val="1015"/>
          <w:ilvl w:val="0"/>
        </w:numPr>
      </w:pPr>
      <w:hyperlink r:id="rId78">
        <w:r>
          <w:rPr>
            <w:rStyle w:val="Hyperlink"/>
          </w:rPr>
          <w:t xml:space="preserve">BNA: Disclosure: Required by Law or Court Order</w:t>
        </w:r>
      </w:hyperlink>
    </w:p>
    <w:p>
      <w:pPr>
        <w:pStyle w:val="Heading4"/>
      </w:pPr>
      <w:bookmarkStart w:id="79" w:name="corporate-counsel"/>
      <w:r>
        <w:t xml:space="preserve">Corporate Counsel</w:t>
      </w:r>
      <w:bookmarkEnd w:id="79"/>
    </w:p>
    <w:p>
      <w:pPr>
        <w:pStyle w:val="Heading6"/>
      </w:pPr>
      <w:bookmarkStart w:id="80" w:name="confidentiality"/>
      <w:r>
        <w:t xml:space="preserve">Confidentiality</w:t>
      </w:r>
      <w:bookmarkEnd w:id="80"/>
    </w:p>
    <w:p>
      <w:pPr>
        <w:pStyle w:val="FirstParagraph"/>
      </w:pPr>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81">
        <w:r>
          <w:rPr>
            <w:rStyle w:val="Hyper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82">
        <w:r>
          <w:rPr>
            <w:rStyle w:val="Hyper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83">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7"/>
          <w:ilvl w:val="0"/>
        </w:numPr>
      </w:pPr>
      <w:hyperlink r:id="rId84">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2018-05-23T21:07:02Z</dcterms:created>
  <dcterms:modified xsi:type="dcterms:W3CDTF">2018-05-23T21:07:02Z</dcterms:modified>
</cp:coreProperties>
</file>