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lockondocs---production-readiness-plan"/>
    <w:p>
      <w:pPr>
        <w:pStyle w:val="Heading1"/>
      </w:pPr>
      <w:r>
        <w:t xml:space="preserve">LockonDocs - Production Readiness Plan</w:t>
      </w:r>
    </w:p>
    <w:bookmarkStart w:id="20" w:name="overview"/>
    <w:p>
      <w:pPr>
        <w:pStyle w:val="Heading2"/>
      </w:pPr>
      <w:r>
        <w:t xml:space="preserve">Overview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Readiness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Developer (Eazi-Business, UK)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Tracey, YoWAD Tech (USA)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planning + Phase 2 build in 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(PII, medical, school records)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US-based (storage + compute)</w:t>
            </w:r>
          </w:p>
        </w:tc>
      </w:tr>
    </w:tbl>
    <w:p>
      <w:pPr>
        <w:pStyle w:val="BodyText"/>
      </w:pPr>
      <w:r>
        <w:t xml:space="preserve">This document tracks the work required to take LockonDocs from the accepted Phase 1 proof of concept to a full production release for a US client. It is a living document: update it as items are completed, and keep the build log in</w:t>
      </w:r>
      <w:r>
        <w:t xml:space="preserve"> </w:t>
      </w:r>
      <w:r>
        <w:rPr>
          <w:rStyle w:val="VerbatimChar"/>
        </w:rPr>
        <w:t xml:space="preserve">build_state.md</w:t>
      </w:r>
      <w:r>
        <w:t xml:space="preserve"> </w:t>
      </w:r>
      <w:r>
        <w:t xml:space="preserve">in step.</w:t>
      </w:r>
    </w:p>
    <w:bookmarkEnd w:id="20"/>
    <w:bookmarkStart w:id="21" w:name="Xf91744659e8db1ab2618573775b93952b2fc8d8"/>
    <w:p>
      <w:pPr>
        <w:pStyle w:val="Heading2"/>
      </w:pPr>
      <w:r>
        <w:t xml:space="preserve">Where the app stands today (end of Phase 1)</w:t>
      </w:r>
    </w:p>
    <w:p>
      <w:pPr>
        <w:pStyle w:val="FirstParagraph"/>
      </w:pPr>
      <w:r>
        <w:t xml:space="preserve">The Phase 1 build is a solid, secure foundation: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Authentication:</w:t>
      </w:r>
      <w:r>
        <w:t xml:space="preserve"> </w:t>
      </w:r>
      <w:r>
        <w:t xml:space="preserve">email and password, bcrypt-hashed passwords, JWT sessions via the auth layer.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Per-user isolation:</w:t>
      </w:r>
      <w:r>
        <w:t xml:space="preserve"> </w:t>
      </w:r>
      <w:r>
        <w:t xml:space="preserve">every data route (documents, folders, presigned upload) reads the user from the session, rejects unauthenticated calls with 401, and re-verifies folder ownership before attaching a document. No cross-user access path was found.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Storage:</w:t>
      </w:r>
      <w:r>
        <w:t xml:space="preserve"> </w:t>
      </w:r>
      <w:r>
        <w:t xml:space="preserve">documents are stored privately in S3 and served only through short-lived signed URLs (1 hour). SVG inline rendering is blocked (script-injection defence) and filenames are sanitised.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 model:</w:t>
      </w:r>
      <w:r>
        <w:t xml:space="preserve"> </w:t>
      </w:r>
      <w:r>
        <w:t xml:space="preserve">users, folders, documents with soft-delete on the user, storage tracking, and sensible indexes.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GoodBarber embed:</w:t>
      </w:r>
      <w:r>
        <w:t xml:space="preserve"> </w:t>
      </w:r>
      <w:r>
        <w:t xml:space="preserve">the app loads in the embed, and the landing screen’s</w:t>
      </w:r>
      <w:r>
        <w:t xml:space="preserve"> </w:t>
      </w:r>
      <w:r>
        <w:t xml:space="preserve">“</w:t>
      </w:r>
      <w:r>
        <w:t xml:space="preserve">Access My Vault</w:t>
      </w:r>
      <w:r>
        <w:t xml:space="preserve">”</w:t>
      </w:r>
      <w:r>
        <w:t xml:space="preserve"> </w:t>
      </w:r>
      <w:r>
        <w:t xml:space="preserve">breaks out to a top-level browser context so login cookies work first-party. Confirmed working by the client.</w:t>
      </w:r>
    </w:p>
    <w:bookmarkEnd w:id="21"/>
    <w:bookmarkStart w:id="22" w:name="accepted-risk-encryption-at-rest"/>
    <w:p>
      <w:pPr>
        <w:pStyle w:val="Heading2"/>
      </w:pPr>
      <w:r>
        <w:t xml:space="preserve">Accepted risk: encryption at rest</w:t>
      </w:r>
    </w:p>
    <w:p>
      <w:pPr>
        <w:pStyle w:val="FirstParagraph"/>
      </w:pPr>
      <w:r>
        <w:t xml:space="preserve">The client has chosen not to fund a dedicated encryption-at-rest work item at this stage. Note the following so the decision is on record:</w:t>
      </w:r>
    </w:p>
    <w:p>
      <w:pPr>
        <w:numPr>
          <w:ilvl w:val="0"/>
          <w:numId w:val="1002"/>
        </w:numPr>
        <w:pStyle w:val="Compact"/>
      </w:pPr>
      <w:r>
        <w:t xml:space="preserve">AWS S3 encrypts new objects by default with SSE-S3 (AES-256) at the platform level, so there is very likely a baseline of at-rest encryption already in place without any app change.</w:t>
      </w:r>
    </w:p>
    <w:p>
      <w:pPr>
        <w:numPr>
          <w:ilvl w:val="0"/>
          <w:numId w:val="1002"/>
        </w:numPr>
        <w:pStyle w:val="Compact"/>
      </w:pPr>
      <w:r>
        <w:t xml:space="preserve">LockonDocs does not currently request explicit SSE-KMS (customer-managed keys) or perform app-level (envelope) encryption.</w:t>
      </w:r>
    </w:p>
    <w:p>
      <w:pPr>
        <w:numPr>
          <w:ilvl w:val="0"/>
          <w:numId w:val="1002"/>
        </w:numPr>
        <w:pStyle w:val="Compact"/>
      </w:pPr>
      <w:r>
        <w:t xml:space="preserve">Recommended minimum to confirm during cutover (no build cost): verify in the AWS console that the production bucket has default encryption enabled and</w:t>
      </w:r>
      <w:r>
        <w:t xml:space="preserve"> </w:t>
      </w:r>
      <w:r>
        <w:t xml:space="preserve">“</w:t>
      </w:r>
      <w:r>
        <w:t xml:space="preserve">Block all public access</w:t>
      </w:r>
      <w:r>
        <w:t xml:space="preserve">”</w:t>
      </w:r>
      <w:r>
        <w:t xml:space="preserve"> </w:t>
      </w:r>
      <w:r>
        <w:t xml:space="preserve">switched on.</w:t>
      </w:r>
    </w:p>
    <w:p>
      <w:pPr>
        <w:numPr>
          <w:ilvl w:val="0"/>
          <w:numId w:val="1002"/>
        </w:numPr>
        <w:pStyle w:val="Compact"/>
      </w:pPr>
      <w:r>
        <w:t xml:space="preserve">If Tracey later wants stronger guarantees (auditable customer-managed keys, or documents unreadable even to an infrastructure operator), this can be revisited as a costed change. It is deferred, not forgotten.</w:t>
      </w:r>
    </w:p>
    <w:bookmarkEnd w:id="22"/>
    <w:bookmarkStart w:id="26" w:name="phase-2---full-feature-build"/>
    <w:p>
      <w:pPr>
        <w:pStyle w:val="Heading2"/>
      </w:pPr>
      <w:r>
        <w:t xml:space="preserve">Phase 2 - Full Feature Build</w:t>
      </w:r>
    </w:p>
    <w:p>
      <w:pPr>
        <w:pStyle w:val="FirstParagraph"/>
      </w:pPr>
      <w:r>
        <w:t xml:space="preserve">Agreed price: £2,000 (~$2,540 USD). Scope below combines the proposal’s Phase 2 features with the production hardening agreed in planning (encryption-at-rest excluded per client decision).</w:t>
      </w:r>
    </w:p>
    <w:bookmarkStart w:id="23" w:name="functional-features"/>
    <w:p>
      <w:pPr>
        <w:pStyle w:val="Heading3"/>
      </w:pPr>
      <w:r>
        <w:t xml:space="preserve">Functional features</w:t>
      </w:r>
    </w:p>
    <w:p>
      <w:pPr>
        <w:numPr>
          <w:ilvl w:val="0"/>
          <w:numId w:val="1003"/>
        </w:numPr>
        <w:pStyle w:val="Compact"/>
      </w:pPr>
      <w:r>
        <w:t xml:space="preserve">☐ Folder rename</w:t>
      </w:r>
    </w:p>
    <w:p>
      <w:pPr>
        <w:numPr>
          <w:ilvl w:val="0"/>
          <w:numId w:val="1003"/>
        </w:numPr>
        <w:pStyle w:val="Compact"/>
      </w:pPr>
      <w:r>
        <w:t xml:space="preserve">☐ Move documents between folders</w:t>
      </w:r>
    </w:p>
    <w:p>
      <w:pPr>
        <w:numPr>
          <w:ilvl w:val="0"/>
          <w:numId w:val="1003"/>
        </w:numPr>
        <w:pStyle w:val="Compact"/>
      </w:pPr>
      <w:r>
        <w:t xml:space="preserve">☐ Document search (by name)</w:t>
      </w:r>
    </w:p>
    <w:p>
      <w:pPr>
        <w:numPr>
          <w:ilvl w:val="0"/>
          <w:numId w:val="1003"/>
        </w:numPr>
        <w:pStyle w:val="Compact"/>
      </w:pPr>
      <w:r>
        <w:t xml:space="preserve">☐ Document sorting (by date, by name)</w:t>
      </w:r>
    </w:p>
    <w:p>
      <w:pPr>
        <w:numPr>
          <w:ilvl w:val="0"/>
          <w:numId w:val="1003"/>
        </w:numPr>
        <w:pStyle w:val="Compact"/>
      </w:pPr>
      <w:r>
        <w:t xml:space="preserve">☐ Admin panel driven by the existing</w:t>
      </w:r>
      <w:r>
        <w:t xml:space="preserve"> </w:t>
      </w:r>
      <w:r>
        <w:rPr>
          <w:rStyle w:val="VerbatimChar"/>
        </w:rPr>
        <w:t xml:space="preserve">isAdmin</w:t>
      </w:r>
      <w:r>
        <w:t xml:space="preserve"> </w:t>
      </w:r>
      <w:r>
        <w:t xml:space="preserve">flag (user list, storage overview, basic controls)</w:t>
      </w:r>
    </w:p>
    <w:p>
      <w:pPr>
        <w:numPr>
          <w:ilvl w:val="0"/>
          <w:numId w:val="1003"/>
        </w:numPr>
        <w:pStyle w:val="Compact"/>
      </w:pPr>
      <w:r>
        <w:t xml:space="preserve">☐ Enhanced image processing: crop, rotate, multi-page capture, PDF export</w:t>
      </w:r>
    </w:p>
    <w:p>
      <w:pPr>
        <w:numPr>
          <w:ilvl w:val="0"/>
          <w:numId w:val="1003"/>
        </w:numPr>
        <w:pStyle w:val="Compact"/>
      </w:pPr>
      <w:r>
        <w:t xml:space="preserve">☐ Custom folder icons (graphics to be supplied by Tracey - blocked on assets)</w:t>
      </w:r>
    </w:p>
    <w:bookmarkEnd w:id="23"/>
    <w:bookmarkStart w:id="24" w:name="production-hardening-folded-into-phase-2"/>
    <w:p>
      <w:pPr>
        <w:pStyle w:val="Heading3"/>
      </w:pPr>
      <w:r>
        <w:t xml:space="preserve">Production hardening (folded into Phase 2)</w:t>
      </w:r>
    </w:p>
    <w:p>
      <w:pPr>
        <w:numPr>
          <w:ilvl w:val="0"/>
          <w:numId w:val="1004"/>
        </w:numPr>
        <w:pStyle w:val="Compact"/>
      </w:pPr>
      <w:r>
        <w:t xml:space="preserve">☐ Password policy (minimum strength enforced on signup and change)</w:t>
      </w:r>
    </w:p>
    <w:p>
      <w:pPr>
        <w:numPr>
          <w:ilvl w:val="0"/>
          <w:numId w:val="1004"/>
        </w:numPr>
        <w:pStyle w:val="Compact"/>
      </w:pPr>
      <w:r>
        <w:t xml:space="preserve">☐ Password reset flow (email a time-limited reset link)</w:t>
      </w:r>
    </w:p>
    <w:p>
      <w:pPr>
        <w:numPr>
          <w:ilvl w:val="0"/>
          <w:numId w:val="1004"/>
        </w:numPr>
        <w:pStyle w:val="Compact"/>
      </w:pPr>
      <w:r>
        <w:t xml:space="preserve">☐ Email verification (optional, on by default for new signups)</w:t>
      </w:r>
    </w:p>
    <w:p>
      <w:pPr>
        <w:numPr>
          <w:ilvl w:val="0"/>
          <w:numId w:val="1004"/>
        </w:numPr>
        <w:pStyle w:val="Compact"/>
      </w:pPr>
      <w:r>
        <w:t xml:space="preserve">☐ Login rate limiting + temporary lockout after repeated failures</w:t>
      </w:r>
    </w:p>
    <w:p>
      <w:pPr>
        <w:numPr>
          <w:ilvl w:val="0"/>
          <w:numId w:val="1004"/>
        </w:numPr>
        <w:pStyle w:val="Compact"/>
      </w:pPr>
      <w:r>
        <w:t xml:space="preserve">☐ Server-side enforcement of upload file type and size</w:t>
      </w:r>
    </w:p>
    <w:p>
      <w:pPr>
        <w:numPr>
          <w:ilvl w:val="0"/>
          <w:numId w:val="1004"/>
        </w:numPr>
        <w:pStyle w:val="Compact"/>
      </w:pPr>
      <w:r>
        <w:t xml:space="preserve">☐ Server-side enforcement of per-user storage quota</w:t>
      </w:r>
    </w:p>
    <w:p>
      <w:pPr>
        <w:numPr>
          <w:ilvl w:val="0"/>
          <w:numId w:val="1004"/>
        </w:numPr>
        <w:pStyle w:val="Compact"/>
      </w:pPr>
      <w:r>
        <w:t xml:space="preserve">☐ Audit log of key actions (login, document view, delete, account deletion)</w:t>
      </w:r>
    </w:p>
    <w:p>
      <w:pPr>
        <w:numPr>
          <w:ilvl w:val="0"/>
          <w:numId w:val="1004"/>
        </w:numPr>
        <w:pStyle w:val="Compact"/>
      </w:pPr>
      <w:r>
        <w:t xml:space="preserve">☐ Two-factor authentication (optional, deferred unless Tracey requests it - noted for scope)</w:t>
      </w:r>
    </w:p>
    <w:bookmarkEnd w:id="24"/>
    <w:bookmarkStart w:id="25" w:name="privacy-and-consumer-rights-us"/>
    <w:p>
      <w:pPr>
        <w:pStyle w:val="Heading3"/>
      </w:pPr>
      <w:r>
        <w:t xml:space="preserve">Privacy and consumer rights (US)</w:t>
      </w:r>
    </w:p>
    <w:p>
      <w:pPr>
        <w:numPr>
          <w:ilvl w:val="0"/>
          <w:numId w:val="1005"/>
        </w:numPr>
        <w:pStyle w:val="Compact"/>
      </w:pPr>
      <w:r>
        <w:t xml:space="preserve">☐</w:t>
      </w:r>
      <w:r>
        <w:t xml:space="preserve"> </w:t>
      </w:r>
      <w:r>
        <w:t xml:space="preserve">“</w:t>
      </w:r>
      <w:r>
        <w:t xml:space="preserve">Download my data</w:t>
      </w:r>
      <w:r>
        <w:t xml:space="preserve">”</w:t>
      </w:r>
      <w:r>
        <w:t xml:space="preserve"> </w:t>
      </w:r>
      <w:r>
        <w:t xml:space="preserve">export (documents + metadata)</w:t>
      </w:r>
    </w:p>
    <w:p>
      <w:pPr>
        <w:numPr>
          <w:ilvl w:val="0"/>
          <w:numId w:val="1005"/>
        </w:numPr>
        <w:pStyle w:val="Compact"/>
      </w:pPr>
      <w:r>
        <w:t xml:space="preserve">☐ Genuine</w:t>
      </w:r>
      <w:r>
        <w:t xml:space="preserve"> </w:t>
      </w:r>
      <w:r>
        <w:t xml:space="preserve">“</w:t>
      </w:r>
      <w:r>
        <w:t xml:space="preserve">delete my account and all documents</w:t>
      </w:r>
      <w:r>
        <w:t xml:space="preserve">”</w:t>
      </w:r>
      <w:r>
        <w:t xml:space="preserve"> </w:t>
      </w:r>
      <w:r>
        <w:t xml:space="preserve">flow (purges S3 objects + DB records)</w:t>
      </w:r>
    </w:p>
    <w:bookmarkEnd w:id="25"/>
    <w:bookmarkEnd w:id="26"/>
    <w:bookmarkStart w:id="27" w:name="X60cc4df5793e9da1107a116b85faa24ddde5b84"/>
    <w:p>
      <w:pPr>
        <w:pStyle w:val="Heading2"/>
      </w:pPr>
      <w:r>
        <w:t xml:space="preserve">Phase 3 - GoodBarber Production Integration</w:t>
      </w:r>
    </w:p>
    <w:p>
      <w:pPr>
        <w:pStyle w:val="FirstParagraph"/>
      </w:pPr>
      <w:r>
        <w:t xml:space="preserve">Agreed price: £500 (~$635 USD).</w:t>
      </w:r>
    </w:p>
    <w:p>
      <w:pPr>
        <w:numPr>
          <w:ilvl w:val="0"/>
          <w:numId w:val="1006"/>
        </w:numPr>
        <w:pStyle w:val="Compact"/>
      </w:pPr>
      <w:r>
        <w:t xml:space="preserve">☐ Confirm session behaviour on the new production URL</w:t>
      </w:r>
    </w:p>
    <w:p>
      <w:pPr>
        <w:numPr>
          <w:ilvl w:val="0"/>
          <w:numId w:val="1006"/>
        </w:numPr>
        <w:pStyle w:val="Compact"/>
      </w:pPr>
      <w:r>
        <w:t xml:space="preserve">☐ Decide whether GoodBarber auth pass-through is wanted (if GoodBarber issues tokens)</w:t>
      </w:r>
    </w:p>
    <w:p>
      <w:pPr>
        <w:numPr>
          <w:ilvl w:val="0"/>
          <w:numId w:val="1006"/>
        </w:numPr>
        <w:pStyle w:val="Compact"/>
      </w:pPr>
      <w:r>
        <w:t xml:space="preserve">☐ Cross-origin and cookie behaviour pass on real iOS and Android devices</w:t>
      </w:r>
    </w:p>
    <w:p>
      <w:pPr>
        <w:numPr>
          <w:ilvl w:val="0"/>
          <w:numId w:val="1006"/>
        </w:numPr>
        <w:pStyle w:val="Compact"/>
      </w:pPr>
      <w:r>
        <w:t xml:space="preserve">☐ Confirm camera and scanning work through the production embed on real devices</w:t>
      </w:r>
    </w:p>
    <w:bookmarkEnd w:id="27"/>
    <w:bookmarkStart w:id="28" w:name="phase-4---launch-prep-optional"/>
    <w:p>
      <w:pPr>
        <w:pStyle w:val="Heading2"/>
      </w:pPr>
      <w:r>
        <w:t xml:space="preserve">Phase 4 - Launch Prep (Optional)</w:t>
      </w:r>
    </w:p>
    <w:p>
      <w:pPr>
        <w:pStyle w:val="FirstParagraph"/>
      </w:pPr>
      <w:r>
        <w:t xml:space="preserve">Agreed price: £300 (~$380 USD).</w:t>
      </w:r>
    </w:p>
    <w:p>
      <w:pPr>
        <w:numPr>
          <w:ilvl w:val="0"/>
          <w:numId w:val="1007"/>
        </w:numPr>
        <w:pStyle w:val="Compact"/>
      </w:pPr>
      <w:r>
        <w:t xml:space="preserve">☐ Performance optimisation pass</w:t>
      </w:r>
    </w:p>
    <w:p>
      <w:pPr>
        <w:numPr>
          <w:ilvl w:val="0"/>
          <w:numId w:val="1007"/>
        </w:numPr>
        <w:pStyle w:val="Compact"/>
      </w:pPr>
      <w:r>
        <w:t xml:space="preserve">☐ Final security review</w:t>
      </w:r>
    </w:p>
    <w:p>
      <w:pPr>
        <w:numPr>
          <w:ilvl w:val="0"/>
          <w:numId w:val="1007"/>
        </w:numPr>
        <w:pStyle w:val="Compact"/>
      </w:pPr>
      <w:r>
        <w:t xml:space="preserve">☐ User acceptance testing with Tracey</w:t>
      </w:r>
    </w:p>
    <w:p>
      <w:pPr>
        <w:numPr>
          <w:ilvl w:val="0"/>
          <w:numId w:val="1007"/>
        </w:numPr>
        <w:pStyle w:val="Compact"/>
      </w:pPr>
      <w:r>
        <w:t xml:space="preserve">☐ Production go-live</w:t>
      </w:r>
    </w:p>
    <w:bookmarkEnd w:id="28"/>
    <w:bookmarkStart w:id="32" w:name="X7820c91a4ad205988effb4e54ae6081248fd014"/>
    <w:p>
      <w:pPr>
        <w:pStyle w:val="Heading2"/>
      </w:pPr>
      <w:r>
        <w:t xml:space="preserve">Security and compliance considerations (US client)</w:t>
      </w:r>
    </w:p>
    <w:p>
      <w:pPr>
        <w:pStyle w:val="FirstParagraph"/>
      </w:pPr>
      <w:r>
        <w:t xml:space="preserve">These are considerations for the developer and Tracey to confirm. They are not legal advice; where a legal question is flagged, get it confirmed rather than assumed.</w:t>
      </w:r>
    </w:p>
    <w:bookmarkStart w:id="29" w:name="authentication-hardening"/>
    <w:p>
      <w:pPr>
        <w:pStyle w:val="Heading3"/>
      </w:pPr>
      <w:r>
        <w:t xml:space="preserve">Authentication hardening</w:t>
      </w:r>
    </w:p>
    <w:p>
      <w:pPr>
        <w:numPr>
          <w:ilvl w:val="0"/>
          <w:numId w:val="1008"/>
        </w:numPr>
        <w:pStyle w:val="Compact"/>
      </w:pPr>
      <w:r>
        <w:t xml:space="preserve">Rate limiting and lockout on login and signup to slow brute-force attempts.</w:t>
      </w:r>
    </w:p>
    <w:p>
      <w:pPr>
        <w:numPr>
          <w:ilvl w:val="0"/>
          <w:numId w:val="1008"/>
        </w:numPr>
        <w:pStyle w:val="Compact"/>
      </w:pPr>
      <w:r>
        <w:t xml:space="preserve">Password reset and a sensible password policy.</w:t>
      </w:r>
    </w:p>
    <w:p>
      <w:pPr>
        <w:numPr>
          <w:ilvl w:val="0"/>
          <w:numId w:val="1008"/>
        </w:numPr>
        <w:pStyle w:val="Compact"/>
      </w:pPr>
      <w:r>
        <w:t xml:space="preserve">Optional two-factor authentication given the data sensitivity.</w:t>
      </w:r>
    </w:p>
    <w:p>
      <w:pPr>
        <w:numPr>
          <w:ilvl w:val="0"/>
          <w:numId w:val="1008"/>
        </w:numPr>
        <w:pStyle w:val="Compact"/>
      </w:pPr>
      <w:r>
        <w:t xml:space="preserve">Session cookies confirmed secure and correctly scoped on the production domain.</w:t>
      </w:r>
    </w:p>
    <w:bookmarkEnd w:id="29"/>
    <w:bookmarkStart w:id="30" w:name="access-and-abuse-controls"/>
    <w:p>
      <w:pPr>
        <w:pStyle w:val="Heading3"/>
      </w:pPr>
      <w:r>
        <w:t xml:space="preserve">Access and abuse controls</w:t>
      </w:r>
    </w:p>
    <w:p>
      <w:pPr>
        <w:numPr>
          <w:ilvl w:val="0"/>
          <w:numId w:val="1009"/>
        </w:numPr>
        <w:pStyle w:val="Compact"/>
      </w:pPr>
      <w:r>
        <w:t xml:space="preserve">Server-side validation of upload content type and size (do not trust the client).</w:t>
      </w:r>
    </w:p>
    <w:p>
      <w:pPr>
        <w:numPr>
          <w:ilvl w:val="0"/>
          <w:numId w:val="1009"/>
        </w:numPr>
        <w:pStyle w:val="Compact"/>
      </w:pPr>
      <w:r>
        <w:t xml:space="preserve">Enforcement of the per-user storage quota (</w:t>
      </w:r>
      <w:r>
        <w:rPr>
          <w:rStyle w:val="VerbatimChar"/>
        </w:rPr>
        <w:t xml:space="preserve">storageUsed</w:t>
      </w:r>
      <w:r>
        <w:t xml:space="preserve"> </w:t>
      </w:r>
      <w:r>
        <w:t xml:space="preserve">is tracked today but not enforced).</w:t>
      </w:r>
    </w:p>
    <w:p>
      <w:pPr>
        <w:numPr>
          <w:ilvl w:val="0"/>
          <w:numId w:val="1009"/>
        </w:numPr>
        <w:pStyle w:val="Compact"/>
      </w:pPr>
      <w:r>
        <w:t xml:space="preserve">Audit log of sensitive actions for security and any later compliance request.</w:t>
      </w:r>
    </w:p>
    <w:bookmarkEnd w:id="30"/>
    <w:bookmarkStart w:id="31" w:name="us-regulatory-considerations"/>
    <w:p>
      <w:pPr>
        <w:pStyle w:val="Heading3"/>
      </w:pPr>
      <w:r>
        <w:t xml:space="preserve">US regulatory considerations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Data residency:</w:t>
      </w:r>
      <w:r>
        <w:t xml:space="preserve"> </w:t>
      </w:r>
      <w:r>
        <w:t xml:space="preserve">keep storage and compute in US regions. Verify the production S3 region and database region are both US.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CCPA / CPRA (California):</w:t>
      </w:r>
      <w:r>
        <w:t xml:space="preserve"> </w:t>
      </w:r>
      <w:r>
        <w:t xml:space="preserve">consumers have rights to access and delete their personal data. A data export and a real account+documents deletion flow cover most of this and are good practice regardless of state.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Breach notification:</w:t>
      </w:r>
      <w:r>
        <w:t xml:space="preserve"> </w:t>
      </w:r>
      <w:r>
        <w:t xml:space="preserve">all US states have breach-notification laws. An audit log and a documented incident process help here.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COPPA:</w:t>
      </w:r>
      <w:r>
        <w:t xml:space="preserve"> </w:t>
      </w:r>
      <w:r>
        <w:t xml:space="preserve">the app can hold children’s school records. If under-13s use it, or parents store children’s data, COPPA may apply. Confirm with Tracey.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HIPAA:</w:t>
      </w:r>
      <w:r>
        <w:t xml:space="preserve"> </w:t>
      </w:r>
      <w:r>
        <w:t xml:space="preserve">most likely does not apply, because HIPAA governs healthcare providers and their business associates, not individuals storing their own medical documents in a personal vault. Because a</w:t>
      </w:r>
      <w:r>
        <w:t xml:space="preserve"> </w:t>
      </w:r>
      <w:r>
        <w:t xml:space="preserve">“</w:t>
      </w:r>
      <w:r>
        <w:t xml:space="preserve">Medical</w:t>
      </w:r>
      <w:r>
        <w:t xml:space="preserve">”</w:t>
      </w:r>
      <w:r>
        <w:t xml:space="preserve"> </w:t>
      </w:r>
      <w:r>
        <w:t xml:space="preserve">folder is prominent, get this confirmed rather than assumed.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Policy documents:</w:t>
      </w:r>
      <w:r>
        <w:t xml:space="preserve"> </w:t>
      </w:r>
      <w:r>
        <w:t xml:space="preserve">a short written data-handling and retention policy will help with app-store review and user trust.</w:t>
      </w:r>
    </w:p>
    <w:bookmarkEnd w:id="31"/>
    <w:bookmarkEnd w:id="32"/>
    <w:bookmarkStart w:id="33" w:name="production-cutover-checklist"/>
    <w:p>
      <w:pPr>
        <w:pStyle w:val="Heading2"/>
      </w:pPr>
      <w:r>
        <w:t xml:space="preserve">Production cutover checklist</w:t>
      </w:r>
    </w:p>
    <w:p>
      <w:pPr>
        <w:pStyle w:val="FirstParagraph"/>
      </w:pPr>
      <w:r>
        <w:t xml:space="preserve">When the new production URL and delegate access are available:</w:t>
      </w:r>
    </w:p>
    <w:p>
      <w:pPr>
        <w:numPr>
          <w:ilvl w:val="0"/>
          <w:numId w:val="1011"/>
        </w:numPr>
        <w:pStyle w:val="Compact"/>
      </w:pPr>
      <w:r>
        <w:t xml:space="preserve">☐ Point the app at the new production domain</w:t>
      </w:r>
    </w:p>
    <w:p>
      <w:pPr>
        <w:numPr>
          <w:ilvl w:val="0"/>
          <w:numId w:val="1011"/>
        </w:numPr>
        <w:pStyle w:val="Compact"/>
      </w:pPr>
      <w:r>
        <w:t xml:space="preserve">☐ Provision production database in a US region</w:t>
      </w:r>
    </w:p>
    <w:p>
      <w:pPr>
        <w:numPr>
          <w:ilvl w:val="0"/>
          <w:numId w:val="1011"/>
        </w:numPr>
        <w:pStyle w:val="Compact"/>
      </w:pPr>
      <w:r>
        <w:t xml:space="preserve">☐ Provision production S3 bucket in a US region, with default encryption + block-public-access confirmed</w:t>
      </w:r>
    </w:p>
    <w:p>
      <w:pPr>
        <w:numPr>
          <w:ilvl w:val="0"/>
          <w:numId w:val="1011"/>
        </w:numPr>
        <w:pStyle w:val="Compact"/>
      </w:pPr>
      <w:r>
        <w:t xml:space="preserve">☐ Move all secrets into the production environment (never in client-side code or the repo)</w:t>
      </w:r>
    </w:p>
    <w:p>
      <w:pPr>
        <w:numPr>
          <w:ilvl w:val="0"/>
          <w:numId w:val="1011"/>
        </w:numPr>
        <w:pStyle w:val="Compact"/>
      </w:pPr>
      <w:r>
        <w:t xml:space="preserve">☐ Run the schema migration against the production database</w:t>
      </w:r>
    </w:p>
    <w:p>
      <w:pPr>
        <w:numPr>
          <w:ilvl w:val="0"/>
          <w:numId w:val="1011"/>
        </w:numPr>
        <w:pStyle w:val="Compact"/>
      </w:pPr>
      <w:r>
        <w:t xml:space="preserve">☐ Verify default-folder creation for new users</w:t>
      </w:r>
    </w:p>
    <w:p>
      <w:pPr>
        <w:numPr>
          <w:ilvl w:val="0"/>
          <w:numId w:val="1011"/>
        </w:numPr>
        <w:pStyle w:val="Compact"/>
      </w:pPr>
      <w:r>
        <w:t xml:space="preserve">☐ Verify signed-URL generation against the production bucket</w:t>
      </w:r>
    </w:p>
    <w:p>
      <w:pPr>
        <w:numPr>
          <w:ilvl w:val="0"/>
          <w:numId w:val="1011"/>
        </w:numPr>
        <w:pStyle w:val="Compact"/>
      </w:pPr>
      <w:r>
        <w:t xml:space="preserve">☐ Configure the custom-domain email sender for password reset / notifications once the domain is live</w:t>
      </w:r>
    </w:p>
    <w:p>
      <w:pPr>
        <w:numPr>
          <w:ilvl w:val="0"/>
          <w:numId w:val="1011"/>
        </w:numPr>
        <w:pStyle w:val="Compact"/>
      </w:pPr>
      <w:r>
        <w:t xml:space="preserve">☐ Full end-to-end test inside the GoodBarber app on real iOS and Android devices</w:t>
      </w:r>
    </w:p>
    <w:p>
      <w:pPr>
        <w:numPr>
          <w:ilvl w:val="0"/>
          <w:numId w:val="1011"/>
        </w:numPr>
        <w:pStyle w:val="Compact"/>
      </w:pPr>
      <w:r>
        <w:t xml:space="preserve">☐ Confirm login, scan, save, view, search, and delete all work in the production embed</w:t>
      </w:r>
    </w:p>
    <w:bookmarkEnd w:id="33"/>
    <w:bookmarkStart w:id="34" w:name="open-decisions-need-input"/>
    <w:p>
      <w:pPr>
        <w:pStyle w:val="Heading2"/>
      </w:pPr>
      <w:r>
        <w:t xml:space="preserve">Open decisions (need input)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Two-factor authentication:</w:t>
      </w:r>
      <w:r>
        <w:t xml:space="preserve"> </w:t>
      </w:r>
      <w:r>
        <w:t xml:space="preserve">in or out for launch?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Email verification:</w:t>
      </w:r>
      <w:r>
        <w:t xml:space="preserve"> </w:t>
      </w:r>
      <w:r>
        <w:t xml:space="preserve">required before first login, or soft (allow login, nudge to verify)?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COPPA / HIPAA applicability:</w:t>
      </w:r>
      <w:r>
        <w:t xml:space="preserve"> </w:t>
      </w:r>
      <w:r>
        <w:t xml:space="preserve">confirm with Tracey given the data types.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Custom folder icons:</w:t>
      </w:r>
      <w:r>
        <w:t xml:space="preserve"> </w:t>
      </w:r>
      <w:r>
        <w:t xml:space="preserve">awaiting graphics from Tracey.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Last updated: 2026-07-19. Keep this in step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build_state.md</w:t>
      </w:r>
      <w:r>
        <w:rPr>
          <w:iCs/>
          <w:i/>
        </w:rPr>
        <w:t xml:space="preserve">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2026-08-01T10:44:32Z</dcterms:created>
  <dcterms:modified xsi:type="dcterms:W3CDTF">2026-08-01T10:44:32Z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