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Blueberry XXL Auto: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Desde BSF Seeds, presentamos Blueberry XXL Auto de cuarta generación. Esta variedad tan premiada y reconocida en el mercado, conserva todas las características de su versión feminizada manteniendo intactos sus sabores y olores frutales.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Blueberry XXL Auto es de cultivo fácil y corto con tan sólo 10 u 11 semanas de ciclo completo. Tiene una estructura ramificada que no tiende a estirarse, por lo cual es muy fácil de manejar y cultivar. Soporta bien las bajas temperaturas y se recomienda sembrar en maceta definitiva desde el inicio del cultivo de 11 a 25 litros.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cultivo en interior, recomendamos un ciclo de 20 horas de luz con sólo 4 horas de oscuridad y con una temperatura no superior a los 26-27º C, de esta manera su producción puede llegar a los 450g x m2.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En exterior, le gusta el clima seco y caluroso y su producción puede alcanzar de 150 a 200 g x planta.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Su efecto es de fuerte subidón cerebral con una profunda relajación final. Además tiene un sabor muy característico que lleva muchos años deslumbrando a fumadores de todas partes del mundo por su marcado gusto a berries y frutos del bosque que quedarán en tu paladar por un largo tiempo.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Genética: blueberry auto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Satividad: 20%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THC: 20%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Producción interior: 450-500g 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Producción exterior: 150-200g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Efecto: subidón cerebral, relajante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Ciclo completo: 10-11 semanas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Sabor: frutos del bosque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