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TANGIE FEMINIZED.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BSF SEEDS nos enorgullecemos en presentar una variedad inconfundible por su exquisito sabor y olor, la ya reconocida Tangie.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Resultado de nuestras colaboraciones con colectivos y bancos alrededor del mundo, obtuvimos clones y semillas regulares de esta variedad esperando encontrar aquellos ejemplares más frutales con un predominante sabor a mandarina, trayendo al mercado una excepcional versión S1 de Tangie.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Tangie Feminized, rescata el fenotipo a mandarina de nuestra Orange Blossom</w:t>
      </w:r>
      <w:r w:rsidDel="00000000" w:rsidR="00000000" w:rsidRPr="00000000">
        <w:rPr>
          <w:rtl w:val="0"/>
        </w:rPr>
        <w:t xml:space="preserve">, fruto del cruce de California Orange por una versión Skunk predominantemente sativa, que le entrega a esta variedad una estructura estilizada muy abierta y alta, por lo que se recomienda realizar podas para mantenerla bajo control, siendo una variedad perfecta para cultivar con técnicas Scrog o Sog.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Para sacar todo el provecho de esta variedad conviene mantenerla en optimas condiciones nutritivas para así  asegurar grandes y  generosas cosechas.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GENÉTICA: CALIFORNIA ORANGE × SKUNK (FENOTIPO MANDARINA)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SATIVIDAD : 70%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THC : 20%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PRODUCCIÓN INT: 500-600 GR × m2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PRODUCCIÓN EXT: 500-700 GR × PLANTA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FLORACIÓN: 9-10 SEMANAS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EFECTO: FELICIDAD, CREATIVIDAD, EUFORIA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SABOR: MANDARINA, FRUTAL, CÍTRICO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Ptw/1JmQy45PiysrulIbkD1xWw==">AMUW2mUFocMYUaUBtoVXxaLt4GJEN1yu6FTaoxSWIs1RjTyvItsPAIzlFwzPHmbPv8kOMUbizMlYmzO4MpksmKJG+S20mz0N10xsoYZOtS14KhYI5iX3OHybAaZQiLF3UmaFcv2Khkv6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2020-03-19T16:58:00Z</dcterms:created>
  <dc:creator>carola</dc:creator>
</cp:coreProperties>
</file>