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388E1" w14:textId="77777777" w:rsidR="006C3F57" w:rsidRDefault="00551678">
      <w:pPr>
        <w:spacing w:after="600"/>
        <w:jc w:val="center"/>
      </w:pPr>
      <w:r>
        <w:rPr>
          <w:b/>
          <w:sz w:val="24"/>
        </w:rPr>
        <w:t>UNIVERSITY COLLEGE LONDON</w:t>
      </w:r>
    </w:p>
    <w:p w14:paraId="7667069D" w14:textId="77777777" w:rsidR="006C3F57" w:rsidRDefault="00551678">
      <w:pPr>
        <w:spacing w:before="880" w:after="200"/>
        <w:jc w:val="center"/>
      </w:pPr>
      <w:r>
        <w:t>MSc Dissertation</w:t>
      </w:r>
    </w:p>
    <w:p w14:paraId="69759DEF" w14:textId="77777777" w:rsidR="006C3F57" w:rsidRDefault="00551678">
      <w:pPr>
        <w:pStyle w:val="Title"/>
      </w:pPr>
      <w:r>
        <w:t>A Controlled Evaluation of Positional Encoding in Vision Transformers for Low-Resolution Image Classification</w:t>
      </w:r>
    </w:p>
    <w:p w14:paraId="6038BF0D" w14:textId="77777777" w:rsidR="006C3F57" w:rsidRDefault="00551678">
      <w:pPr>
        <w:spacing w:after="1240"/>
        <w:jc w:val="center"/>
      </w:pPr>
      <w:r>
        <w:t>Fixed and learnable 2D encodings, patch-to-position assignment, and exploratory extensions on CIFAR-10</w:t>
      </w:r>
    </w:p>
    <w:p w14:paraId="7C063EC5" w14:textId="77777777" w:rsidR="006C3F57" w:rsidRDefault="00551678">
      <w:pPr>
        <w:spacing w:after="100"/>
        <w:jc w:val="center"/>
      </w:pPr>
      <w:proofErr w:type="spellStart"/>
      <w:r>
        <w:rPr>
          <w:b/>
          <w:sz w:val="21"/>
        </w:rPr>
        <w:t>Programme</w:t>
      </w:r>
      <w:proofErr w:type="spellEnd"/>
      <w:r>
        <w:rPr>
          <w:b/>
          <w:sz w:val="21"/>
        </w:rPr>
        <w:t xml:space="preserve">: </w:t>
      </w:r>
      <w:r>
        <w:rPr>
          <w:sz w:val="21"/>
        </w:rPr>
        <w:t>MSc Scientific and Data Intensive Computing</w:t>
      </w:r>
    </w:p>
    <w:p w14:paraId="16A2FEBC" w14:textId="77777777" w:rsidR="006C3F57" w:rsidRDefault="00551678">
      <w:pPr>
        <w:spacing w:after="100"/>
        <w:jc w:val="center"/>
      </w:pPr>
      <w:r>
        <w:rPr>
          <w:b/>
          <w:sz w:val="21"/>
        </w:rPr>
        <w:t xml:space="preserve">Module: </w:t>
      </w:r>
      <w:r>
        <w:rPr>
          <w:sz w:val="21"/>
        </w:rPr>
        <w:t>________________________________________</w:t>
      </w:r>
    </w:p>
    <w:p w14:paraId="06132CD2" w14:textId="77777777" w:rsidR="006C3F57" w:rsidRDefault="00551678">
      <w:pPr>
        <w:spacing w:after="100"/>
        <w:jc w:val="center"/>
      </w:pPr>
      <w:r>
        <w:rPr>
          <w:b/>
          <w:sz w:val="21"/>
        </w:rPr>
        <w:t xml:space="preserve">Author: </w:t>
      </w:r>
      <w:r>
        <w:rPr>
          <w:sz w:val="21"/>
        </w:rPr>
        <w:t>Yikai Zhao</w:t>
      </w:r>
    </w:p>
    <w:p w14:paraId="28AB2272" w14:textId="77777777" w:rsidR="006C3F57" w:rsidRDefault="00551678">
      <w:pPr>
        <w:spacing w:after="100"/>
        <w:jc w:val="center"/>
      </w:pPr>
      <w:r>
        <w:rPr>
          <w:b/>
          <w:sz w:val="21"/>
        </w:rPr>
        <w:t xml:space="preserve">Student number: </w:t>
      </w:r>
      <w:r>
        <w:rPr>
          <w:sz w:val="21"/>
        </w:rPr>
        <w:t>25200353</w:t>
      </w:r>
    </w:p>
    <w:p w14:paraId="4855450F" w14:textId="77777777" w:rsidR="006C3F57" w:rsidRDefault="00551678">
      <w:pPr>
        <w:spacing w:after="100"/>
        <w:jc w:val="center"/>
      </w:pPr>
      <w:r>
        <w:rPr>
          <w:b/>
          <w:sz w:val="21"/>
        </w:rPr>
        <w:t xml:space="preserve">Supervisor: </w:t>
      </w:r>
      <w:r>
        <w:rPr>
          <w:sz w:val="21"/>
        </w:rPr>
        <w:t>________________________________________</w:t>
      </w:r>
    </w:p>
    <w:p w14:paraId="0A471B88" w14:textId="77777777" w:rsidR="006C3F57" w:rsidRDefault="00551678">
      <w:pPr>
        <w:spacing w:after="100"/>
        <w:jc w:val="center"/>
      </w:pPr>
      <w:r>
        <w:rPr>
          <w:b/>
          <w:sz w:val="21"/>
        </w:rPr>
        <w:t xml:space="preserve">Submission date: </w:t>
      </w:r>
      <w:r>
        <w:rPr>
          <w:sz w:val="21"/>
        </w:rPr>
        <w:t>________________________________________</w:t>
      </w:r>
    </w:p>
    <w:p w14:paraId="64F7E408" w14:textId="77777777" w:rsidR="006C3F57" w:rsidRDefault="00551678">
      <w:pPr>
        <w:spacing w:after="100"/>
        <w:jc w:val="center"/>
      </w:pPr>
      <w:r>
        <w:t>Draft status: Core structure v3 — 5 August 2026</w:t>
      </w:r>
    </w:p>
    <w:p w14:paraId="14F3E685" w14:textId="77777777" w:rsidR="006C3F57" w:rsidRDefault="00551678">
      <w:pPr>
        <w:pStyle w:val="Heading1"/>
        <w:pageBreakBefore/>
      </w:pPr>
      <w:r>
        <w:lastRenderedPageBreak/>
        <w:t>Abstract</w:t>
      </w:r>
    </w:p>
    <w:p w14:paraId="6BDF2719" w14:textId="77777777" w:rsidR="00522DE2" w:rsidRDefault="00BF0975">
      <w:r>
        <w:t>Vision Transformers (ViTs) divide an image into patches and process them as a sequence. Self-attention does not identify the original location of each patch, so a ViT usually adds positional encoding (PE). This study examines how different PE methods affect a small ViT trained from scratch. The main experiment compares no PE, learnable absolute PE, and several fixed two-dimensional sinusoidal PE methods on CIFAR-10. The fixed methods use row and column coordinates and combine them by addition or element-wise multiplication. Additional experiments test shifted, radial and squared variants, four patch-to-position mappings, smaller training subsets, CIFAR-100, and hybrid or dual-branch models. Each formal comparison uses five training seeds. Checkpoints are selected using validation accuracy, and final performance is measured on the held-out test set. The results are reported with 95% confidence intervals and same-seed paired differences. On CIFAR-10, learnable absolute PE achieved the highest core mean test accuracy at 78.60 ± 0.42%. Shifted multiplicative PE was the best fixed method at 78.08 ± 0.09%, while the no-PE baseline reached 71.29 ± 0.83%. With 1,000 training examples, shifted multiplicative PE exceeded learnable PE by 2.54 percentage points. Learnable PE performed better with 5,000, 10,000 and all available training examples. The selected methods kept the same ranking on CIFAR-100. The best dual-branch model reached 77.74 ± 0.44% on CIFAR-10, despite using about 2.5 times as many trainable parameters as the learnable single-branch model. These results show that PE clearly improves this ViT. Fixed PE can be useful when training data are very limited, but learnable PE performs best in most settings. More complex models do not necessarily improve accuracy.</w:t>
      </w:r>
    </w:p>
    <w:p w14:paraId="75E6F717" w14:textId="77777777" w:rsidR="006C3F57" w:rsidRDefault="00551678">
      <w:pPr>
        <w:pStyle w:val="Heading1"/>
        <w:pageBreakBefore/>
        <w:rPr>
          <w:rFonts w:eastAsia="宋体"/>
          <w:lang w:eastAsia="zh-CN"/>
        </w:rPr>
      </w:pPr>
      <w:r>
        <w:lastRenderedPageBreak/>
        <w:t>1 Introduction</w:t>
      </w:r>
    </w:p>
    <w:p w14:paraId="38A22ADC" w14:textId="77777777" w:rsidR="003F42E2" w:rsidRPr="003F42E2" w:rsidRDefault="003F42E2" w:rsidP="003F42E2">
      <w:pPr>
        <w:rPr>
          <w:rFonts w:eastAsia="宋体"/>
          <w:lang w:eastAsia="zh-CN"/>
        </w:rPr>
      </w:pPr>
      <w:r>
        <w:t>Unlike a convolutional network, a standard Vision Transformer does not impose spatial order through local filters. Its self-attention layers compare patch representations without knowing where the patches originated unless location is supplied separately. Positional encoding therefore determines whether the model can distinguish, for example, evidence in the top-left from similar evidence near the centre [1], [2].</w:t>
      </w:r>
    </w:p>
    <w:p w14:paraId="40531D5A" w14:textId="77777777" w:rsidR="003F42E2" w:rsidRPr="003F42E2" w:rsidRDefault="003F42E2" w:rsidP="003F42E2">
      <w:pPr>
        <w:rPr>
          <w:rFonts w:eastAsia="宋体"/>
          <w:lang w:eastAsia="zh-CN"/>
        </w:rPr>
      </w:pPr>
      <w:r>
        <w:t>The original ViT attaches a learned vector to each token position [1]. This table can adapt during training, but it represents location indirectly through sequence index. A fixed two-dimensional encoding instead derives its vector from patch row and column. It adds no trainable positional parameters and makes the spatial rule explicit, but it cannot adapt to the task. The balance may therefore change with data availability, patch-to-position mapping and classification difficulty.</w:t>
      </w:r>
    </w:p>
    <w:p w14:paraId="4F99E0F5" w14:textId="77777777" w:rsidR="003F42E2" w:rsidRPr="003F42E2" w:rsidRDefault="003F42E2" w:rsidP="003F42E2">
      <w:pPr>
        <w:rPr>
          <w:rFonts w:eastAsia="宋体"/>
          <w:lang w:eastAsia="zh-CN"/>
        </w:rPr>
      </w:pPr>
      <w:r>
        <w:t>Comparisons across published positional mechanisms often also involve different architectures or training regimes [5], [10]–[12], which makes attribution difficult. This project instead holds the patches, ViT backbone and training procedure constant. It asks whether PE improves the shared model, which fixed designs are most competitive, and how the answer changes with patch-to-position assignment or data availability. Hybrid and dual-branch models are treated separately because they also change model capacity or architecture.</w:t>
      </w:r>
    </w:p>
    <w:p w14:paraId="5D57F9FC" w14:textId="77777777" w:rsidR="003F42E2" w:rsidRPr="003F42E2" w:rsidRDefault="003F42E2" w:rsidP="003F42E2">
      <w:pPr>
        <w:rPr>
          <w:rFonts w:eastAsia="宋体"/>
          <w:lang w:eastAsia="zh-CN"/>
        </w:rPr>
      </w:pPr>
      <w:r>
        <w:t>CIFAR-10 provides the five-seed main comparison. Reduced-data subsets test whether a fixed spatial prior helps when labels are scarce, while CIFAR-100 raises the number of classes without changing image or patch-grid size. Results use validation-selected checkpoints, 95% t confidence intervals and same-seed paired differences; parameter counts accompany models whose capacity changes.</w:t>
      </w:r>
    </w:p>
    <w:p w14:paraId="131E105E" w14:textId="77777777" w:rsidR="003F42E2" w:rsidRPr="003F42E2" w:rsidRDefault="003F42E2" w:rsidP="003F42E2">
      <w:pPr>
        <w:rPr>
          <w:rFonts w:eastAsia="宋体"/>
          <w:lang w:eastAsia="zh-CN"/>
        </w:rPr>
      </w:pPr>
      <w:r>
        <w:t>The experiments show that positional information matters for the evaluated ViT, but the relative value of learned and fixed encodings depends on the data regime. Learnable absolute PE leads most comparisons, whereas shifted multiplicative PE becomes competitive in the smallest training subset. The extension experiments also show that additional architectural complexity does not by itself improve classification performance.</w:t>
      </w:r>
    </w:p>
    <w:p>
      <w:pPr>
        <w:rPr>
          <w:rFonts w:eastAsia="宋体"/>
          <w:lang w:eastAsia="zh-CN"/>
        </w:rPr>
      </w:pPr>
      <w:r>
        <w:t>Chapter 2 reviews positional information in Transformers and identifies the comparison gap addressed here. Chapter 3 defines the datasets, shared architecture, PE variants, patch mappings and evaluation protocol. Chapter 4 reports the experiments and results. Chapter 5 connects those findings to the research questions and discusses their limitations and practical meaning. Chapter 6 summarises the supported conclusions and outlines future work.</w:t>
      </w:r>
    </w:p>
    <w:p w14:paraId="1173E88F" w14:textId="77777777" w:rsidR="006C3F57" w:rsidRDefault="00551678">
      <w:pPr>
        <w:pStyle w:val="Heading1"/>
        <w:pageBreakBefore/>
      </w:pPr>
      <w:r>
        <w:lastRenderedPageBreak/>
        <w:t>2 Literature Review</w:t>
      </w:r>
    </w:p>
    <w:p w14:paraId="26AD7A10" w14:textId="77777777" w:rsidR="000E1728" w:rsidRDefault="00551678">
      <w:pPr>
        <w:pStyle w:val="Heading2"/>
      </w:pPr>
      <w:r>
        <w:t>2.1 Transformer Self-Attention and Positional Information</w:t>
      </w:r>
    </w:p>
    <w:p w14:paraId="68306F8F" w14:textId="77777777" w:rsidR="000E1728" w:rsidRDefault="00551678">
      <w:r>
        <w:t xml:space="preserve">The Transformer was originally introduced as an attention-based architecture for sequence modelling. Its full form contains an encoder-decoder structure, where input tokens are first converted into continuous vector representations and combined with positional information before being passed to attention layers. The encoder processes these representations using self-attention, which allows the model to capture dependencies between tokens. As shown in Figure 1, the full architecture also contains a decoder for sequence generation; however, the encoder and self-attention mechanism are the most relevant components for Vision Transformer models </w:t>
      </w:r>
      <w:r w:rsidR="00433592">
        <w:rPr>
          <w:lang w:eastAsia="zh-CN"/>
        </w:rPr>
        <w:fldChar w:fldCharType="begin"/>
      </w:r>
      <w:r w:rsidR="00433592">
        <w:rPr>
          <w:lang w:eastAsia="zh-CN"/>
        </w:rPr>
        <w:instrText xml:space="preserve"> ADDIN ZOTERO_ITEM CSL_CITATION {"citationID":"rENwl2Dn","properties":{"unsorted":false,"formattedCitation":"[2]","plainCitation":"[2]","noteIndex":0},"citationItems":[{"id":11,"uris":["http://zotero.org/users/15596373/items/N2D5YYTR"],"itemData":{"id":11,"type":"article","abstract":"The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2534A02F" w14:textId="77777777" w:rsidR="0091500A" w:rsidRDefault="0091500A" w:rsidP="0091500A">
      <w:pPr>
        <w:keepNext/>
        <w:spacing w:before="120" w:after="60"/>
        <w:jc w:val="center"/>
      </w:pPr>
      <w:r>
        <w:rPr>
          <w:noProof/>
        </w:rPr>
        <w:drawing>
          <wp:inline distT="0" distB="0" distL="0" distR="0" wp14:anchorId="594FE751" wp14:editId="696A0290">
            <wp:extent cx="5731510" cy="4026535"/>
            <wp:effectExtent l="0" t="0" r="2540" b="0"/>
            <wp:docPr id="1452386629" name="Picture 1" descr="Transformer encoder-decoder architecture showing token embeddings, positional encoding, multi-head attention, feed-forward blocks and the output projec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29" name=""/>
                    <pic:cNvPicPr/>
                  </pic:nvPicPr>
                  <pic:blipFill>
                    <a:blip r:embed="rId8"/>
                    <a:stretch>
                      <a:fillRect/>
                    </a:stretch>
                  </pic:blipFill>
                  <pic:spPr>
                    <a:xfrm>
                      <a:off x="0" y="0"/>
                      <a:ext cx="5731510" cy="4026535"/>
                    </a:xfrm>
                    <a:prstGeom prst="rect">
                      <a:avLst/>
                    </a:prstGeom>
                  </pic:spPr>
                </pic:pic>
              </a:graphicData>
            </a:graphic>
          </wp:inline>
        </w:drawing>
      </w:r>
    </w:p>
    <w:p w14:paraId="6EF1FFBE" w14:textId="77777777" w:rsidR="0091500A" w:rsidRPr="00D01B35" w:rsidRDefault="0091500A" w:rsidP="00D01B35">
      <w:pPr>
        <w:pStyle w:val="Caption"/>
        <w:spacing w:after="160"/>
        <w:jc w:val="center"/>
        <w:rPr>
          <w:rFonts w:eastAsia="宋体"/>
          <w:b w:val="0"/>
          <w:bCs w:val="0"/>
          <w:lang w:eastAsia="zh-CN"/>
        </w:rPr>
      </w:pPr>
      <w:r>
        <w:rPr>
          <w:sz w:val="20"/>
        </w:rPr>
        <w:t>Figure 1: Transformer architecture</w:t>
      </w:r>
    </w:p>
    <w:p w14:paraId="54ECFF9A" w14:textId="77777777" w:rsidR="00C05F83" w:rsidRDefault="00551678">
      <w:pPr>
        <w:pStyle w:val="Heading3"/>
      </w:pPr>
      <w:r>
        <w:t>2.1.1 Token Embedding</w:t>
      </w:r>
    </w:p>
    <w:p w14:paraId="2316A039" w14:textId="77777777" w:rsidR="000E1728" w:rsidRDefault="00551678">
      <w:r>
        <w:t xml:space="preserve">Token embedding is the first step that makes attention-based processing possible. Self-attention cannot operate directly on symbolic inputs such as words, </w:t>
      </w:r>
      <w:proofErr w:type="spellStart"/>
      <w:r>
        <w:t>subword</w:t>
      </w:r>
      <w:proofErr w:type="spellEnd"/>
      <w:r>
        <w:t xml:space="preserve"> units, or image patch identifiers, so these inputs must first be converted into numerical vectors. These vectors can then be compared, combined, and updated by the model. However, a token embedding </w:t>
      </w:r>
      <w:r>
        <w:lastRenderedPageBreak/>
        <w:t>does not by itself specify where the token occurs in the input. A separate source of positional information is therefore needed whenever order or spatial structure is important.</w:t>
      </w:r>
    </w:p>
    <w:p w14:paraId="360D660D" w14:textId="77777777" w:rsidR="00C05F83" w:rsidRDefault="00551678">
      <w:pPr>
        <w:pStyle w:val="Heading3"/>
      </w:pPr>
      <w:r>
        <w:t>2.1.2 Positional Encoding</w:t>
      </w:r>
    </w:p>
    <w:p w14:paraId="3B10D52B" w14:textId="77777777" w:rsidR="000E1728" w:rsidRDefault="00551678">
      <w:pPr>
        <w:rPr>
          <w:rFonts w:eastAsia="宋体"/>
          <w:lang w:eastAsia="zh-CN"/>
        </w:rPr>
      </w:pPr>
      <w:r>
        <w:t xml:space="preserve">The original Transformer addresses this issue through positional encoding. In this dissertation, positional encoding refers to the mechanism used to generate position information, while positional embedding refers to the vector added to the token representation. The sinusoidal formulation introduced in the original Transformer uses sine and cosine functions at different frequencies to assign a deterministic vector to each position, as shown in Equation (1) </w:t>
      </w:r>
      <w:r w:rsidR="00433592">
        <w:rPr>
          <w:lang w:eastAsia="zh-CN"/>
        </w:rPr>
        <w:fldChar w:fldCharType="begin"/>
      </w:r>
      <w:r w:rsidR="00433592">
        <w:rPr>
          <w:lang w:eastAsia="zh-CN"/>
        </w:rPr>
        <w:instrText xml:space="preserve"> ADDIN ZOTERO_ITEM CSL_CITATION {"citationID":"RFz6uVpf","properties":{"unsorted":false,"formattedCitation":"[2]","plainCitation":"[2]","noteIndex":0},"citationItems":[{"id":11,"uris":["http://zotero.org/users/15596373/items/N2D5YYTR"],"itemData":{"id":11,"type":"article","abstract":"The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0FCEA14D" w14:textId="77777777" w:rsidR="00461848" w:rsidRPr="00461848" w:rsidRDefault="00000000">
      <w:pPr>
        <w:keepLines/>
        <w:jc w:val="center"/>
        <w:rPr>
          <w:rFonts w:eastAsia="宋体"/>
          <w:lang w:eastAsia="zh-CN"/>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PE</m:t>
                  </m:r>
                </m:e>
                <m:sub>
                  <m:r>
                    <m:rPr>
                      <m:sty m:val="p"/>
                    </m:rPr>
                    <w:rPr>
                      <w:rFonts w:ascii="Cambria Math" w:hAnsi="Cambria Math"/>
                    </w:rPr>
                    <m:t>pos</m:t>
                  </m:r>
                  <m:r>
                    <w:rPr>
                      <w:rFonts w:ascii="Cambria Math" w:hAnsi="Cambria Math"/>
                    </w:rPr>
                    <m:t>,2i</m:t>
                  </m:r>
                </m:sub>
              </m:sSub>
              <m:r>
                <w:rPr>
                  <w:rFonts w:ascii="Cambria Math" w:hAnsi="Cambria Math"/>
                </w:rPr>
                <m:t>=</m:t>
              </m:r>
              <m:r>
                <m:rPr>
                  <m:sty m:val="p"/>
                </m:rPr>
                <w:rPr>
                  <w:rFonts w:ascii="Cambria Math" w:hAnsi="Cambria Math"/>
                </w:rPr>
                <m:t>sin</m:t>
              </m:r>
              <m:r>
                <w:rPr>
                  <w:rFonts w:ascii="Cambria Math" w:hAnsi="Cambria Math"/>
                </w:rPr>
                <m:t>(</m:t>
              </m:r>
              <m:f>
                <m:fPr>
                  <m:ctrlPr>
                    <w:rPr>
                      <w:rFonts w:ascii="Cambria Math" w:hAnsi="Cambria Math"/>
                    </w:rPr>
                  </m:ctrlPr>
                </m:fPr>
                <m:num>
                  <m:r>
                    <m:rPr>
                      <m:sty m:val="p"/>
                    </m:rPr>
                    <w:rPr>
                      <w:rFonts w:ascii="Cambria Math" w:hAnsi="Cambria Math"/>
                    </w:rPr>
                    <m:t>pos</m:t>
                  </m:r>
                </m:num>
                <m:den>
                  <m:sSup>
                    <m:sSupPr>
                      <m:ctrlPr>
                        <w:rPr>
                          <w:rFonts w:ascii="Cambria Math" w:hAnsi="Cambria Math"/>
                        </w:rPr>
                      </m:ctrlPr>
                    </m:sSupPr>
                    <m:e>
                      <m:r>
                        <w:rPr>
                          <w:rFonts w:ascii="Cambria Math" w:hAnsi="Cambria Math"/>
                        </w:rPr>
                        <m:t>10000</m:t>
                      </m:r>
                    </m:e>
                    <m:sup>
                      <m:f>
                        <m:fPr>
                          <m:ctrlPr>
                            <w:rPr>
                              <w:rFonts w:ascii="Cambria Math" w:hAnsi="Cambria Math"/>
                            </w:rPr>
                          </m:ctrlPr>
                        </m:fPr>
                        <m:num>
                          <m:r>
                            <w:rPr>
                              <w:rFonts w:ascii="Cambria Math" w:hAnsi="Cambria Math"/>
                            </w:rPr>
                            <m:t>2i</m:t>
                          </m:r>
                        </m:num>
                        <m:den>
                          <m:r>
                            <w:rPr>
                              <w:rFonts w:ascii="Cambria Math" w:hAnsi="Cambria Math"/>
                            </w:rPr>
                            <m:t>d</m:t>
                          </m:r>
                        </m:den>
                      </m:f>
                    </m:sup>
                  </m:sSup>
                </m:den>
              </m:f>
              <m:r>
                <w:rPr>
                  <w:rFonts w:ascii="Cambria Math" w:hAnsi="Cambria Math"/>
                </w:rPr>
                <m:t>),</m:t>
              </m:r>
              <m:sSub>
                <m:sSubPr>
                  <m:ctrlPr>
                    <w:rPr>
                      <w:rFonts w:ascii="Cambria Math" w:hAnsi="Cambria Math"/>
                    </w:rPr>
                  </m:ctrlPr>
                </m:sSubPr>
                <m:e>
                  <m:r>
                    <m:rPr>
                      <m:sty m:val="p"/>
                    </m:rPr>
                    <w:rPr>
                      <w:rFonts w:ascii="Cambria Math" w:hAnsi="Cambria Math"/>
                    </w:rPr>
                    <m:t>PE</m:t>
                  </m:r>
                </m:e>
                <m:sub>
                  <m:r>
                    <m:rPr>
                      <m:sty m:val="p"/>
                    </m:rPr>
                    <w:rPr>
                      <w:rFonts w:ascii="Cambria Math" w:hAnsi="Cambria Math"/>
                    </w:rPr>
                    <m:t>pos</m:t>
                  </m:r>
                  <m:r>
                    <w:rPr>
                      <w:rFonts w:ascii="Cambria Math" w:hAnsi="Cambria Math"/>
                    </w:rPr>
                    <m:t>,2i+1</m:t>
                  </m:r>
                </m:sub>
              </m:sSub>
              <m:r>
                <w:rPr>
                  <w:rFonts w:ascii="Cambria Math" w:hAnsi="Cambria Math"/>
                </w:rPr>
                <m:t>=</m:t>
              </m:r>
              <m:r>
                <m:rPr>
                  <m:sty m:val="p"/>
                </m:rPr>
                <w:rPr>
                  <w:rFonts w:ascii="Cambria Math" w:hAnsi="Cambria Math"/>
                </w:rPr>
                <m:t>cos</m:t>
              </m:r>
              <m:r>
                <w:rPr>
                  <w:rFonts w:ascii="Cambria Math" w:hAnsi="Cambria Math"/>
                </w:rPr>
                <m:t>(</m:t>
              </m:r>
              <m:f>
                <m:fPr>
                  <m:ctrlPr>
                    <w:rPr>
                      <w:rFonts w:ascii="Cambria Math" w:hAnsi="Cambria Math"/>
                    </w:rPr>
                  </m:ctrlPr>
                </m:fPr>
                <m:num>
                  <m:r>
                    <m:rPr>
                      <m:sty m:val="p"/>
                    </m:rPr>
                    <w:rPr>
                      <w:rFonts w:ascii="Cambria Math" w:hAnsi="Cambria Math"/>
                    </w:rPr>
                    <m:t>pos</m:t>
                  </m:r>
                </m:num>
                <m:den>
                  <m:sSup>
                    <m:sSupPr>
                      <m:ctrlPr>
                        <w:rPr>
                          <w:rFonts w:ascii="Cambria Math" w:hAnsi="Cambria Math"/>
                        </w:rPr>
                      </m:ctrlPr>
                    </m:sSupPr>
                    <m:e>
                      <m:r>
                        <w:rPr>
                          <w:rFonts w:ascii="Cambria Math" w:hAnsi="Cambria Math"/>
                        </w:rPr>
                        <m:t>10000</m:t>
                      </m:r>
                    </m:e>
                    <m:sup>
                      <m:f>
                        <m:fPr>
                          <m:ctrlPr>
                            <w:rPr>
                              <w:rFonts w:ascii="Cambria Math" w:hAnsi="Cambria Math"/>
                            </w:rPr>
                          </m:ctrlPr>
                        </m:fPr>
                        <m:num>
                          <m:r>
                            <w:rPr>
                              <w:rFonts w:ascii="Cambria Math" w:hAnsi="Cambria Math"/>
                            </w:rPr>
                            <m:t>2i</m:t>
                          </m:r>
                        </m:num>
                        <m:den>
                          <m:r>
                            <w:rPr>
                              <w:rFonts w:ascii="Cambria Math" w:hAnsi="Cambria Math"/>
                            </w:rPr>
                            <m:t>d</m:t>
                          </m:r>
                        </m:den>
                      </m:f>
                    </m:sup>
                  </m:sSup>
                </m:den>
              </m:f>
              <m:r>
                <w:rPr>
                  <w:rFonts w:ascii="Cambria Math" w:hAnsi="Cambria Math"/>
                </w:rPr>
                <m:t>)#</m:t>
              </m:r>
              <m:d>
                <m:dPr>
                  <m:ctrlPr>
                    <w:rPr>
                      <w:rFonts w:ascii="Cambria Math" w:hAnsi="Cambria Math"/>
                    </w:rPr>
                  </m:ctrlPr>
                </m:dPr>
                <m:e>
                  <w:bookmarkStart w:id="0" w:name="eq1"/>
                  <m:r>
                    <w:rPr>
                      <w:rFonts w:ascii="Cambria Math" w:hAnsi="Cambria Math"/>
                    </w:rPr>
                    <m:t>1</m:t>
                  </m:r>
                  <w:bookmarkEnd w:id="0"/>
                </m:e>
              </m:d>
            </m:e>
          </m:eqArr>
        </m:oMath>
      </m:oMathPara>
    </w:p>
    <w:p w14:paraId="050EAFD0" w14:textId="77777777" w:rsidR="000E1728" w:rsidRDefault="00551678">
      <w:r>
        <w:t xml:space="preserve">Here, </w:t>
      </w:r>
      <w:r>
        <w:rPr>
          <w:i/>
        </w:rPr>
        <w:t>pos</w:t>
      </w:r>
      <w:r>
        <w:t xml:space="preserve"> denotes the position index, </w:t>
      </w:r>
      <w:proofErr w:type="spellStart"/>
      <w:r>
        <w:rPr>
          <w:i/>
        </w:rPr>
        <w:t>i</w:t>
      </w:r>
      <w:proofErr w:type="spellEnd"/>
      <w:r>
        <w:t xml:space="preserve"> denotes the dimension index, and </w:t>
      </w:r>
      <w:r>
        <w:rPr>
          <w:i/>
        </w:rPr>
        <w:t>d</w:t>
      </w:r>
      <w:r>
        <w:t xml:space="preserve"> denotes the embedding dimension. These fixed encodings give each token access to an absolute position signal without learning a separate parameter vector for every position. They are added to the token embeddings before the attention layers, so the attention mechanism receives both token content and position information as part of the same input representation.</w:t>
      </w:r>
    </w:p>
    <w:p w14:paraId="1F7B71D1" w14:textId="77777777" w:rsidR="00C05F83" w:rsidRDefault="00551678">
      <w:pPr>
        <w:pStyle w:val="Heading3"/>
      </w:pPr>
      <w:r>
        <w:t>2.1.3 Self-Attention</w:t>
      </w:r>
    </w:p>
    <w:p w14:paraId="5DCA1BB1" w14:textId="77777777" w:rsidR="000E1728" w:rsidRDefault="00551678">
      <w:r>
        <w:t xml:space="preserve">The core operation of the Transformer encoder is self-attention. As illustrated in Figure 2, an input representation </w:t>
      </w:r>
      <m:oMath>
        <m:r>
          <m:t>X</m:t>
          <w:rPr>
            <w:rFonts w:ascii="Cambria Math" w:hAnsi="Cambria Math"/>
            <w:sz w:val="21"/>
            <w:szCs w:val="21"/>
          </w:rPr>
        </m:r>
      </m:oMath>
      <w:r>
        <w:t xml:space="preserve"> is projected into query, key and value matrices, denoted </w:t>
      </w:r>
      <m:oMath>
        <m:r>
          <m:t>Q</m:t>
          <w:rPr>
            <w:rFonts w:ascii="Cambria Math" w:hAnsi="Cambria Math"/>
            <w:sz w:val="21"/>
            <w:szCs w:val="21"/>
          </w:rPr>
        </m:r>
      </m:oMath>
      <w:r>
        <w:t xml:space="preserve">, </w:t>
      </w:r>
      <m:oMath>
        <m:r>
          <m:t>K</m:t>
          <w:rPr>
            <w:rFonts w:ascii="Cambria Math" w:hAnsi="Cambria Math"/>
            <w:sz w:val="21"/>
            <w:szCs w:val="21"/>
          </w:rPr>
        </m:r>
      </m:oMath>
      <w:r>
        <w:t xml:space="preserve"> and </w:t>
      </w:r>
      <m:oMath>
        <m:r>
          <m:t>V</m:t>
          <w:rPr>
            <w:rFonts w:ascii="Cambria Math" w:hAnsi="Cambria Math"/>
            <w:sz w:val="21"/>
            <w:szCs w:val="21"/>
          </w:rPr>
        </m:r>
      </m:oMath>
      <w:r>
        <w:t>. Intuitively, a query describes what one token is looking for, a key determines how well another token matches that request, and a value contains the information that can be passed on. Query-key similarities are normalised with softmax to form attention weights, and those weights determine how the value vectors are combined.</w:t>
      </w:r>
    </w:p>
    <w:p w14:paraId="2D953B0E" w14:textId="77777777" w:rsidR="00D01B35" w:rsidRDefault="00551678" w:rsidP="00D01B35">
      <w:pPr>
        <w:keepNext/>
        <w:spacing w:before="120" w:after="60"/>
        <w:jc w:val="center"/>
      </w:pPr>
      <w:r>
        <w:rPr>
          <w:noProof/>
        </w:rPr>
        <w:drawing>
          <wp:inline distT="0" distB="0" distL="0" distR="0" wp14:anchorId="22F13CFC" wp14:editId="1BBD4DE4">
            <wp:extent cx="5733288" cy="1256610"/>
            <wp:effectExtent l="0" t="0" r="0" b="0"/>
            <wp:docPr id="2" name="Picture 2" descr="Self-attention diagram showing query, key and value projections, scaled dot-product attention and the weighted output representa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f_attention_mechanism.png"/>
                    <pic:cNvPicPr/>
                  </pic:nvPicPr>
                  <pic:blipFill>
                    <a:blip r:embed="rId9"/>
                    <a:stretch>
                      <a:fillRect/>
                    </a:stretch>
                  </pic:blipFill>
                  <pic:spPr>
                    <a:xfrm>
                      <a:off x="0" y="0"/>
                      <a:ext cx="5733288" cy="1256610"/>
                    </a:xfrm>
                    <a:prstGeom prst="rect">
                      <a:avLst/>
                    </a:prstGeom>
                  </pic:spPr>
                </pic:pic>
              </a:graphicData>
            </a:graphic>
          </wp:inline>
        </w:drawing>
      </w:r>
    </w:p>
    <w:p w14:paraId="51075530" w14:textId="77777777" w:rsidR="000E1728" w:rsidRPr="00D01B35" w:rsidRDefault="00D01B35" w:rsidP="00D01B35">
      <w:pPr>
        <w:pStyle w:val="Caption"/>
        <w:spacing w:after="160"/>
        <w:jc w:val="center"/>
        <w:rPr>
          <w:rFonts w:eastAsia="宋体"/>
          <w:b w:val="0"/>
          <w:bCs w:val="0"/>
          <w:lang w:eastAsia="zh-CN"/>
        </w:rPr>
      </w:pPr>
      <w:r>
        <w:rPr>
          <w:sz w:val="20"/>
        </w:rPr>
        <w:t>Figure 2: Self-attention mechanism</w:t>
      </w:r>
    </w:p>
    <w:p w14:paraId="215BE8C2" w14:textId="77777777" w:rsidR="000E1728" w:rsidRDefault="00000000">
      <w:pPr>
        <w:keepLines/>
        <w:spacing w:before="60" w:after="60"/>
        <w:jc w:val="center"/>
      </w:pPr>
      <m:oMathPara>
        <m:oMath>
          <m:eqArr>
            <m:eqArrPr>
              <m:maxDist m:val="1"/>
              <m:ctrlPr>
                <w:rPr>
                  <w:rFonts w:ascii="Cambria Math" w:hAnsi="Cambria Math"/>
                </w:rPr>
              </m:ctrlPr>
            </m:eqArrPr>
            <m:e>
              <m:r>
                <m:rPr>
                  <m:sty m:val="p"/>
                </m:rPr>
                <w:rPr>
                  <w:rFonts w:ascii="Cambria Math" w:hAnsi="Cambria Math"/>
                </w:rPr>
                <m:t>Attention</m:t>
              </m:r>
              <m:r>
                <w:rPr>
                  <w:rFonts w:ascii="Cambria Math" w:hAnsi="Cambria Math"/>
                </w:rPr>
                <m:t>(Q,K,V)=</m:t>
              </m:r>
              <m:r>
                <m:rPr>
                  <m:sty m:val="p"/>
                </m:rPr>
                <w:rPr>
                  <w:rFonts w:ascii="Cambria Math" w:hAnsi="Cambria Math"/>
                </w:rPr>
                <m:t>softmax</m:t>
              </m:r>
              <m:r>
                <w:rPr>
                  <w:rFonts w:ascii="Cambria Math" w:hAnsi="Cambria Math"/>
                </w:rPr>
                <m:t>(</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w:rPr>
                  <w:rFonts w:ascii="Cambria Math" w:hAnsi="Cambria Math"/>
                </w:rPr>
                <m:t>)V#</m:t>
              </m:r>
              <m:d>
                <m:dPr>
                  <m:ctrlPr>
                    <w:rPr>
                      <w:rFonts w:ascii="Cambria Math" w:hAnsi="Cambria Math"/>
                    </w:rPr>
                  </m:ctrlPr>
                </m:dPr>
                <m:e>
                  <w:bookmarkStart w:id="1" w:name="eq2"/>
                  <m:r>
                    <w:rPr>
                      <w:rFonts w:ascii="Cambria Math" w:hAnsi="Cambria Math"/>
                    </w:rPr>
                    <m:t>2</m:t>
                  </m:r>
                  <w:bookmarkEnd w:id="1"/>
                </m:e>
              </m:d>
            </m:e>
          </m:eqArr>
        </m:oMath>
      </m:oMathPara>
    </w:p>
    <w:p w14:paraId="5DFD178B" w14:textId="77777777" w:rsidR="000E1728" w:rsidRDefault="00551678">
      <w:r>
        <w:t xml:space="preserve">Equation (2) gives the scaled dot-product attention operation. The symbol </w:t>
      </w:r>
      <m:oMath>
        <m:sSub>
          <m:e>
            <m:r>
              <m:t>d</m:t>
              <w:rPr>
                <w:rFonts w:ascii="Cambria Math" w:hAnsi="Cambria Math"/>
                <w:sz w:val="21"/>
                <w:szCs w:val="21"/>
              </w:rPr>
            </m:r>
          </m:e>
          <m:sub>
            <m:r>
              <m:t>k</m:t>
              <w:rPr>
                <w:rFonts w:ascii="Cambria Math" w:hAnsi="Cambria Math"/>
                <w:sz w:val="21"/>
                <w:szCs w:val="21"/>
              </w:rPr>
            </m:r>
          </m:sub>
        </m:sSub>
      </m:oMath>
      <w:r>
        <w:t xml:space="preserve"> is the key-vector dimension; dividing by </w:t>
      </w:r>
      <m:oMath>
        <m:rad>
          <m:radPr>
            <m:degHide m:val="on"/>
          </m:radPr>
          <m:deg/>
          <m:e>
            <m:sSub>
              <m:e>
                <m:r>
                  <m:t>d</m:t>
                  <w:rPr>
                    <w:rFonts w:ascii="Cambria Math" w:hAnsi="Cambria Math"/>
                    <w:sz w:val="21"/>
                    <w:szCs w:val="21"/>
                  </w:rPr>
                </m:r>
              </m:e>
              <m:sub>
                <m:r>
                  <m:t>k</m:t>
                  <w:rPr>
                    <w:rFonts w:ascii="Cambria Math" w:hAnsi="Cambria Math"/>
                    <w:sz w:val="21"/>
                    <w:szCs w:val="21"/>
                  </w:rPr>
                </m:r>
              </m:sub>
            </m:sSub>
          </m:e>
        </m:rad>
      </m:oMath>
      <w:r>
        <w:t xml:space="preserve"> keeps the similarity scores from growing simply because the vectors are wider. Self-attention allows every token to interact directly with every other token, including distant ones. This ability helped Transformers succeed in language and later in vision. However, the operation compares token representations, not their original positions. Without an added positional signal, reordering the tokens does not create the same kind of structural change that it would in a recurrent or convolutional model [2].</w:t>
      </w:r>
    </w:p>
    <w:p w14:paraId="517D0AC2" w14:textId="77777777" w:rsidR="000E1728" w:rsidRDefault="00551678">
      <w:r>
        <w:t>This limitation becomes especially important when Transformers are used for images. Images have an explicit two-dimensional grid structure, but a Vision Transformer converts each image into a one-dimensional sequence of patch tokens. The model therefore needs positional information not only to distinguish token order, but also to recover where each patch came from in the original image grid. This dissertation builds on this background by studying how different positional encodings affect Vision Transformers under controlled experimental conditions.</w:t>
      </w:r>
    </w:p>
    <w:p w14:paraId="45129775" w14:textId="77777777" w:rsidR="000E1728" w:rsidRPr="00B11500" w:rsidRDefault="00551678">
      <w:pPr>
        <w:pStyle w:val="Heading2"/>
        <w:rPr>
          <w:bCs w:val="0"/>
        </w:rPr>
      </w:pPr>
      <w:r w:rsidRPr="00B11500">
        <w:rPr>
          <w:bCs w:val="0"/>
        </w:rPr>
        <w:t xml:space="preserve">2.2 Vision Transformers and Patch </w:t>
      </w:r>
      <w:proofErr w:type="spellStart"/>
      <w:r w:rsidRPr="00B11500">
        <w:rPr>
          <w:bCs w:val="0"/>
        </w:rPr>
        <w:t>Tokenisation</w:t>
      </w:r>
      <w:proofErr w:type="spellEnd"/>
    </w:p>
    <w:p w14:paraId="75493B51" w14:textId="77777777" w:rsidR="00C05F83" w:rsidRDefault="00551678">
      <w:r>
        <w:t>The Vision Transformer (</w:t>
      </w:r>
      <w:proofErr w:type="spellStart"/>
      <w:r>
        <w:t>ViT</w:t>
      </w:r>
      <w:proofErr w:type="spellEnd"/>
      <w:r>
        <w:t xml:space="preserve">) applies the Transformer encoder to image classification by converting an image into a sequence of patch tokens. As shown in Figure 3, the input image is divided into fixed-size patches, each patch is projected into an embedding, and the resulting token sequence is processed by self-attention. This architecture provides the shared baseline for this dissertation: the patch embedding and encoder can remain unchanged while the positional representation is varied. The following subsections describe the four components needed to construct the </w:t>
      </w:r>
      <w:proofErr w:type="spellStart"/>
      <w:r>
        <w:t>ViT</w:t>
      </w:r>
      <w:proofErr w:type="spellEnd"/>
      <w:r>
        <w:t xml:space="preserve"> input: patch </w:t>
      </w:r>
      <w:proofErr w:type="spellStart"/>
      <w:r>
        <w:t>tokenisation</w:t>
      </w:r>
      <w:proofErr w:type="spellEnd"/>
      <w:r>
        <w:t xml:space="preserve">, linear patch projection, the classification token, and learnable positional embeddings </w:t>
      </w:r>
      <w:r w:rsidR="00433592">
        <w:rPr>
          <w:lang w:eastAsia="zh-CN"/>
        </w:rPr>
        <w:fldChar w:fldCharType="begin"/>
      </w:r>
      <w:r w:rsidR="00433592">
        <w:rPr>
          <w:lang w:eastAsia="zh-CN"/>
        </w:rPr>
        <w:instrText xml:space="preserve"> ADDIN ZOTERO_ITEM CSL_CITATION {"citationID":"anjkGUKc","properties":{"unsorted":false,"formattedCitation":"[1]","plainCitation":"[1]","noteIndex":0},"citationItems":[{"id":9,"uris":["http://zotero.org/users/15596373/items/PV84RS4V"],"itemData":{"id":9,"type":"article","abstract":"While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15758E23" w14:textId="77777777" w:rsidR="00C05F83" w:rsidRDefault="00551678">
      <w:pPr>
        <w:keepNext/>
        <w:jc w:val="center"/>
      </w:pPr>
      <w:r>
        <w:rPr>
          <w:noProof/>
        </w:rPr>
        <w:lastRenderedPageBreak/>
        <w:drawing>
          <wp:inline distT="0" distB="0" distL="0" distR="0" wp14:anchorId="4861DC19" wp14:editId="6D4594BA">
            <wp:extent cx="4297680" cy="5418411"/>
            <wp:effectExtent l="0" t="0" r="0" b="0"/>
            <wp:docPr id="1452386630" name="Picture 1452386630" descr="Vision Transformer architecture showing image patchification, patch embeddings, the classification token, positional embeddings, Transformer encoder blocks and the classification hea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architecture_source_0.png"/>
                    <pic:cNvPicPr/>
                  </pic:nvPicPr>
                  <pic:blipFill>
                    <a:blip r:embed="rId10"/>
                    <a:stretch>
                      <a:fillRect/>
                    </a:stretch>
                  </pic:blipFill>
                  <pic:spPr>
                    <a:xfrm>
                      <a:off x="0" y="0"/>
                      <a:ext cx="4297680" cy="5418411"/>
                    </a:xfrm>
                    <a:prstGeom prst="rect">
                      <a:avLst/>
                    </a:prstGeom>
                  </pic:spPr>
                </pic:pic>
              </a:graphicData>
            </a:graphic>
          </wp:inline>
        </w:drawing>
      </w:r>
    </w:p>
    <w:p w14:paraId="59DA83FE" w14:textId="77777777" w:rsidR="00C05F83" w:rsidRDefault="00551678">
      <w:pPr>
        <w:pStyle w:val="Caption"/>
        <w:spacing w:line="360" w:lineRule="auto"/>
        <w:jc w:val="center"/>
      </w:pPr>
      <w:r>
        <w:rPr>
          <w:sz w:val="20"/>
        </w:rPr>
        <w:t>Figure 3: Vision Transformer architecture</w:t>
      </w:r>
    </w:p>
    <w:p w14:paraId="2F0698B7" w14:textId="77777777" w:rsidR="00C05F83" w:rsidRDefault="00551678">
      <w:pPr>
        <w:pStyle w:val="Heading3"/>
      </w:pPr>
      <w:r>
        <w:rPr>
          <w:b w:val="0"/>
        </w:rPr>
        <w:t xml:space="preserve">2.2.1 Patch </w:t>
      </w:r>
      <w:proofErr w:type="spellStart"/>
      <w:r>
        <w:rPr>
          <w:b w:val="0"/>
        </w:rPr>
        <w:t>Tokenisation</w:t>
      </w:r>
      <w:proofErr w:type="spellEnd"/>
    </w:p>
    <w:p w14:paraId="2B1D7E79" w14:textId="77777777" w:rsidR="00C05F83" w:rsidRDefault="00551678">
      <w:r>
        <w:t xml:space="preserve">Figure 3 shows the first step, in which the input image is divided into non-overlapping square patches. Let </w:t>
      </w:r>
      <w:r>
        <w:rPr>
          <w:i/>
        </w:rPr>
        <w:t>H</w:t>
      </w:r>
      <w:r>
        <w:t xml:space="preserve"> and </w:t>
      </w:r>
      <w:r>
        <w:rPr>
          <w:i/>
        </w:rPr>
        <w:t>W</w:t>
      </w:r>
      <w:r>
        <w:t xml:space="preserve"> denote the image height and width, </w:t>
      </w:r>
      <w:r>
        <w:rPr>
          <w:i/>
        </w:rPr>
        <w:t>C</w:t>
      </w:r>
      <w:r>
        <w:t xml:space="preserve"> the number of input channels, and </w:t>
      </w:r>
      <w:r>
        <w:rPr>
          <w:i/>
        </w:rPr>
        <w:t>P</w:t>
      </w:r>
      <w:r>
        <w:t xml:space="preserve"> the side length of each patch. When </w:t>
      </w:r>
      <w:r>
        <w:rPr>
          <w:i/>
        </w:rPr>
        <w:t>H</w:t>
      </w:r>
      <w:r>
        <w:t xml:space="preserve"> and </w:t>
      </w:r>
      <w:r>
        <w:rPr>
          <w:i/>
        </w:rPr>
        <w:t>W</w:t>
      </w:r>
      <w:r>
        <w:t xml:space="preserve"> are divisible by </w:t>
      </w:r>
      <w:r>
        <w:rPr>
          <w:i/>
        </w:rPr>
        <w:t>P</w:t>
      </w:r>
      <w:r>
        <w:t xml:space="preserve">, the number of patches </w:t>
      </w:r>
      <w:r>
        <w:rPr>
          <w:i/>
        </w:rPr>
        <w:t>N</w:t>
      </w:r>
      <w:r>
        <w:t xml:space="preserve"> is given by Equation (3) </w:t>
      </w:r>
      <w:r w:rsidR="00433592">
        <w:rPr>
          <w:lang w:eastAsia="zh-CN"/>
        </w:rPr>
        <w:fldChar w:fldCharType="begin"/>
      </w:r>
      <w:r w:rsidR="00433592">
        <w:rPr>
          <w:lang w:eastAsia="zh-CN"/>
        </w:rPr>
        <w:instrText xml:space="preserve"> ADDIN ZOTERO_ITEM CSL_CITATION {"citationID":"KJrdsqGB","properties":{"unsorted":false,"formattedCitation":"[1]","plainCitation":"[1]","noteIndex":0},"citationItems":[{"id":9,"uris":["http://zotero.org/users/15596373/items/PV84RS4V"],"itemData":{"id":9,"type":"article","abstract":"While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2589A134" w14:textId="77777777" w:rsidR="00C05F83" w:rsidRDefault="00000000">
      <w:pPr>
        <w:keepLines/>
        <w:spacing w:before="60" w:after="60"/>
        <w:jc w:val="center"/>
      </w:pPr>
      <m:oMathPara>
        <m:oMath>
          <m:eqArr>
            <m:eqArrPr>
              <m:maxDist m:val="1"/>
              <m:ctrlPr>
                <w:rPr>
                  <w:rFonts w:ascii="Cambria Math" w:hAnsi="Cambria Math"/>
                </w:rPr>
              </m:ctrlPr>
            </m:eqArrPr>
            <m:e>
              <m:r>
                <w:rPr>
                  <w:rFonts w:ascii="Cambria Math" w:hAnsi="Cambria Math"/>
                </w:rPr>
                <m:t>N=</m:t>
              </m:r>
              <m:f>
                <m:fPr>
                  <m:ctrlPr>
                    <w:rPr>
                      <w:rFonts w:ascii="Cambria Math" w:hAnsi="Cambria Math"/>
                    </w:rPr>
                  </m:ctrlPr>
                </m:fPr>
                <m:num>
                  <m:r>
                    <w:rPr>
                      <w:rFonts w:ascii="Cambria Math" w:hAnsi="Cambria Math"/>
                    </w:rPr>
                    <m:t>H×W</m:t>
                  </m:r>
                </m:num>
                <m:den>
                  <m:sSup>
                    <m:sSupPr>
                      <m:ctrlPr>
                        <w:rPr>
                          <w:rFonts w:ascii="Cambria Math" w:hAnsi="Cambria Math"/>
                        </w:rPr>
                      </m:ctrlPr>
                    </m:sSupPr>
                    <m:e>
                      <m:r>
                        <w:rPr>
                          <w:rFonts w:ascii="Cambria Math" w:hAnsi="Cambria Math"/>
                        </w:rPr>
                        <m:t>P</m:t>
                      </m:r>
                    </m:e>
                    <m:sup>
                      <m:r>
                        <w:rPr>
                          <w:rFonts w:ascii="Cambria Math" w:hAnsi="Cambria Math"/>
                        </w:rPr>
                        <m:t>2</m:t>
                      </m:r>
                    </m:sup>
                  </m:sSup>
                </m:den>
              </m:f>
              <m:r>
                <w:rPr>
                  <w:rFonts w:ascii="Cambria Math" w:hAnsi="Cambria Math"/>
                </w:rPr>
                <m:t>#</m:t>
              </m:r>
              <m:d>
                <m:dPr>
                  <m:ctrlPr>
                    <w:rPr>
                      <w:rFonts w:ascii="Cambria Math" w:hAnsi="Cambria Math"/>
                    </w:rPr>
                  </m:ctrlPr>
                </m:dPr>
                <m:e>
                  <w:bookmarkStart w:id="2" w:name="eq3"/>
                  <m:r>
                    <w:rPr>
                      <w:rFonts w:ascii="Cambria Math" w:hAnsi="Cambria Math"/>
                    </w:rPr>
                    <m:t>3</m:t>
                  </m:r>
                  <w:bookmarkEnd w:id="2"/>
                </m:e>
              </m:d>
            </m:e>
          </m:eqArr>
        </m:oMath>
      </m:oMathPara>
    </w:p>
    <w:p w14:paraId="2BFA190A" w14:textId="77777777" w:rsidR="00C05F83" w:rsidRDefault="00551678">
      <w:r>
        <w:t xml:space="preserve">Each patch has dimensions </w:t>
      </w:r>
      <w:r>
        <w:rPr>
          <w:i/>
        </w:rPr>
        <w:t>P</w:t>
      </w:r>
      <w:r>
        <w:t xml:space="preserve"> × </w:t>
      </w:r>
      <w:r>
        <w:rPr>
          <w:i/>
        </w:rPr>
        <w:t>P</w:t>
      </w:r>
      <w:r>
        <w:t xml:space="preserve"> × </w:t>
      </w:r>
      <w:r>
        <w:rPr>
          <w:i/>
        </w:rPr>
        <w:t>C</w:t>
      </w:r>
      <w:r>
        <w:t xml:space="preserve"> and contains </w:t>
      </w:r>
      <w:r>
        <w:rPr>
          <w:i/>
        </w:rPr>
        <w:t>P</w:t>
      </w:r>
      <w:r>
        <w:rPr>
          <w:vertAlign w:val="superscript"/>
        </w:rPr>
        <w:t>2</w:t>
      </w:r>
      <w:r>
        <w:rPr>
          <w:i/>
        </w:rPr>
        <w:t>C</w:t>
      </w:r>
      <w:r>
        <w:t xml:space="preserve"> scalar values. Flattening the patches converts the two-dimensional image grid into a one-dimensional sequence suitable for a Transformer encoder. This conversion preserves the visual content of each patch, but it does not identify the patch's location by itself. Two patches with similar content may occupy different </w:t>
      </w:r>
      <w:r>
        <w:lastRenderedPageBreak/>
        <w:t>parts of the image, so the model also requires positional information to distinguish their locations.</w:t>
      </w:r>
    </w:p>
    <w:p w14:paraId="349F639C" w14:textId="77777777" w:rsidR="00C05F83" w:rsidRDefault="00551678">
      <w:pPr>
        <w:pStyle w:val="Heading3"/>
      </w:pPr>
      <w:r>
        <w:rPr>
          <w:b w:val="0"/>
        </w:rPr>
        <w:t>2.2.2 Patch Embedding and Class Token</w:t>
      </w:r>
    </w:p>
    <w:p w14:paraId="61BD1C61" w14:textId="77777777" w:rsidR="00C05F83" w:rsidRDefault="00551678">
      <w:r>
        <w:t xml:space="preserve">Each patch is flattened into a vector </w:t>
      </w:r>
      <w:proofErr w:type="spellStart"/>
      <w:r>
        <w:rPr>
          <w:i/>
        </w:rPr>
        <w:t>x</w:t>
      </w:r>
      <w:r>
        <w:rPr>
          <w:i/>
          <w:vertAlign w:val="subscript"/>
        </w:rPr>
        <w:t>i</w:t>
      </w:r>
      <w:r>
        <w:rPr>
          <w:i/>
          <w:vertAlign w:val="superscript"/>
        </w:rPr>
        <w:t>p</w:t>
      </w:r>
      <w:proofErr w:type="spellEnd"/>
      <w:r>
        <w:t xml:space="preserve"> ∈ ℝ</w:t>
      </w:r>
      <w:r>
        <w:rPr>
          <w:i/>
          <w:vertAlign w:val="superscript"/>
        </w:rPr>
        <w:t>P</w:t>
      </w:r>
      <w:r>
        <w:rPr>
          <w:vertAlign w:val="superscript"/>
        </w:rPr>
        <w:t>2</w:t>
      </w:r>
      <w:r>
        <w:rPr>
          <w:i/>
          <w:vertAlign w:val="superscript"/>
        </w:rPr>
        <w:t>C</w:t>
      </w:r>
      <w:r>
        <w:t xml:space="preserve">, where </w:t>
      </w:r>
      <w:proofErr w:type="spellStart"/>
      <w:r>
        <w:rPr>
          <w:i/>
        </w:rPr>
        <w:t>i</w:t>
      </w:r>
      <w:proofErr w:type="spellEnd"/>
      <w:r>
        <w:t xml:space="preserve"> denotes its position in the chosen patch sequence. A learnable projection matrix </w:t>
      </w:r>
      <w:r>
        <w:rPr>
          <w:i/>
        </w:rPr>
        <w:t>E</w:t>
      </w:r>
      <w:r>
        <w:t xml:space="preserve"> ∈ ℝ</w:t>
      </w:r>
      <w:r>
        <w:rPr>
          <w:i/>
          <w:vertAlign w:val="superscript"/>
        </w:rPr>
        <w:t>P</w:t>
      </w:r>
      <w:r>
        <w:rPr>
          <w:vertAlign w:val="superscript"/>
        </w:rPr>
        <w:t>2</w:t>
      </w:r>
      <w:r>
        <w:rPr>
          <w:i/>
          <w:vertAlign w:val="superscript"/>
        </w:rPr>
        <w:t>C</w:t>
      </w:r>
      <w:r>
        <w:rPr>
          <w:vertAlign w:val="superscript"/>
        </w:rPr>
        <w:t xml:space="preserve"> × </w:t>
      </w:r>
      <w:r>
        <w:rPr>
          <w:i/>
          <w:vertAlign w:val="superscript"/>
        </w:rPr>
        <w:t>D</w:t>
      </w:r>
      <w:r>
        <w:t xml:space="preserve"> maps this vector to a </w:t>
      </w:r>
      <w:r>
        <w:rPr>
          <w:i/>
        </w:rPr>
        <w:t>D</w:t>
      </w:r>
      <w:r>
        <w:t xml:space="preserve">-dimensional token embedding </w:t>
      </w:r>
      <w:r>
        <w:rPr>
          <w:i/>
        </w:rPr>
        <w:t>x</w:t>
      </w:r>
      <w:r>
        <w:rPr>
          <w:i/>
          <w:vertAlign w:val="subscript"/>
        </w:rPr>
        <w:t>i</w:t>
      </w:r>
      <w:r>
        <w:t xml:space="preserve">, as shown in Equation (4) </w:t>
      </w:r>
      <w:r w:rsidR="00433592">
        <w:rPr>
          <w:lang w:eastAsia="zh-CN"/>
        </w:rPr>
        <w:fldChar w:fldCharType="begin"/>
      </w:r>
      <w:r w:rsidR="00433592">
        <w:rPr>
          <w:lang w:eastAsia="zh-CN"/>
        </w:rPr>
        <w:instrText xml:space="preserve"> ADDIN ZOTERO_ITEM CSL_CITATION {"citationID":"pE5nGmxg","properties":{"unsorted":false,"formattedCitation":"[1]","plainCitation":"[1]","noteIndex":0},"citationItems":[{"id":9,"uris":["http://zotero.org/users/15596373/items/PV84RS4V"],"itemData":{"id":9,"type":"article","abstract":"While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2EF6A4BC" w14:textId="77777777" w:rsidR="00C05F83" w:rsidRDefault="00000000">
      <w:pPr>
        <w:keepLines/>
        <w:spacing w:before="60" w:after="60"/>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p</m:t>
                  </m:r>
                </m:sup>
              </m:sSubSup>
              <m:r>
                <w:rPr>
                  <w:rFonts w:ascii="Cambria Math" w:hAnsi="Cambria Math"/>
                </w:rPr>
                <m:t>E,E∈</m:t>
              </m:r>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C×D</m:t>
                  </m:r>
                </m:sup>
              </m:sSup>
              <m:r>
                <w:rPr>
                  <w:rFonts w:ascii="Cambria Math" w:hAnsi="Cambria Math"/>
                </w:rPr>
                <m:t>#</m:t>
              </m:r>
              <m:d>
                <m:dPr>
                  <m:ctrlPr>
                    <w:rPr>
                      <w:rFonts w:ascii="Cambria Math" w:hAnsi="Cambria Math"/>
                    </w:rPr>
                  </m:ctrlPr>
                </m:dPr>
                <m:e>
                  <w:bookmarkStart w:id="3" w:name="eq4"/>
                  <m:r>
                    <w:rPr>
                      <w:rFonts w:ascii="Cambria Math" w:hAnsi="Cambria Math"/>
                    </w:rPr>
                    <m:t>4</m:t>
                  </m:r>
                  <w:bookmarkEnd w:id="3"/>
                </m:e>
              </m:d>
            </m:e>
          </m:eqArr>
        </m:oMath>
      </m:oMathPara>
    </w:p>
    <w:p w14:paraId="471A7E90" w14:textId="77777777" w:rsidR="00C05F83" w:rsidRDefault="00551678">
      <w:r>
        <w:t xml:space="preserve">The projected patch embeddings form the input token sequence. A learnable classification token </w:t>
      </w:r>
      <w:proofErr w:type="spellStart"/>
      <w:r>
        <w:rPr>
          <w:i/>
        </w:rPr>
        <w:t>x</w:t>
      </w:r>
      <w:r>
        <w:rPr>
          <w:vertAlign w:val="subscript"/>
        </w:rPr>
        <w:t>class</w:t>
      </w:r>
      <w:proofErr w:type="spellEnd"/>
      <w:r>
        <w:t xml:space="preserve"> is placed at the beginning of this sequence and processed together with the patch tokens. After the final encoder layer, the classification token's representation is passed to the classification head to predict the image label. In the experiments reported later, the patch projection, classification token, encoder, and prediction head remain unchanged. This shared configuration makes the positional representation the main experimental variable </w:t>
      </w:r>
      <w:r w:rsidR="00433592">
        <w:rPr>
          <w:lang w:eastAsia="zh-CN"/>
        </w:rPr>
        <w:fldChar w:fldCharType="begin"/>
      </w:r>
      <w:r w:rsidR="00433592">
        <w:rPr>
          <w:lang w:eastAsia="zh-CN"/>
        </w:rPr>
        <w:instrText xml:space="preserve"> ADDIN ZOTERO_ITEM CSL_CITATION {"citationID":"aLLmleEk","properties":{"unsorted":false,"formattedCitation":"[1]","plainCitation":"[1]","noteIndex":0},"citationItems":[{"id":9,"uris":["http://zotero.org/users/15596373/items/PV84RS4V"],"itemData":{"id":9,"type":"article","abstract":"While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5E7631FA" w14:textId="77777777" w:rsidR="00C05F83" w:rsidRDefault="00551678">
      <w:pPr>
        <w:pStyle w:val="Heading3"/>
      </w:pPr>
      <w:r>
        <w:rPr>
          <w:b w:val="0"/>
        </w:rPr>
        <w:t xml:space="preserve">2.2.3 Learnable Positional Embeddings in the </w:t>
      </w:r>
      <w:proofErr w:type="spellStart"/>
      <w:r>
        <w:rPr>
          <w:b w:val="0"/>
        </w:rPr>
        <w:t>ViT</w:t>
      </w:r>
      <w:proofErr w:type="spellEnd"/>
      <w:r>
        <w:rPr>
          <w:b w:val="0"/>
        </w:rPr>
        <w:t xml:space="preserve"> Baseline</w:t>
      </w:r>
    </w:p>
    <w:p w14:paraId="77683196" w14:textId="77777777" w:rsidR="00C05F83" w:rsidRDefault="00551678">
      <w:r>
        <w:t xml:space="preserve">Although a patch embedding represents local visual content, it does not identify the patch's original location in the image grid. The original </w:t>
      </w:r>
      <w:proofErr w:type="spellStart"/>
      <w:r>
        <w:t>ViT</w:t>
      </w:r>
      <w:proofErr w:type="spellEnd"/>
      <w:r>
        <w:t xml:space="preserve"> therefore adds a learnable absolute positional embedding to each token before the sequence enters the encoder. Equation (5) defines the initial sequence </w:t>
      </w:r>
      <w:r>
        <w:rPr>
          <w:i/>
        </w:rPr>
        <w:t>z</w:t>
      </w:r>
      <w:r>
        <w:rPr>
          <w:vertAlign w:val="subscript"/>
        </w:rPr>
        <w:t>0</w:t>
      </w:r>
      <w:r>
        <w:t xml:space="preserve">. Here, </w:t>
      </w:r>
      <w:proofErr w:type="spellStart"/>
      <w:r>
        <w:rPr>
          <w:i/>
        </w:rPr>
        <w:t>x</w:t>
      </w:r>
      <w:r>
        <w:rPr>
          <w:vertAlign w:val="subscript"/>
        </w:rPr>
        <w:t>class</w:t>
      </w:r>
      <w:proofErr w:type="spellEnd"/>
      <w:r>
        <w:t xml:space="preserve"> is the classification token, and </w:t>
      </w:r>
      <w:r>
        <w:rPr>
          <w:i/>
        </w:rPr>
        <w:t>E</w:t>
      </w:r>
      <w:r>
        <w:rPr>
          <w:vertAlign w:val="subscript"/>
        </w:rPr>
        <w:t>pos</w:t>
      </w:r>
      <w:r>
        <w:t xml:space="preserve"> ∈ ℝ</w:t>
      </w:r>
      <w:r>
        <w:rPr>
          <w:i/>
          <w:vertAlign w:val="superscript"/>
        </w:rPr>
        <w:t>(N+1) × D</w:t>
      </w:r>
      <w:r>
        <w:t xml:space="preserve"> is the positional embedding matrix; its additional row corresponds to the classification token </w:t>
      </w:r>
      <w:r w:rsidR="00433592">
        <w:rPr>
          <w:lang w:eastAsia="zh-CN"/>
        </w:rPr>
        <w:fldChar w:fldCharType="begin"/>
      </w:r>
      <w:r w:rsidR="00433592">
        <w:rPr>
          <w:lang w:eastAsia="zh-CN"/>
        </w:rPr>
        <w:instrText xml:space="preserve"> ADDIN ZOTERO_ITEM CSL_CITATION {"citationID":"oHhDDbbg","properties":{"unsorted":false,"formattedCitation":"[1]","plainCitation":"[1]","noteIndex":0},"citationItems":[{"id":9,"uris":["http://zotero.org/users/15596373/items/PV84RS4V"],"itemData":{"id":9,"type":"article","abstract":"While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73434BAA" w14:textId="77777777" w:rsidR="00C05F83" w:rsidRDefault="00000000">
      <w:pPr>
        <w:keepLines/>
        <w:spacing w:before="60" w:after="60"/>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class</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p</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p</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p</m:t>
                  </m:r>
                </m:sup>
              </m:sSubSup>
              <m:r>
                <w:rPr>
                  <w:rFonts w:ascii="Cambria Math" w:hAnsi="Cambria Math"/>
                </w:rPr>
                <m:t>E]+</m:t>
              </m:r>
              <m:sSub>
                <m:sSubPr>
                  <m:ctrlPr>
                    <w:rPr>
                      <w:rFonts w:ascii="Cambria Math" w:hAnsi="Cambria Math"/>
                    </w:rPr>
                  </m:ctrlPr>
                </m:sSubPr>
                <m:e>
                  <m:r>
                    <w:rPr>
                      <w:rFonts w:ascii="Cambria Math" w:hAnsi="Cambria Math"/>
                    </w:rPr>
                    <m:t>E</m:t>
                  </m:r>
                </m:e>
                <m:sub>
                  <m:r>
                    <m:rPr>
                      <m:sty m:val="p"/>
                    </m:rPr>
                    <w:rPr>
                      <w:rFonts w:ascii="Cambria Math" w:hAnsi="Cambria Math"/>
                    </w:rPr>
                    <m:t>pos</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pos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(N+1)×D</m:t>
                  </m:r>
                </m:sup>
              </m:sSup>
              <m:r>
                <w:rPr>
                  <w:rFonts w:ascii="Cambria Math" w:hAnsi="Cambria Math"/>
                </w:rPr>
                <m:t>#</m:t>
              </m:r>
              <m:d>
                <m:dPr>
                  <m:ctrlPr>
                    <w:rPr>
                      <w:rFonts w:ascii="Cambria Math" w:hAnsi="Cambria Math"/>
                    </w:rPr>
                  </m:ctrlPr>
                </m:dPr>
                <m:e>
                  <w:bookmarkStart w:id="4" w:name="eq5"/>
                  <m:r>
                    <w:rPr>
                      <w:rFonts w:ascii="Cambria Math" w:hAnsi="Cambria Math"/>
                    </w:rPr>
                    <m:t>5</m:t>
                  </m:r>
                  <w:bookmarkEnd w:id="4"/>
                </m:e>
              </m:d>
            </m:e>
          </m:eqArr>
        </m:oMath>
      </m:oMathPara>
    </w:p>
    <w:p w14:paraId="77BAA27B" w14:textId="77777777" w:rsidR="00C05F83" w:rsidRDefault="00551678">
      <w:r>
        <w:t xml:space="preserve">Each row of </w:t>
      </w:r>
      <w:r>
        <w:rPr>
          <w:i/>
        </w:rPr>
        <w:t>E</w:t>
      </w:r>
      <w:r>
        <w:rPr>
          <w:vertAlign w:val="subscript"/>
        </w:rPr>
        <w:t>pos</w:t>
      </w:r>
      <w:r>
        <w:t xml:space="preserve"> corresponds to one token index and is learned jointly with the rest of the network. The embedding therefore represents sequence position directly, rather than explicitly separating the row and column coordinates of an image patch. Section 2.3 examines this design choice in more detail and introduces the fixed two-dimensional encodings evaluated in this dissertation.</w:t>
      </w:r>
    </w:p>
    <w:p w14:paraId="4DF82DE9" w14:textId="77777777" w:rsidR="00C05F83" w:rsidRDefault="00551678">
      <w:r>
        <w:t xml:space="preserve">The resulting token sequence is processed by a stack of Transformer encoder layers. Each layer combines multi-head self-attention with a position-wise multilayer perceptron, layer </w:t>
      </w:r>
      <w:proofErr w:type="spellStart"/>
      <w:r>
        <w:t>normalisation</w:t>
      </w:r>
      <w:proofErr w:type="spellEnd"/>
      <w:r>
        <w:t xml:space="preserve">, and residual connections. The final representation of the classification token is used to predict the image class. Because all evaluated models use the same patch </w:t>
      </w:r>
      <w:proofErr w:type="spellStart"/>
      <w:r>
        <w:t>tokenisation</w:t>
      </w:r>
      <w:proofErr w:type="spellEnd"/>
      <w:r>
        <w:t xml:space="preserve">, projection, encoder, and prediction head, this implementation helps isolate the effect of the positional encoding within the shared </w:t>
      </w:r>
      <w:proofErr w:type="spellStart"/>
      <w:r>
        <w:t>ViT</w:t>
      </w:r>
      <w:proofErr w:type="spellEnd"/>
      <w:r>
        <w:t>.</w:t>
      </w:r>
    </w:p>
    <w:p w14:paraId="45062CC5" w14:textId="77777777" w:rsidR="000E1728" w:rsidRDefault="00551678">
      <w:pPr>
        <w:pStyle w:val="Heading2"/>
      </w:pPr>
      <w:r>
        <w:lastRenderedPageBreak/>
        <w:t>2.3 Spatial Representation in Vision Transformers</w:t>
      </w:r>
    </w:p>
    <w:p w14:paraId="18F05557" w14:textId="77777777" w:rsidR="000E1728" w:rsidRDefault="00551678">
      <w:r>
        <w:t xml:space="preserve">Spatial representation in Vision Transformers is shaped by both the positional information assigned to tokens and the way image patches are formed. Positional encoding determines how token locations are represented. Patch </w:t>
      </w:r>
      <w:proofErr w:type="spellStart"/>
      <w:r>
        <w:t>tokenisation</w:t>
      </w:r>
      <w:proofErr w:type="spellEnd"/>
      <w:r>
        <w:t xml:space="preserve"> determines which pixels are grouped into each token before self-attention is applied. This section reviews learnable absolute embeddings, fixed two-dimensional coordinate signals, and alternative </w:t>
      </w:r>
      <w:proofErr w:type="spellStart"/>
      <w:r>
        <w:t>tokenisation</w:t>
      </w:r>
      <w:proofErr w:type="spellEnd"/>
      <w:r>
        <w:t xml:space="preserve"> strategies.</w:t>
      </w:r>
    </w:p>
    <w:p w14:paraId="5706A0ED" w14:textId="77777777" w:rsidR="000E1728" w:rsidRDefault="00551678">
      <w:pPr>
        <w:pStyle w:val="Heading3"/>
      </w:pPr>
      <w:r>
        <w:t>2.3.1 Learnable Absolute Positional Embeddings</w:t>
      </w:r>
    </w:p>
    <w:p w14:paraId="34589863" w14:textId="77777777" w:rsidR="000E1728" w:rsidRDefault="00551678">
      <w:r>
        <w:t xml:space="preserve">Learnable absolute positional embeddings associate each token index with a trainable vector. As defined in Equation (5), the original </w:t>
      </w:r>
      <w:proofErr w:type="spellStart"/>
      <w:r>
        <w:t>ViT</w:t>
      </w:r>
      <w:proofErr w:type="spellEnd"/>
      <w:r>
        <w:t xml:space="preserve"> uses a positional embedding matrix </w:t>
      </w:r>
      <w:r>
        <w:rPr>
          <w:i/>
        </w:rPr>
        <w:t>E</w:t>
      </w:r>
      <w:r>
        <w:rPr>
          <w:vertAlign w:val="subscript"/>
        </w:rPr>
        <w:t>pos</w:t>
      </w:r>
      <w:r>
        <w:t xml:space="preserve"> ∈ ℝ</w:t>
      </w:r>
      <w:r>
        <w:rPr>
          <w:vertAlign w:val="superscript"/>
        </w:rPr>
        <w:t>(</w:t>
      </w:r>
      <w:r>
        <w:rPr>
          <w:i/>
          <w:vertAlign w:val="superscript"/>
        </w:rPr>
        <w:t>N</w:t>
      </w:r>
      <w:r>
        <w:rPr>
          <w:vertAlign w:val="superscript"/>
        </w:rPr>
        <w:t xml:space="preserve">+1) × </w:t>
      </w:r>
      <w:r>
        <w:rPr>
          <w:i/>
          <w:vertAlign w:val="superscript"/>
        </w:rPr>
        <w:t>D</w:t>
      </w:r>
      <w:r>
        <w:t xml:space="preserve">, with one row for the classification token and one for each of the </w:t>
      </w:r>
      <w:r>
        <w:rPr>
          <w:i/>
        </w:rPr>
        <w:t>N</w:t>
      </w:r>
      <w:r>
        <w:t xml:space="preserve"> patch tokens. Before the sequence enters the encoder, the vector associated with index </w:t>
      </w:r>
      <w:proofErr w:type="spellStart"/>
      <w:r>
        <w:rPr>
          <w:i/>
        </w:rPr>
        <w:t>i</w:t>
      </w:r>
      <w:proofErr w:type="spellEnd"/>
      <w:r>
        <w:t xml:space="preserve"> is added to the corresponding token embedding. Tokens with similar visual content can therefore be distinguished by their positions in the sequence </w:t>
      </w:r>
      <w:r w:rsidR="00433592">
        <w:rPr>
          <w:lang w:eastAsia="zh-CN"/>
        </w:rPr>
        <w:fldChar w:fldCharType="begin"/>
      </w:r>
      <w:r w:rsidR="00433592">
        <w:rPr>
          <w:lang w:eastAsia="zh-CN"/>
        </w:rPr>
        <w:instrText xml:space="preserve"> ADDIN ZOTERO_ITEM CSL_CITATION {"citationID":"3ha5C21H","properties":{"unsorted":false,"formattedCitation":"[1]","plainCitation":"[1]","noteIndex":0},"citationItems":[{"id":9,"uris":["http://zotero.org/users/15596373/items/PV84RS4V"],"itemData":{"id":9,"type":"article","abstract":"While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45DAE435" w14:textId="77777777" w:rsidR="001325A6" w:rsidRDefault="00B073C8">
      <w:r>
        <w:t>Because the positional vectors are learned with the rest of the network, they can adapt to the training task without relying on a hand-designed coordinate function. The term absolute means that each vector represents one token index; it does not directly describe the distance or direction between two patches. Once an image is flattened into a patch sequence, the mapping from the two-dimensional grid to the one-dimensional sequence determines which positional vector each patch receives.</w:t>
      </w:r>
    </w:p>
    <w:p w14:paraId="7971A1B6" w14:textId="77777777" w:rsidR="001325A6" w:rsidRDefault="00B073C8">
      <w:r>
        <w:t xml:space="preserve">However, this representation does not explicitly encode row and column coordinates. The original </w:t>
      </w:r>
      <w:proofErr w:type="spellStart"/>
      <w:r>
        <w:t>ViT</w:t>
      </w:r>
      <w:proofErr w:type="spellEnd"/>
      <w:r>
        <w:t xml:space="preserve"> analysis showed that learned embeddings can nevertheless recover properties of the two-dimensional grid: nearby patches and patches in the same row or column tended to have similar embeddings, while the learned grid was interpolated when the input resolution changed </w:t>
      </w:r>
      <w:r w:rsidR="00433592">
        <w:rPr>
          <w:lang w:eastAsia="zh-CN"/>
        </w:rPr>
        <w:fldChar w:fldCharType="begin"/>
      </w:r>
      <w:r w:rsidR="00433592">
        <w:rPr>
          <w:lang w:eastAsia="zh-CN"/>
        </w:rPr>
        <w:instrText xml:space="preserve"> ADDIN ZOTERO_ITEM CSL_CITATION {"citationID":"tg1xZTgL","properties":{"unsorted":false,"formattedCitation":"[1]","plainCitation":"[1]","noteIndex":0},"citationItems":[{"id":9,"uris":["http://zotero.org/users/15596373/items/PV84RS4V"],"itemData":{"id":9,"type":"article","abstract":"While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 These observations show both flexibility and a practical constraint. Spatial structure can emerge during training, but the embedding table remains tied to a particular token grid. Learnable absolute embeddings therefore provide a useful baseline for comparison with fixed two-dimensional coordinate signals.</w:t>
      </w:r>
    </w:p>
    <w:p w14:paraId="1755C8DE" w14:textId="77777777" w:rsidR="000E1728" w:rsidRDefault="00551678">
      <w:pPr>
        <w:pStyle w:val="Heading3"/>
      </w:pPr>
      <w:r>
        <w:rPr>
          <w:b w:val="0"/>
        </w:rPr>
        <w:t>2.3.2 Fixed Sinusoidal and Two-Dimensional Encodings</w:t>
      </w:r>
    </w:p>
    <w:p w14:paraId="5107A8F7" w14:textId="77777777" w:rsidR="000E1728" w:rsidRDefault="00551678">
      <w:r>
        <w:t xml:space="preserve">Fixed sinusoidal positional encoding provides a parameter-free alternative to learned positional embeddings. The original Transformer represents each sequence position using sine and cosine functions at multiple frequencies. Because these vectors are generated by a deterministic function, they are not updated during training and do not require a separate learnable vector for every position. Vaswani et al. reported similar performance for fixed sinusoidal and learned positional embeddings, but retained the sinusoidal formulation </w:t>
      </w:r>
      <w:r>
        <w:lastRenderedPageBreak/>
        <w:t xml:space="preserve">because it could potentially extrapolate to sequence lengths not encountered during training </w:t>
      </w:r>
      <w:r w:rsidR="00433592">
        <w:rPr>
          <w:lang w:eastAsia="zh-CN"/>
        </w:rPr>
        <w:fldChar w:fldCharType="begin"/>
      </w:r>
      <w:r w:rsidR="00433592">
        <w:rPr>
          <w:lang w:eastAsia="zh-CN"/>
        </w:rPr>
        <w:instrText xml:space="preserve"> ADDIN ZOTERO_ITEM CSL_CITATION {"citationID":"RiEFuiPf","properties":{"unsorted":false,"formattedCitation":"[2]","plainCitation":"[2]","noteIndex":0},"citationItems":[{"id":11,"uris":["http://zotero.org/users/15596373/items/N2D5YYTR"],"itemData":{"id":11,"type":"article","abstract":"The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2DE9EE0A" w14:textId="77777777" w:rsidR="001325A6" w:rsidRDefault="00B073C8">
      <w:r>
        <w:t xml:space="preserve">For image data, the same principle can be extended from a one-dimensional sequence index to two-dimensional spatial coordinates. For a patch located at row </w:t>
      </w:r>
      <w:r>
        <w:rPr>
          <w:i/>
        </w:rPr>
        <w:t>r</w:t>
      </w:r>
      <w:r>
        <w:t xml:space="preserve"> and column </w:t>
      </w:r>
      <w:r>
        <w:rPr>
          <w:i/>
        </w:rPr>
        <w:t>c</w:t>
      </w:r>
      <w:r>
        <w:t>, a separable construction applies the sinusoidal function independently to the two coordinates. The row and column components can then be combined to form a fixed vector for that location. Unlike a learned embedding table, this representation assigns spatial identity directly from the image grid and introduces no learned positional parameters.</w:t>
      </w:r>
    </w:p>
    <w:p w14:paraId="025DB51A" w14:textId="77777777" w:rsidR="001325A6" w:rsidRDefault="00B073C8">
      <w:r>
        <w:t xml:space="preserve">The main advantage of this approach is that the spatial structure is defined before training, rather than inferred entirely from the data. Its main limitation is the same property: the coordinate function is predefined and cannot adapt its representation to a particular task. The original </w:t>
      </w:r>
      <w:proofErr w:type="spellStart"/>
      <w:r>
        <w:t>ViT</w:t>
      </w:r>
      <w:proofErr w:type="spellEnd"/>
      <w:r>
        <w:t xml:space="preserve"> analysis showed that learnable embeddings could recover </w:t>
      </w:r>
      <w:proofErr w:type="spellStart"/>
      <w:r>
        <w:t>neighbourhood</w:t>
      </w:r>
      <w:proofErr w:type="spellEnd"/>
      <w:r>
        <w:t xml:space="preserve"> and row-column structure, and that hand-crafted two-dimensional variants did not improve performance in that setting </w:t>
      </w:r>
      <w:r w:rsidR="00433592">
        <w:rPr>
          <w:lang w:eastAsia="zh-CN"/>
        </w:rPr>
        <w:fldChar w:fldCharType="begin"/>
      </w:r>
      <w:r w:rsidR="00433592">
        <w:rPr>
          <w:lang w:eastAsia="zh-CN"/>
        </w:rPr>
        <w:instrText xml:space="preserve"> ADDIN ZOTERO_ITEM CSL_CITATION {"citationID":"Dn5fi0eK","properties":{"unsorted":false,"formattedCitation":"[1]","plainCitation":"[1]","noteIndex":0},"citationItems":[{"id":9,"uris":["http://zotero.org/users/15596373/items/PV84RS4V"],"itemData":{"id":9,"type":"article","abstract":"While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 Existing literature therefore does not establish a universally superior choice between fixed and learnable absolute encodings; instead, they provide different trade-offs between an explicit spatial prior and task-dependent flexibility.</w:t>
      </w:r>
    </w:p>
    <w:p w14:paraId="5FF95426" w14:textId="77777777" w:rsidR="001325A6" w:rsidRDefault="00B073C8">
      <w:pPr>
        <w:pStyle w:val="Heading3"/>
      </w:pPr>
      <w:r>
        <w:t xml:space="preserve">2.3.3 Patch </w:t>
      </w:r>
      <w:proofErr w:type="spellStart"/>
      <w:r>
        <w:t>Tokenisation</w:t>
      </w:r>
      <w:proofErr w:type="spellEnd"/>
      <w:r>
        <w:t xml:space="preserve"> Strategies</w:t>
      </w:r>
    </w:p>
    <w:p w14:paraId="7B1E2E5D" w14:textId="77777777" w:rsidR="001325A6" w:rsidRDefault="00B073C8">
      <w:r>
        <w:t xml:space="preserve">Patch </w:t>
      </w:r>
      <w:proofErr w:type="spellStart"/>
      <w:r>
        <w:t>tokenisation</w:t>
      </w:r>
      <w:proofErr w:type="spellEnd"/>
      <w:r>
        <w:t xml:space="preserve"> determines how image pixels are grouped before they enter the Transformer encoder. The original </w:t>
      </w:r>
      <w:proofErr w:type="spellStart"/>
      <w:r>
        <w:t>ViT</w:t>
      </w:r>
      <w:proofErr w:type="spellEnd"/>
      <w:r>
        <w:t xml:space="preserve"> divides an image into non-overlapping patches and projects each flattened patch independently </w:t>
      </w:r>
      <w:r>
        <w:fldChar w:fldCharType="begin"/>
      </w:r>
      <w:r>
        <w:instrText xml:space="preserve"> ADDIN ZOTERO_ITEM CSL_CITATION {"citationID":"SViXdhCd","properties":{"unsorted":false,"formattedCitation":"[1]","plainCitation":"[1]","noteIndex":0},"citationItems":[{"id":9,"uris":["http://zotero.org/users/15596373/items/PV84RS4V"],"itemData":{"id":9,"type":"article","abstract":"While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 </w:instrText>
      </w:r>
      <w:r>
        <w:fldChar w:fldCharType="separate"/>
      </w:r>
      <w:r>
        <w:rPr>
          <w:noProof/>
        </w:rPr>
        <w:t>[1]</w:t>
      </w:r>
      <w:r>
        <w:fldChar w:fldCharType="end"/>
      </w:r>
      <w:r>
        <w:t xml:space="preserve">. This design is simple and computationally convenient, but </w:t>
      </w:r>
      <w:proofErr w:type="spellStart"/>
      <w:r>
        <w:t>neighbouring</w:t>
      </w:r>
      <w:proofErr w:type="spellEnd"/>
      <w:r>
        <w:t xml:space="preserve"> patches do not exchange information during token formation; their interactions begin after the tokens enter the Transformer encoder. </w:t>
      </w:r>
      <w:proofErr w:type="spellStart"/>
      <w:r>
        <w:t>Tokenisation</w:t>
      </w:r>
      <w:proofErr w:type="spellEnd"/>
      <w:r>
        <w:t xml:space="preserve"> therefore influences how much local structure is available before self-attention is applied.</w:t>
      </w:r>
    </w:p>
    <w:p w14:paraId="4FE5A098" w14:textId="77777777" w:rsidR="001325A6" w:rsidRDefault="00B073C8">
      <w:r>
        <w:t xml:space="preserve">Yuan et al. proposed the Tokens-to-Token Vision Transformer (T2T-ViT), which recursively aggregates </w:t>
      </w:r>
      <w:proofErr w:type="spellStart"/>
      <w:r>
        <w:t>neighbouring</w:t>
      </w:r>
      <w:proofErr w:type="spellEnd"/>
      <w:r>
        <w:t xml:space="preserve"> tokens before the main Transformer encoder. Its Tokens-to-Token module alternates token interaction with token aggregation, allowing local structure to be incorporated while progressively reducing the sequence length </w:t>
      </w:r>
      <w:r>
        <w:fldChar w:fldCharType="begin"/>
      </w:r>
      <w:r>
        <w:instrText xml:space="preserve"> ADDIN ZOTERO_ITEM CSL_CITATION {"citationID":"F8296IpI","properties":{"unsorted":false,"formattedCitation":"[3]","plainCitation":"[3]","noteIndex":0},"citationItems":[{"id":2,"uris":["http://zotero.org/users/15596373/items/KT7GDFMS"],"itemData":{"id":2,"type":"article","abstract":"Transformers, which are popular for language modeling, have been explored for solving vision tasks recently, e.g., the Vision Transformer (ViT) for image classification. The ViT model splits each image into a sequence of tokens with fixed length and then applies multiple Transformer layers to model their global relation for classification. However, ViT achieves inferior performance to CNNs when trained from scratch on a midsize dataset like ImageNet. We find it is because: 1) the simple tokenization of input images fails to model the important local structure such as edges and lines among neighboring pixels, leading to low training sample efficiency; 2) the redundant attention backbone design of ViT leads to limited feature richness for fixed computation budgets and limited training samples. To overcome such limitations, we propose a new Tokens-To-Token Vision Transformer (T2T-ViT), which incorporates 1) a layer-wise Tokens-to-Token (T2T) transformation to progressively structurize the image to tokens by recursively aggregating neighboring Tokens into one Token (Tokens-to-Token), such that local structure represented by surrounding tokens can be modeled and tokens length can be reduced; 2) an efficient backbone with a deep-narrow structure for vision transformer motivated by CNN architecture design after empirical study. Notably, T2T-ViT reduces the parameter count and MACs of vanilla ViT by half, while achieving more than 3.0\\% improvement when trained from scratch on ImageNet. It also outperforms ResNets and achieves comparable performance with MobileNets by directly training on ImageNet. For example, T2T-ViT with comparable size to ResNet50 (21.5M parameters) can achieve 83.3\\% top1 accuracy in image resolution 384$\\times$384 on ImageNet. (Code: https://github.com/yitu-opensource/T2T-ViT)","DOI":"10.48550/arXiv.2101.11986","language":"en","note":"arXiv:2101.11986 [cs]","number":"arXiv:2101.11986","publisher":"arXiv","source":"arXiv.org","title":"Tokens-to-Token ViT: Training Vision Transformers from Scratch on ImageNet","title-short":"Tokens-to-Token ViT","URL":"http://arxiv.org/abs/2101.11986","author":[{"family":"Yuan","given":"Li"},{"family":"Chen","given":"Yunpeng"},{"family":"Wang","given":"Tao"},{"family":"Yu","given":"Weihao"},{"family":"Shi","given":"Yujun"},{"family":"Jiang","given":"Zihang"},{"family":"Tay","given":"Francis EH"},{"family":"Feng","given":"Jiashi"},{"family":"Yan","given":"Shuicheng"}],"accessed":{"date-parts":[["2026",3,5]]},"issued":{"date-parts":[["2021",11,30]]}}}]} </w:instrText>
      </w:r>
      <w:r>
        <w:fldChar w:fldCharType="separate"/>
      </w:r>
      <w:r>
        <w:rPr>
          <w:noProof/>
        </w:rPr>
        <w:t>[3]</w:t>
      </w:r>
      <w:r>
        <w:fldChar w:fldCharType="end"/>
      </w:r>
      <w:r>
        <w:t xml:space="preserve">. This approach addresses a limitation of independent patch projection, but it also changes the model front end and introduces additional operations. It is therefore an alternative </w:t>
      </w:r>
      <w:proofErr w:type="spellStart"/>
      <w:r>
        <w:t>tokenisation</w:t>
      </w:r>
      <w:proofErr w:type="spellEnd"/>
      <w:r>
        <w:t xml:space="preserve"> strategy rather than a positional encoding method.</w:t>
      </w:r>
    </w:p>
    <w:p w14:paraId="374EB5F8" w14:textId="77777777" w:rsidR="001325A6" w:rsidRDefault="00B073C8">
      <w:r>
        <w:t xml:space="preserve">Patch size creates a related design trade-off. Smaller patches retain finer spatial detail but produce longer token sequences, increasing the memory and computational cost of self-attention. Larger patches shorten the sequence but combine a wider image region within each token, potentially removing fine-grained information before attention is applied. A recent preprint on </w:t>
      </w:r>
      <w:proofErr w:type="spellStart"/>
      <w:r>
        <w:t>patchification</w:t>
      </w:r>
      <w:proofErr w:type="spellEnd"/>
      <w:r>
        <w:t xml:space="preserve"> scaling indicates that the benefits of increasing token count depend </w:t>
      </w:r>
      <w:r>
        <w:lastRenderedPageBreak/>
        <w:t xml:space="preserve">on the model and compute regime rather than following a single universal rule </w:t>
      </w:r>
      <w:r>
        <w:fldChar w:fldCharType="begin"/>
      </w:r>
      <w:r>
        <w:instrText xml:space="preserve"> ADDIN ZOTERO_ITEM CSL_CITATION {"citationID":"Qx6da9ZZ","properties":{"unsorted":false,"formattedCitation":"[4]","plainCitation":"[4]","noteIndex":0},"citationItems":[{"id":7,"uris":["http://zotero.org/users/15596373/items/WAFX3LKF"],"itemData":{"id":7,"type":"article","abstract":"Since the introduction of Vision Transformer (ViT), patchification has long been regarded as a de facto image tokenization approach for plain visual architectures. By compressing the spatial size of images, this approach can effectively shorten the token sequence and reduce the computational cost of ViT-like plain architectures. In this work, we aim to thoroughly examine the information loss caused by this patchification-based compressive encoding paradigm and how it affects visual understanding. We conduct extensive patch size scaling experiments and excitedly observe an intriguing scaling law in patchification: the models can consistently benefit from decreased patch sizes and attain improved predictive performance, until it reaches the minimum patch size of 1×1, i.e., pixel tokenization. This conclusion is broadly applicable across different vision tasks, various input scales, and diverse architectures such as ViT and the recent Mamba models. Moreover, as a by-product, we discover that with smaller patches, task-specific decoder heads become less critical for dense prediction. In the experiments, we successfully scale up the visual sequence to an exceptional length of 50,176 tokens, achieving a competitive test accuracy of 84.6% with a base-sized model on the ImageNet1k benchmark. We hope this study can provide insights and theoretical foundations for future works of building non-compressive vision models. Code is available at https://github.com/ wangf3014/Patch_Scaling.","DOI":"10.48550/arXiv.2502.03738","language":"en","note":"arXiv:2502.03738 [cs]","number":"arXiv:2502.03738","publisher":"arXiv","source":"arXiv.org","title":"Scaling Laws in Patchification: An Image Is Worth 50,176 Tokens And More","title-short":"Scaling Laws in Patchification","URL":"http://arxiv.org/abs/2502.03738","author":[{"family":"Wang","given":"Feng"},{"family":"Yu","given":"Yaodong"},{"family":"Wei","given":"Guoyizhe"},{"family":"Shao","given":"Wei"},{"family":"Zhou","given":"Yuyin"},{"family":"Yuille","given":"Alan"},{"family":"Xie","given":"Cihang"}],"accessed":{"date-parts":[["2026",1,10]]},"issued":{"date-parts":[["2025",2,6]]}}}]} </w:instrText>
      </w:r>
      <w:r>
        <w:fldChar w:fldCharType="separate"/>
      </w:r>
      <w:r>
        <w:rPr>
          <w:noProof/>
        </w:rPr>
        <w:t>[4]</w:t>
      </w:r>
      <w:r>
        <w:fldChar w:fldCharType="end"/>
      </w:r>
      <w:r>
        <w:t xml:space="preserve">. </w:t>
      </w:r>
      <w:proofErr w:type="spellStart"/>
      <w:r>
        <w:t>Tokenisation</w:t>
      </w:r>
      <w:proofErr w:type="spellEnd"/>
      <w:r>
        <w:t xml:space="preserve"> strategy and granularity should therefore be treated as design choices that are distinct from positional encoding.</w:t>
      </w:r>
    </w:p>
    <w:p w14:paraId="61A7C142" w14:textId="77777777" w:rsidR="000E1728" w:rsidRDefault="00551678">
      <w:pPr>
        <w:pStyle w:val="Heading2"/>
      </w:pPr>
      <w:r>
        <w:t>2.4 Patch Ordering and Patch-to-Position Assignment</w:t>
      </w:r>
    </w:p>
    <w:p w14:paraId="7BADFCD4" w14:textId="77777777" w:rsidR="000E1728" w:rsidRDefault="00551678">
      <w:r>
        <w:t>A ViT stores a two-dimensional patch grid as a one-dimensional sequence, usually row by row. Storage order is not the same as the position assigned to a token. Without PE, permuting patch tokens only permutes their patch-level outputs; the classification token still sees the same set and cannot identify their physical locations. This is permutation equivariance [5]. Once positional vectors are added, moving a patch with its vector preserves the content-location pair, whereas moving only the patch assigns it a different location. These interventions therefore test different questions.</w:t>
      </w:r>
    </w:p>
    <w:p w14:paraId="5CC95AE2" w14:textId="77777777" w:rsidR="00522DE2" w:rsidRDefault="00BF0975">
      <w:r>
        <w:t>Recent work treats patch order as a design variable. LOOPE learns an ordering for positional embeddings at selected frequencies [6], while REOrder searches for task-dependent patch permutations and reports effects from alternatives such as column-major and space-filling-curve orders [7]. LOOPE is a 2025 preprint and REOrder appeared at NeurIPS 2025; both are more elaborate than the four deterministic mappings used here. They show that flattening can matter, but neither establishes a universal best order because the effect depends on the position mechanism and architecture.</w:t>
      </w:r>
    </w:p>
    <w:p w14:paraId="33B07255" w14:textId="77777777" w:rsidR="00522DE2" w:rsidRDefault="00BF0975">
      <w:r>
        <w:t>A precise comparison must track the physical patch location, its sequence slot and the positional coordinate attached to that slot. This prevents patch-to-position reassignment from being mistaken for a change in token adjacency. Section 3.5 uses these quantities to define the four project mappings.</w:t>
      </w:r>
    </w:p>
    <w:p w14:paraId="131F05BE" w14:textId="77777777" w:rsidR="000E1728" w:rsidRDefault="00551678">
      <w:pPr>
        <w:pStyle w:val="Heading2"/>
      </w:pPr>
      <w:r>
        <w:t xml:space="preserve">2.5 Data-Efficient and Data-Limited </w:t>
      </w:r>
      <w:proofErr w:type="spellStart"/>
      <w:r>
        <w:t>ViT</w:t>
      </w:r>
      <w:proofErr w:type="spellEnd"/>
      <w:r>
        <w:t xml:space="preserve"> Training</w:t>
      </w:r>
    </w:p>
    <w:p w14:paraId="282BFBDA" w14:textId="77777777" w:rsidR="000E1728" w:rsidRDefault="00551678">
      <w:r>
        <w:t xml:space="preserve">The original </w:t>
      </w:r>
      <w:proofErr w:type="spellStart"/>
      <w:r>
        <w:t>ViT</w:t>
      </w:r>
      <w:proofErr w:type="spellEnd"/>
      <w:r>
        <w:t xml:space="preserve"> study demonstrated that a Transformer can classify images directly from patch tokens, but its strongest results relied on pre-training with large datasets before transfer to smaller benchmarks </w:t>
      </w:r>
      <w:r>
        <w:fldChar w:fldCharType="begin"/>
      </w:r>
      <w:r>
        <w:instrText xml:space="preserve"> ADDIN ZOTERO_ITEM CSL_CITATION {"citationID":"w61TeXyO","properties":{"unsorted":false,"formattedCitation":"[1]","plainCitation":"[1]","noteIndex":0},"citationItems":[{"id":9,"uris":["http://zotero.org/users/15596373/items/PV84RS4V"],"itemData":{"id":9,"type":"article","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fldChar w:fldCharType="separate"/>
      </w:r>
      <w:r>
        <w:t>[1]</w:t>
      </w:r>
      <w:r>
        <w:fldChar w:fldCharType="end"/>
      </w:r>
      <w:r>
        <w:t xml:space="preserve">. Compared with convolutional networks, a plain </w:t>
      </w:r>
      <w:proofErr w:type="spellStart"/>
      <w:r>
        <w:t>ViT</w:t>
      </w:r>
      <w:proofErr w:type="spellEnd"/>
      <w:r>
        <w:t xml:space="preserve"> contains fewer </w:t>
      </w:r>
      <w:r>
        <w:lastRenderedPageBreak/>
        <w:t xml:space="preserve">built-in assumptions about locality and translation. This flexibility is useful at scale, but it makes the available data, model capacity and training procedure especially important when a </w:t>
      </w:r>
      <w:proofErr w:type="spellStart"/>
      <w:r>
        <w:t>ViT</w:t>
      </w:r>
      <w:proofErr w:type="spellEnd"/>
      <w:r>
        <w:t xml:space="preserve"> is trained from scratch.</w:t>
      </w:r>
    </w:p>
    <w:p w14:paraId="3A69AC05" w14:textId="77777777" w:rsidR="00522DE2" w:rsidRDefault="00BF0975">
      <w:r>
        <w:t xml:space="preserve">Later work improved data efficiency through different routes. </w:t>
      </w:r>
      <w:proofErr w:type="spellStart"/>
      <w:r>
        <w:t>DeiT</w:t>
      </w:r>
      <w:proofErr w:type="spellEnd"/>
      <w:r>
        <w:t xml:space="preserve"> retained a largely convolution-free </w:t>
      </w:r>
      <w:proofErr w:type="spellStart"/>
      <w:r>
        <w:t>ViT</w:t>
      </w:r>
      <w:proofErr w:type="spellEnd"/>
      <w:r>
        <w:t xml:space="preserve"> and showed that strong augmentation, </w:t>
      </w:r>
      <w:proofErr w:type="spellStart"/>
      <w:r>
        <w:t>regularisation</w:t>
      </w:r>
      <w:proofErr w:type="spellEnd"/>
      <w:r>
        <w:t xml:space="preserve"> and a Transformer-specific distillation strategy could support competitive ImageNet training without external data </w:t>
      </w:r>
      <w:r>
        <w:fldChar w:fldCharType="begin"/>
      </w:r>
      <w:r>
        <w:instrText xml:space="preserve"> ADDIN ZOTERO_ITEM CSL_CITATION {"citationID":"q3Cp5YtZ","properties":{"unsorted":false,"formattedCitation":"[8]","plainCitation":"[8]","noteIndex":0},"citationItems":[{"id":304,"uris":["http://zotero.org/users/15596373/items/AGNLFTVV"],"itemData":{"id":304,"type":"paper-conference","collection-title":"Proceedings of Machine Learning Research","container-title":"Proceedings of the 38th International Conference on Machine Learning","page":"10347–10357","publisher":"PMLR","title":"Training Data-Efficient Image Transformers &amp; Distillation through Attention","URL":"https://proceedings.mlr.press/v139/touvron21a.html","volume":"139","author":[{"family":"Touvron","given":"Hugo"},{"family":"Cord","given":"Matthieu"},{"family":"Douze","given":"Matthijs"},{"family":"Massa","given":"Francisco"},{"family":"Sablayrolles","given":"Alexandre"},{"family":"Jégou","given":"Hervé"}],"issued":{"date-parts":[["2021"]]}}}],"schema":"https://github.com/citation-style-language/schema/raw/master/csl-citation.json"} </w:instrText>
      </w:r>
      <w:r>
        <w:fldChar w:fldCharType="separate"/>
      </w:r>
      <w:r>
        <w:t>[8]</w:t>
      </w:r>
      <w:r>
        <w:fldChar w:fldCharType="end"/>
      </w:r>
      <w:r>
        <w:t xml:space="preserve">. Compact Transformers instead changed the architecture by using convolutional </w:t>
      </w:r>
      <w:proofErr w:type="spellStart"/>
      <w:r>
        <w:t>tokenisation</w:t>
      </w:r>
      <w:proofErr w:type="spellEnd"/>
      <w:r>
        <w:t xml:space="preserve"> and sequence pooling, producing smaller models designed for limited data and compute </w:t>
      </w:r>
      <w:r>
        <w:fldChar w:fldCharType="begin"/>
      </w:r>
      <w:r>
        <w:instrText xml:space="preserve"> ADDIN ZOTERO_ITEM CSL_CITATION {"citationID":"GnyXD2P1","properties":{"unsorted":false,"formattedCitation":"[9]","plainCitation":"[9]","noteIndex":0},"citationItems":[{"id":305,"uris":["http://zotero.org/users/15596373/items/8JIV977Y"],"itemData":{"id":305,"type":"article-journal","container-title":"arXiv preprint arXiv:2104.05704","DOI":"10.48550/arXiv.2104.05704","title":"Escaping the Big Data Paradigm with Compact Transformers","URL":"https://arxiv.org/abs/2104.05704","author":[{"family":"Hassani","given":"Ali"},{"family":"Walton","given":"Steven"},{"family":"Shah","given":"Nikhil"},{"family":"Abuduweili","given":"Abulikemu"},{"family":"Li","given":"Jiachen"},{"family":"Shi","given":"Humphrey"}],"issued":{"date-parts":[["2021"]]}}}],"schema":"https://github.com/citation-style-language/schema/raw/master/csl-citation.json"} </w:instrText>
      </w:r>
      <w:r>
        <w:fldChar w:fldCharType="separate"/>
      </w:r>
      <w:r>
        <w:t>[9]</w:t>
      </w:r>
      <w:r>
        <w:fldChar w:fldCharType="end"/>
      </w:r>
      <w:r>
        <w:t xml:space="preserve">. These approaches are valuable alternatives, but they also alter either the training recipe or the model's spatial inductive bias. They are therefore not interchangeable with a controlled comparison of positional encodings inside one unchanged </w:t>
      </w:r>
      <w:proofErr w:type="spellStart"/>
      <w:r>
        <w:t>ViT</w:t>
      </w:r>
      <w:proofErr w:type="spellEnd"/>
      <w:r>
        <w:t xml:space="preserve"> architecture.</w:t>
      </w:r>
    </w:p>
    <w:p w14:paraId="02F8FCC9" w14:textId="77777777" w:rsidR="00522DE2" w:rsidRDefault="00BF0975">
      <w:r>
        <w:t xml:space="preserve">Data availability is also relevant to the choice between learned and fixed positional representations. A learned embedding can adapt to the training distribution. A fixed encoding instead supplies the same spatial structure regardless of sample size and adds no learned positional parameters. The literature does not make one option uniformly preferable: the balance depends on the task, architecture and training regime. A low-data evaluation is consequently most informative when it varies the number of training examples while keeping the split construction, </w:t>
      </w:r>
      <w:proofErr w:type="spellStart"/>
      <w:r>
        <w:t>optimisation</w:t>
      </w:r>
      <w:proofErr w:type="spellEnd"/>
      <w:r>
        <w:t>, checkpoint selection and model configuration consistent.</w:t>
      </w:r>
    </w:p>
    <w:p w14:paraId="25064AA4" w14:textId="77777777" w:rsidR="000E1728" w:rsidRPr="0079500F" w:rsidRDefault="00551678">
      <w:pPr>
        <w:pStyle w:val="Heading2"/>
        <w:rPr>
          <w:rFonts w:eastAsia="宋体"/>
          <w:lang w:eastAsia="zh-CN"/>
        </w:rPr>
      </w:pPr>
      <w:r>
        <w:t>2.6 Related-Work Synthesis and Gap</w:t>
      </w:r>
      <w:r w:rsidR="0079500F">
        <w:rPr>
          <w:rFonts w:eastAsia="宋体" w:hint="eastAsia"/>
          <w:lang w:eastAsia="zh-CN"/>
        </w:rPr>
        <w:t xml:space="preserve"> </w:t>
      </w:r>
    </w:p>
    <w:p w14:paraId="7D6A4214" w14:textId="77777777" w:rsidR="000E1728" w:rsidRDefault="00551678">
      <w:r>
        <w:t xml:space="preserve">The literature presents positional information as a family of design choices rather than a single component. Absolute encodings attach a representation to a location, relative approaches describe relationships between token pairs, and conditional or rotary methods introduce position through different parts of the network. These choices also differ in whether their values are fixed or learned and whether position is injected once at the input or repeatedly within attention layers </w:t>
      </w:r>
      <w:r>
        <w:fldChar w:fldCharType="begin"/>
      </w:r>
      <w:r>
        <w:instrText xml:space="preserve"> ADDIN ZOTERO_ITEM CSL_CITATION {"citationID":"X3Cuppkj","properties":{"unsorted":false,"formattedCitation":"[5]","plainCitation":"[5]","noteIndex":0},"citationItems":[{"id":303,"uris":["http://zotero.org/users/15596373/items/Y6V8PGBG"],"itemData":{"id":303,"type":"article-journal","container-title":"Computational Linguistics","DOI":"10.1162/coli_a_00445","issue":"3","page":"733–763","title":"Position Information in Transformers: An Overview","URL":"https://doi.org/10.1162/coli_a_00445","volume":"48","author":[{"family":"Dufter","given":"Philipp"},{"family":"Schmitt","given":"Martin"},{"family":"Schütze","given":"Hinrich"}],"issued":{"date-parts":[["2022"]]}}}],"schema":"https://github.com/citation-style-language/schema/raw/master/csl-citation.json"} </w:instrText>
      </w:r>
      <w:r>
        <w:fldChar w:fldCharType="separate"/>
      </w:r>
      <w:r>
        <w:t>[5]</w:t>
      </w:r>
      <w:r>
        <w:fldChar w:fldCharType="end"/>
      </w:r>
      <w:r>
        <w:t>. Advanced relative, conditional and rotary designs broaden the available methods, but they change more than the basic input-level fixed encoding considered in the central comparison of this dissertation.</w:t>
      </w:r>
    </w:p>
    <w:p w14:paraId="7075FB90" w14:textId="77777777" w:rsidR="00522DE2" w:rsidRDefault="00BF0975">
      <w:r>
        <w:t xml:space="preserve">More </w:t>
      </w:r>
      <w:proofErr w:type="spellStart"/>
      <w:r>
        <w:t>specialised</w:t>
      </w:r>
      <w:proofErr w:type="spellEnd"/>
      <w:r>
        <w:t xml:space="preserve"> vision methods place positional information deeper inside the model. Image RPE represents directional relative offsets within self-attention </w:t>
      </w:r>
      <w:r>
        <w:fldChar w:fldCharType="begin"/>
      </w:r>
      <w:r>
        <w:instrText xml:space="preserve"> ADDIN ZOTERO_ITEM CSL_CITATION {"citationID":"vVP7ov2J","properties":{"unsorted":false,"formattedCitation":"[10]","plainCitation":"[10]","noteIndex":0},"citationItems":[{"id":307,"uris":["http://zotero.org/users/15596373/items/MMD44VSU"],"itemData":{"id":307,"type":"paper-conference","container-title":"Proceedings of the IEEE/CVF International Conference on Computer Vision","page":"10033–10041","title":"Rethinking and Improving Relative Position Encoding for Vision Transformer","URL":"https://openaccess.thecvf.com/content/ICCV2021/html/Wu_Rethinking_and_Improving_Relative_Position_Encoding_for_Vision_Transformer_ICCV_2021_paper.html","author":[{"family":"Wu","given":"Kan"},{"family":"Peng","given":"Houwen"},{"family":"Chen","given":"Minghao"},{"family":"Fu","given":"Jianlong"},{"family":"Chao","given":"Hongyang"}],"issued":{"date-parts":[["2021"]]}}}],"schema":"https://github.com/citation-style-language/schema/raw/master/csl-citation.json"} </w:instrText>
      </w:r>
      <w:r>
        <w:fldChar w:fldCharType="separate"/>
      </w:r>
      <w:r>
        <w:t>[10]</w:t>
      </w:r>
      <w:r>
        <w:fldChar w:fldCharType="end"/>
      </w:r>
      <w:r>
        <w:t xml:space="preserve">; CPVT uses a position-encoding generator to derive conditional signals from each token's local </w:t>
      </w:r>
      <w:proofErr w:type="spellStart"/>
      <w:r>
        <w:t>neighbourhood</w:t>
      </w:r>
      <w:proofErr w:type="spellEnd"/>
      <w:r>
        <w:t xml:space="preserve"> </w:t>
      </w:r>
      <w:r>
        <w:fldChar w:fldCharType="begin"/>
      </w:r>
      <w:r>
        <w:instrText xml:space="preserve"> ADDIN ZOTERO_ITEM CSL_CITATION {"citationID":"WzX0fpkT","properties":{"unsorted":false,"formattedCitation":"[11]","plainCitation":"[11]","noteIndex":0},"citationItems":[{"id":308,"uris":["http://zotero.org/users/15596373/items/MW7PJS7Z"],"itemData":{"id":308,"type":"paper-conference","container-title":"International Conference on Learning Representations","title":"Conditional Positional Encodings for Vision Transformers","URL":"https://openreview.net/forum?id=3KWnuT-R1bh","author":[{"family":"Chu","given":"Xiangxiang"},{"family":"Tian","given":"Zhi"},{"family":"Zhang","given":"Bo"},{"family":"Wang","given":"Xinlong"},{"family":"Shen","given":"Chunhua"}],"issued":{"date-parts":[["2023"]]}}}],"schema":"https://github.com/citation-style-language/schema/raw/master/csl-citation.json"} </w:instrText>
      </w:r>
      <w:r>
        <w:fldChar w:fldCharType="separate"/>
      </w:r>
      <w:r>
        <w:t>[11]</w:t>
      </w:r>
      <w:r>
        <w:fldChar w:fldCharType="end"/>
      </w:r>
      <w:r>
        <w:t xml:space="preserve">; and </w:t>
      </w:r>
      <w:proofErr w:type="spellStart"/>
      <w:r>
        <w:t>RoPE-ViT</w:t>
      </w:r>
      <w:proofErr w:type="spellEnd"/>
      <w:r>
        <w:t xml:space="preserve"> adapts rotary transformations to two-dimensional vision inputs </w:t>
      </w:r>
      <w:r>
        <w:fldChar w:fldCharType="begin"/>
      </w:r>
      <w:r>
        <w:instrText xml:space="preserve"> ADDIN ZOTERO_ITEM CSL_CITATION {"citationID":"sTDugYLX","properties":{"unsorted":false,"formattedCitation":"[12]","plainCitation":"[12]","noteIndex":0},"citationItems":[{"id":309,"uris":["http://zotero.org/users/15596373/items/MAPE2I7P"],"itemData":{"id":309,"type":"paper-conference","collection-title":"Lecture Notes in Computer Science","container-title":"Computer Vision – ECCV 2024","DOI":"10.1007/978-3-031-72684-2_17","page":"289–305","publisher":"Springer","title":"Rotary Position Embedding for Vision Transformer","URL":"https://doi.org/10.1007/978-3-031-72684-2_17","volume":"15068","author":[{"family":"Heo","given":"Byeongho"},{"family":"Park","given":"Song"},{"family":"Han","given":"Dongyoon"},{"family":"Yun","given":"Sangdoo"}],"issued":{"date-parts":[["2024"]]}}}],"schema":"https://github.com/citation-style-language/schema/raw/master/csl-citation.json"} </w:instrText>
      </w:r>
      <w:r>
        <w:fldChar w:fldCharType="separate"/>
      </w:r>
      <w:r>
        <w:t>[12]</w:t>
      </w:r>
      <w:r>
        <w:fldChar w:fldCharType="end"/>
      </w:r>
      <w:r>
        <w:t>. These methods are important evidence that richer spatial mechanisms can be useful, but they are not direct substitutes for a basic fixed vector added at the input. They modify attention or generate input-dependent position signals, so placing them in the central baseline table would mix positional encoding choice with a wider architectural change.</w:t>
      </w:r>
    </w:p>
    <w:p w14:paraId="7940BEB7" w14:textId="77777777" w:rsidR="00522DE2" w:rsidRDefault="00BF0975">
      <w:r>
        <w:t>The practical gap is therefore one of attribution, not a lack of proposed encodings. Results from different studies may reflect changes in architecture, scale, data, augmentation or optimisation as well as the position method. This project instead uses one ViT and a common protocol to separate four factors: PE presence and form, patch-coordinate mapping, limited training data, and the cost of hybrid or multi-branch complexity. This controlled comparison does not claim a universally superior encoding or a new general-purpose Transformer.</w:t>
      </w:r>
    </w:p>
    <w:p w14:paraId="43E178FA" w14:textId="77777777" w:rsidR="006C3F57" w:rsidRDefault="00551678">
      <w:pPr>
        <w:pStyle w:val="Heading1"/>
        <w:pageBreakBefore/>
      </w:pPr>
      <w:r>
        <w:lastRenderedPageBreak/>
        <w:t>3 Methodology</w:t>
      </w:r>
    </w:p>
    <w:p w14:paraId="3BEAEA75" w14:textId="77777777" w:rsidR="00501731" w:rsidRDefault="008A788D">
      <w:bookmarkStart w:id="5" w:name="OLE_LINK1"/>
      <w:r>
        <w:t>This chapter explains how the experiments were constructed so that each reported comparison can be reproduced and interpreted. Every image passes through the same broad pipeline: dataset-specific preprocessing, division into patches, assignment of positional information, and processing by a shared Transformer encoder. Validation performance selects the checkpoint; the official test set is used only after selection. The following sections define the controlled design, data, shared architecture, positional encodings, patch mappings, extensions, training protocol and statistical analysis.</w:t>
      </w:r>
      <w:bookmarkEnd w:id="5"/>
    </w:p>
    <w:bookmarkEnd w:id="5"/>
    <w:p w14:paraId="3E3169F7" w14:textId="77777777" w:rsidR="00501731" w:rsidRDefault="00B073C8">
      <w:pPr>
        <w:pStyle w:val="Heading2"/>
      </w:pPr>
      <w:r>
        <w:t>3.1 Controlled Experimental Design</w:t>
      </w:r>
    </w:p>
    <w:p w14:paraId="08BAEBF2" w14:textId="77777777" w:rsidR="00505F65" w:rsidRPr="00505F65" w:rsidRDefault="00505F65" w:rsidP="00505F65">
      <w:pPr>
        <w:rPr>
          <w:lang w:eastAsia="zh-CN"/>
        </w:rPr>
      </w:pPr>
      <w:bookmarkStart w:id="6" w:name="OLE_LINK2"/>
      <w:r>
        <w:t>The study changes one main factor at a time rather than introducing a new general-purpose Transformer. Within each comparison, the ViT backbone, data split, optimiser and checkpoint-selection rule remain fixed. The factors that do change are the positional encoding, the assignment of positional vectors to physical patches, and, in the extension experiments, the use of hybrid or dual-branch fusion components. This design reduces the number of competing explanations for an observed accuracy difference.</w:t>
      </w:r>
      <w:bookmarkEnd w:id="6"/>
    </w:p>
    <w:p w14:paraId="05FA53C5" w14:textId="77777777" w:rsidR="00505F65" w:rsidRPr="00505F65" w:rsidRDefault="00505F65">
      <w:pPr>
        <w:rPr>
          <w:lang w:eastAsia="zh-CN"/>
        </w:rPr>
      </w:pPr>
      <w:r>
        <w:t>The main evaluation uses CIFAR-10 and five training seeds. No PE provides a genuine no-position control, while learnable absolute PE provides the standard learned reference. Fixed row-column encodings then test different ways to represent the two-dimensional grid without trainable positional parameters. Patch-assignment, hybrid and fusion models are analysed separately because they change more than the core positional vector. CIFAR-100 tests whether the observed ranking is retained on a finer-grained classification problem, and reduced-data CIFAR-10 tests whether the relationship changes when fewer labelled images are available.</w:t>
      </w:r>
    </w:p>
    <w:bookmarkEnd w:id="6"/>
    <w:p w14:paraId="6F6C7086" w14:textId="77777777" w:rsidR="00501731" w:rsidRDefault="00B073C8">
      <w:pPr>
        <w:pStyle w:val="Heading2"/>
      </w:pPr>
      <w:r>
        <w:t>3.2 Datasets and Preprocessing</w:t>
      </w:r>
    </w:p>
    <w:p w14:paraId="2E25BB38" w14:textId="77777777" w:rsidR="00501731" w:rsidRDefault="00B073C8">
      <w:r>
        <w:t>CIFAR-10 is used for the main controlled evaluation because its 32 × 32 images make repeated five-seed ablations practical. CIFAR-100 provides a harder extension while preserving the same image size and patch grid. Both datasets contain RGB images and use the same official structure of 50,000 training images and 10,000 test images [13]. CIFAR-10 has 10 broad classes, whereas CIFAR-100 has 100 finer-grained classes. The shared resolution allows the same ViT architecture to be used, so the second dataset changes classification difficulty without also changing the positional grid.</w:t>
      </w:r>
    </w:p>
    <w:p w14:paraId="788C149A" w14:textId="000A70B6" w:rsidR="00501731" w:rsidRDefault="00B073C8">
      <w:pPr>
        <w:pStyle w:val="Caption"/>
        <w:keepNext/>
        <w:jc w:val="center"/>
      </w:pPr>
      <w:r>
        <w:rPr>
          <w:sz w:val="20"/>
        </w:rPr>
        <w:lastRenderedPageBreak/>
        <w:t xml:space="preserve">Table </w:t>
      </w:r>
      <w:r>
        <w:rPr>
          <w:sz w:val="20"/>
        </w:rPr>
        <w:fldChar w:fldCharType="begin"/>
      </w:r>
      <w:r>
        <w:rPr>
          <w:sz w:val="20"/>
        </w:rPr>
        <w:instrText xml:space="preserve"> SEQ Table \* ARABIC </w:instrText>
      </w:r>
      <w:r>
        <w:rPr>
          <w:sz w:val="20"/>
        </w:rPr>
        <w:fldChar w:fldCharType="separate"/>
      </w:r>
      <w:r w:rsidR="004E69DC">
        <w:rPr>
          <w:noProof/>
          <w:sz w:val="20"/>
        </w:rPr>
        <w:t>1</w:t>
      </w:r>
      <w:r>
        <w:rPr>
          <w:sz w:val="20"/>
        </w:rPr>
        <w:fldChar w:fldCharType="end"/>
      </w:r>
      <w:r>
        <w:rPr>
          <w:sz w:val="20"/>
        </w:rPr>
        <w:t>. Dataset configuration and experimental role.</w:t>
      </w:r>
    </w:p>
    <w:tbl>
      <w:tblPr>
        <w:tblStyle w:val="TableGrid"/>
        <w:tblW w:w="8780" w:type="dxa"/>
        <w:tblInd w:w="120" w:type="dxa"/>
        <w:tblLayout w:type="fixed"/>
        <w:tblLook w:val="04A0" w:firstRow="1" w:lastRow="0" w:firstColumn="1" w:lastColumn="0" w:noHBand="0" w:noVBand="1"/>
      </w:tblPr>
      <w:tblGrid>
        <w:gridCol w:w="1250"/>
        <w:gridCol w:w="1100"/>
        <w:gridCol w:w="1320"/>
        <w:gridCol w:w="2350"/>
        <w:gridCol w:w="2760"/>
      </w:tblGrid>
      <w:tr w:rsidR="00501731" w14:paraId="1E52FDDC" w14:textId="77777777">
        <w:trPr>
          <w:cantSplit/>
          <w:tblHeader/>
        </w:trPr>
        <w:tc>
          <w:tcPr>
            <w:tcW w:w="1250" w:type="dxa"/>
            <w:tcMar>
              <w:top w:w="90" w:type="dxa"/>
              <w:left w:w="120" w:type="dxa"/>
              <w:bottom w:w="90" w:type="dxa"/>
              <w:right w:w="120" w:type="dxa"/>
            </w:tcMar>
            <w:vAlign w:val="center"/>
          </w:tcPr>
          <w:p w14:paraId="30FF602B" w14:textId="77777777" w:rsidR="00501731" w:rsidRDefault="00B073C8">
            <w:pPr>
              <w:keepNext/>
              <w:spacing w:after="0" w:line="240" w:lineRule="auto"/>
              <w:jc w:val="left"/>
            </w:pPr>
            <w:r>
              <w:rPr>
                <w:b/>
                <w:sz w:val="20"/>
              </w:rPr>
              <w:t>Dataset</w:t>
            </w:r>
          </w:p>
        </w:tc>
        <w:tc>
          <w:tcPr>
            <w:tcW w:w="1100" w:type="dxa"/>
            <w:tcMar>
              <w:top w:w="90" w:type="dxa"/>
              <w:left w:w="120" w:type="dxa"/>
              <w:bottom w:w="90" w:type="dxa"/>
              <w:right w:w="120" w:type="dxa"/>
            </w:tcMar>
            <w:vAlign w:val="center"/>
          </w:tcPr>
          <w:p w14:paraId="50190DCA" w14:textId="77777777" w:rsidR="00501731" w:rsidRDefault="00B073C8">
            <w:pPr>
              <w:keepNext/>
              <w:spacing w:after="0" w:line="240" w:lineRule="auto"/>
              <w:jc w:val="center"/>
            </w:pPr>
            <w:r>
              <w:rPr>
                <w:b/>
                <w:sz w:val="20"/>
              </w:rPr>
              <w:t>Classes</w:t>
            </w:r>
          </w:p>
        </w:tc>
        <w:tc>
          <w:tcPr>
            <w:tcW w:w="1320" w:type="dxa"/>
            <w:tcMar>
              <w:top w:w="90" w:type="dxa"/>
              <w:left w:w="120" w:type="dxa"/>
              <w:bottom w:w="90" w:type="dxa"/>
              <w:right w:w="120" w:type="dxa"/>
            </w:tcMar>
            <w:vAlign w:val="center"/>
          </w:tcPr>
          <w:p w14:paraId="6C32D2C0" w14:textId="77777777" w:rsidR="00501731" w:rsidRDefault="00B073C8">
            <w:pPr>
              <w:keepNext/>
              <w:spacing w:after="0" w:line="240" w:lineRule="auto"/>
              <w:jc w:val="center"/>
            </w:pPr>
            <w:r>
              <w:rPr>
                <w:b/>
                <w:sz w:val="20"/>
              </w:rPr>
              <w:t>Image size</w:t>
            </w:r>
          </w:p>
        </w:tc>
        <w:tc>
          <w:tcPr>
            <w:tcW w:w="2350" w:type="dxa"/>
            <w:tcMar>
              <w:top w:w="90" w:type="dxa"/>
              <w:left w:w="120" w:type="dxa"/>
              <w:bottom w:w="90" w:type="dxa"/>
              <w:right w:w="120" w:type="dxa"/>
            </w:tcMar>
            <w:vAlign w:val="center"/>
          </w:tcPr>
          <w:p w14:paraId="74CBFDD1" w14:textId="77777777" w:rsidR="00501731" w:rsidRDefault="00B073C8">
            <w:pPr>
              <w:keepNext/>
              <w:spacing w:after="0" w:line="240" w:lineRule="auto"/>
              <w:jc w:val="center"/>
            </w:pPr>
            <w:r>
              <w:rPr>
                <w:b/>
                <w:sz w:val="20"/>
              </w:rPr>
              <w:t>Train / validation / test</w:t>
            </w:r>
          </w:p>
        </w:tc>
        <w:tc>
          <w:tcPr>
            <w:tcW w:w="2760" w:type="dxa"/>
            <w:tcMar>
              <w:top w:w="90" w:type="dxa"/>
              <w:left w:w="120" w:type="dxa"/>
              <w:bottom w:w="90" w:type="dxa"/>
              <w:right w:w="120" w:type="dxa"/>
            </w:tcMar>
            <w:vAlign w:val="center"/>
          </w:tcPr>
          <w:p w14:paraId="50D534AF" w14:textId="77777777" w:rsidR="00501731" w:rsidRDefault="00B073C8">
            <w:pPr>
              <w:keepNext/>
              <w:spacing w:after="0" w:line="240" w:lineRule="auto"/>
              <w:jc w:val="left"/>
            </w:pPr>
            <w:r>
              <w:rPr>
                <w:b/>
                <w:sz w:val="20"/>
              </w:rPr>
              <w:t>Role in this study</w:t>
            </w:r>
          </w:p>
        </w:tc>
      </w:tr>
      <w:tr w:rsidR="00501731" w14:paraId="694A2F15" w14:textId="77777777">
        <w:trPr>
          <w:cantSplit/>
        </w:trPr>
        <w:tc>
          <w:tcPr>
            <w:tcW w:w="1250" w:type="dxa"/>
            <w:tcMar>
              <w:top w:w="90" w:type="dxa"/>
              <w:left w:w="120" w:type="dxa"/>
              <w:bottom w:w="90" w:type="dxa"/>
              <w:right w:w="120" w:type="dxa"/>
            </w:tcMar>
            <w:vAlign w:val="center"/>
          </w:tcPr>
          <w:p w14:paraId="70E1A40E" w14:textId="77777777" w:rsidR="00501731" w:rsidRDefault="00B073C8">
            <w:pPr>
              <w:keepNext/>
              <w:spacing w:after="0" w:line="240" w:lineRule="auto"/>
              <w:jc w:val="left"/>
            </w:pPr>
            <w:r>
              <w:rPr>
                <w:sz w:val="20"/>
              </w:rPr>
              <w:t>CIFAR-10</w:t>
            </w:r>
          </w:p>
        </w:tc>
        <w:tc>
          <w:tcPr>
            <w:tcW w:w="1100" w:type="dxa"/>
            <w:tcMar>
              <w:top w:w="90" w:type="dxa"/>
              <w:left w:w="120" w:type="dxa"/>
              <w:bottom w:w="90" w:type="dxa"/>
              <w:right w:w="120" w:type="dxa"/>
            </w:tcMar>
            <w:vAlign w:val="center"/>
          </w:tcPr>
          <w:p w14:paraId="1B5FA3B3" w14:textId="77777777" w:rsidR="00501731" w:rsidRDefault="00B073C8">
            <w:pPr>
              <w:keepNext/>
              <w:spacing w:after="0" w:line="240" w:lineRule="auto"/>
              <w:jc w:val="center"/>
            </w:pPr>
            <w:r>
              <w:rPr>
                <w:sz w:val="20"/>
              </w:rPr>
              <w:t>10</w:t>
            </w:r>
          </w:p>
        </w:tc>
        <w:tc>
          <w:tcPr>
            <w:tcW w:w="1320" w:type="dxa"/>
            <w:tcMar>
              <w:top w:w="90" w:type="dxa"/>
              <w:left w:w="120" w:type="dxa"/>
              <w:bottom w:w="90" w:type="dxa"/>
              <w:right w:w="120" w:type="dxa"/>
            </w:tcMar>
            <w:vAlign w:val="center"/>
          </w:tcPr>
          <w:p w14:paraId="3F17D22F" w14:textId="77777777" w:rsidR="00501731" w:rsidRDefault="00B073C8">
            <w:pPr>
              <w:keepNext/>
              <w:spacing w:after="0" w:line="240" w:lineRule="auto"/>
              <w:jc w:val="center"/>
            </w:pPr>
            <w:r>
              <w:rPr>
                <w:sz w:val="20"/>
              </w:rPr>
              <w:t>32 × 32 RGB</w:t>
            </w:r>
          </w:p>
        </w:tc>
        <w:tc>
          <w:tcPr>
            <w:tcW w:w="2350" w:type="dxa"/>
            <w:tcMar>
              <w:top w:w="90" w:type="dxa"/>
              <w:left w:w="120" w:type="dxa"/>
              <w:bottom w:w="90" w:type="dxa"/>
              <w:right w:w="120" w:type="dxa"/>
            </w:tcMar>
            <w:vAlign w:val="center"/>
          </w:tcPr>
          <w:p w14:paraId="0FE72BD8" w14:textId="77777777" w:rsidR="00501731" w:rsidRDefault="00B073C8">
            <w:pPr>
              <w:keepNext/>
              <w:spacing w:after="0" w:line="240" w:lineRule="auto"/>
              <w:jc w:val="center"/>
            </w:pPr>
            <w:r>
              <w:rPr>
                <w:sz w:val="20"/>
              </w:rPr>
              <w:t>45,000 / 5,000 / 10,000</w:t>
            </w:r>
          </w:p>
        </w:tc>
        <w:tc>
          <w:tcPr>
            <w:tcW w:w="2760" w:type="dxa"/>
            <w:tcMar>
              <w:top w:w="90" w:type="dxa"/>
              <w:left w:w="120" w:type="dxa"/>
              <w:bottom w:w="90" w:type="dxa"/>
              <w:right w:w="120" w:type="dxa"/>
            </w:tcMar>
            <w:vAlign w:val="center"/>
          </w:tcPr>
          <w:p w14:paraId="3289BDFC" w14:textId="77777777" w:rsidR="00501731" w:rsidRDefault="00B073C8">
            <w:pPr>
              <w:keepNext/>
              <w:spacing w:after="0" w:line="240" w:lineRule="auto"/>
              <w:jc w:val="left"/>
            </w:pPr>
            <w:r>
              <w:rPr>
                <w:sz w:val="20"/>
              </w:rPr>
              <w:t>Main controlled PE comparison</w:t>
            </w:r>
          </w:p>
        </w:tc>
      </w:tr>
      <w:tr w:rsidR="00501731" w14:paraId="3C7DE7E1" w14:textId="77777777">
        <w:trPr>
          <w:cantSplit/>
        </w:trPr>
        <w:tc>
          <w:tcPr>
            <w:tcW w:w="1250" w:type="dxa"/>
            <w:tcMar>
              <w:top w:w="90" w:type="dxa"/>
              <w:left w:w="120" w:type="dxa"/>
              <w:bottom w:w="90" w:type="dxa"/>
              <w:right w:w="120" w:type="dxa"/>
            </w:tcMar>
            <w:vAlign w:val="center"/>
          </w:tcPr>
          <w:p w14:paraId="5DFD1DDB" w14:textId="77777777" w:rsidR="00501731" w:rsidRDefault="00B073C8">
            <w:pPr>
              <w:spacing w:after="0" w:line="240" w:lineRule="auto"/>
              <w:jc w:val="left"/>
            </w:pPr>
            <w:r>
              <w:rPr>
                <w:sz w:val="20"/>
              </w:rPr>
              <w:t>CIFAR-100</w:t>
            </w:r>
          </w:p>
        </w:tc>
        <w:tc>
          <w:tcPr>
            <w:tcW w:w="1100" w:type="dxa"/>
            <w:tcMar>
              <w:top w:w="90" w:type="dxa"/>
              <w:left w:w="120" w:type="dxa"/>
              <w:bottom w:w="90" w:type="dxa"/>
              <w:right w:w="120" w:type="dxa"/>
            </w:tcMar>
            <w:vAlign w:val="center"/>
          </w:tcPr>
          <w:p w14:paraId="526F439B" w14:textId="77777777" w:rsidR="00501731" w:rsidRDefault="00B073C8">
            <w:pPr>
              <w:spacing w:after="0" w:line="240" w:lineRule="auto"/>
              <w:jc w:val="center"/>
            </w:pPr>
            <w:r>
              <w:rPr>
                <w:sz w:val="20"/>
              </w:rPr>
              <w:t>100</w:t>
            </w:r>
          </w:p>
        </w:tc>
        <w:tc>
          <w:tcPr>
            <w:tcW w:w="1320" w:type="dxa"/>
            <w:tcMar>
              <w:top w:w="90" w:type="dxa"/>
              <w:left w:w="120" w:type="dxa"/>
              <w:bottom w:w="90" w:type="dxa"/>
              <w:right w:w="120" w:type="dxa"/>
            </w:tcMar>
            <w:vAlign w:val="center"/>
          </w:tcPr>
          <w:p w14:paraId="1181847A" w14:textId="77777777" w:rsidR="00501731" w:rsidRDefault="00B073C8">
            <w:pPr>
              <w:spacing w:after="0" w:line="240" w:lineRule="auto"/>
              <w:jc w:val="center"/>
            </w:pPr>
            <w:r>
              <w:rPr>
                <w:sz w:val="20"/>
              </w:rPr>
              <w:t>32 × 32 RGB</w:t>
            </w:r>
          </w:p>
        </w:tc>
        <w:tc>
          <w:tcPr>
            <w:tcW w:w="2350" w:type="dxa"/>
            <w:tcMar>
              <w:top w:w="90" w:type="dxa"/>
              <w:left w:w="120" w:type="dxa"/>
              <w:bottom w:w="90" w:type="dxa"/>
              <w:right w:w="120" w:type="dxa"/>
            </w:tcMar>
            <w:vAlign w:val="center"/>
          </w:tcPr>
          <w:p w14:paraId="30C3F6C4" w14:textId="77777777" w:rsidR="00501731" w:rsidRDefault="00B073C8">
            <w:pPr>
              <w:spacing w:after="0" w:line="240" w:lineRule="auto"/>
              <w:jc w:val="center"/>
            </w:pPr>
            <w:r>
              <w:rPr>
                <w:sz w:val="20"/>
              </w:rPr>
              <w:t>45,000 / 5,000 / 10,000</w:t>
            </w:r>
          </w:p>
        </w:tc>
        <w:tc>
          <w:tcPr>
            <w:tcW w:w="2760" w:type="dxa"/>
            <w:tcMar>
              <w:top w:w="90" w:type="dxa"/>
              <w:left w:w="120" w:type="dxa"/>
              <w:bottom w:w="90" w:type="dxa"/>
              <w:right w:w="120" w:type="dxa"/>
            </w:tcMar>
            <w:vAlign w:val="center"/>
          </w:tcPr>
          <w:p w14:paraId="68DE8AC0" w14:textId="77777777" w:rsidR="00501731" w:rsidRDefault="00B073C8">
            <w:pPr>
              <w:spacing w:after="0" w:line="240" w:lineRule="auto"/>
              <w:jc w:val="left"/>
            </w:pPr>
            <w:r>
              <w:rPr>
                <w:sz w:val="20"/>
              </w:rPr>
              <w:t>Evaluation under a more complex classification task</w:t>
            </w:r>
          </w:p>
        </w:tc>
      </w:tr>
    </w:tbl>
    <w:p w14:paraId="45356D71" w14:textId="77777777" w:rsidR="00501731" w:rsidRDefault="00B073C8">
      <w:r>
        <w:t xml:space="preserve">For both datasets, a fixed random permutation with split seed 42 divides the official 50,000-image training set into 45,000 training images and 5,000 validation images; the official 10,000-image test set remains separate. Training images receive two simple augmentations: a random 32 × 32 crop after four-pixel padding and a random horizontal flip. Validation and test images are not augmented. Each colour channel is then normalised as </w:t>
      </w:r>
      <m:oMath>
        <m:sSup>
          <m:e>
            <m:r>
              <m:t>x</m:t>
              <w:rPr>
                <w:rFonts w:ascii="Cambria Math" w:hAnsi="Cambria Math"/>
                <w:sz w:val="21"/>
                <w:szCs w:val="21"/>
              </w:rPr>
            </m:r>
          </m:e>
          <m:sup>
            <m:r>
              <m:t>′</m:t>
              <w:rPr>
                <w:rFonts w:ascii="Cambria Math" w:hAnsi="Cambria Math"/>
                <w:sz w:val="21"/>
                <w:szCs w:val="21"/>
              </w:rPr>
            </m:r>
          </m:sup>
        </m:sSup>
        <m:r>
          <m:t>=</m:t>
          <w:rPr>
            <w:rFonts w:ascii="Cambria Math" w:hAnsi="Cambria Math"/>
            <w:sz w:val="21"/>
            <w:szCs w:val="21"/>
          </w:rPr>
        </m:r>
        <m:f>
          <m:fPr>
            <m:type m:val="bar"/>
          </m:fPr>
          <m:num>
            <m:r>
              <m:t>x−μ</m:t>
              <w:rPr>
                <w:rFonts w:ascii="Cambria Math" w:hAnsi="Cambria Math"/>
                <w:sz w:val="21"/>
                <w:szCs w:val="21"/>
              </w:rPr>
            </m:r>
          </m:num>
          <m:den>
            <m:r>
              <m:t>σ</m:t>
              <w:rPr>
                <w:rFonts w:ascii="Cambria Math" w:hAnsi="Cambria Math"/>
                <w:sz w:val="21"/>
                <w:szCs w:val="21"/>
              </w:rPr>
            </m:r>
          </m:den>
        </m:f>
      </m:oMath>
      <w:r>
        <w:t xml:space="preserve">, where </w:t>
      </w:r>
      <m:oMath>
        <m:r>
          <m:t>x</m:t>
          <w:rPr>
            <w:rFonts w:ascii="Cambria Math" w:hAnsi="Cambria Math"/>
            <w:sz w:val="21"/>
            <w:szCs w:val="21"/>
          </w:rPr>
        </m:r>
      </m:oMath>
      <w:r>
        <w:t xml:space="preserve"> is the original channel value and </w:t>
      </w:r>
      <m:oMath>
        <m:r>
          <m:t>μ</m:t>
          <w:rPr>
            <w:rFonts w:ascii="Cambria Math" w:hAnsi="Cambria Math"/>
            <w:sz w:val="21"/>
            <w:szCs w:val="21"/>
          </w:rPr>
        </m:r>
      </m:oMath>
      <w:r>
        <w:t xml:space="preserve"> and </w:t>
      </w:r>
      <m:oMath>
        <m:r>
          <m:t>σ</m:t>
          <w:rPr>
            <w:rFonts w:ascii="Cambria Math" w:hAnsi="Cambria Math"/>
            <w:sz w:val="21"/>
            <w:szCs w:val="21"/>
          </w:rPr>
        </m:r>
      </m:oMath>
      <w:r>
        <w:t xml:space="preserve"> are the dataset-specific channel mean and standard deviation. CIFAR-10 uses </w:t>
      </w:r>
      <m:oMath>
        <m:r>
          <m:t>μ=(0.4914,</m:t>
          <w:rPr>
            <w:rFonts w:ascii="Cambria Math" w:hAnsi="Cambria Math"/>
            <w:sz w:val="21"/>
            <w:szCs w:val="21"/>
          </w:rPr>
        </m:r>
        <m:r>
          <m:t>0.4822,</m:t>
          <w:rPr>
            <w:rFonts w:ascii="Cambria Math" w:hAnsi="Cambria Math"/>
            <w:sz w:val="21"/>
            <w:szCs w:val="21"/>
          </w:rPr>
        </m:r>
        <m:r>
          <m:t>0.4465)</m:t>
          <w:rPr>
            <w:rFonts w:ascii="Cambria Math" w:hAnsi="Cambria Math"/>
            <w:sz w:val="21"/>
            <w:szCs w:val="21"/>
          </w:rPr>
        </m:r>
      </m:oMath>
      <w:r>
        <w:t xml:space="preserve"> and </w:t>
      </w:r>
      <m:oMath>
        <m:r>
          <m:t>σ=(0.2470,</m:t>
          <w:rPr>
            <w:rFonts w:ascii="Cambria Math" w:hAnsi="Cambria Math"/>
            <w:sz w:val="21"/>
            <w:szCs w:val="21"/>
          </w:rPr>
        </m:r>
        <m:r>
          <m:t>0.2435,</m:t>
          <w:rPr>
            <w:rFonts w:ascii="Cambria Math" w:hAnsi="Cambria Math"/>
            <w:sz w:val="21"/>
            <w:szCs w:val="21"/>
          </w:rPr>
        </m:r>
        <m:r>
          <m:t>0.2616)</m:t>
          <w:rPr>
            <w:rFonts w:ascii="Cambria Math" w:hAnsi="Cambria Math"/>
            <w:sz w:val="21"/>
            <w:szCs w:val="21"/>
          </w:rPr>
        </m:r>
      </m:oMath>
      <w:r>
        <w:t xml:space="preserve">; CIFAR-100 uses </w:t>
      </w:r>
      <m:oMath>
        <m:r>
          <m:t>μ=(0.5071,</m:t>
          <w:rPr>
            <w:rFonts w:ascii="Cambria Math" w:hAnsi="Cambria Math"/>
            <w:sz w:val="21"/>
            <w:szCs w:val="21"/>
          </w:rPr>
        </m:r>
        <m:r>
          <m:t>0.4867,</m:t>
          <w:rPr>
            <w:rFonts w:ascii="Cambria Math" w:hAnsi="Cambria Math"/>
            <w:sz w:val="21"/>
            <w:szCs w:val="21"/>
          </w:rPr>
        </m:r>
        <m:r>
          <m:t>0.4408)</m:t>
          <w:rPr>
            <w:rFonts w:ascii="Cambria Math" w:hAnsi="Cambria Math"/>
            <w:sz w:val="21"/>
            <w:szCs w:val="21"/>
          </w:rPr>
        </m:r>
      </m:oMath>
      <w:r>
        <w:t xml:space="preserve"> and </w:t>
      </w:r>
      <m:oMath>
        <m:r>
          <m:t>σ=(0.2675,</m:t>
          <w:rPr>
            <w:rFonts w:ascii="Cambria Math" w:hAnsi="Cambria Math"/>
            <w:sz w:val="21"/>
            <w:szCs w:val="21"/>
          </w:rPr>
        </m:r>
        <m:r>
          <m:t>0.2565,</m:t>
          <w:rPr>
            <w:rFonts w:ascii="Cambria Math" w:hAnsi="Cambria Math"/>
            <w:sz w:val="21"/>
            <w:szCs w:val="21"/>
          </w:rPr>
        </m:r>
        <m:r>
          <m:t>0.2761)</m:t>
          <w:rPr>
            <w:rFonts w:ascii="Cambria Math" w:hAnsi="Cambria Math"/>
            <w:sz w:val="21"/>
            <w:szCs w:val="21"/>
          </w:rPr>
        </m:r>
      </m:oMath>
      <w:r>
        <w:t>.</w:t>
      </w:r>
    </w:p>
    <w:p w14:paraId="2DB46590" w14:textId="77777777" w:rsidR="00501731" w:rsidRDefault="00B073C8">
      <w:r>
        <w:t>The reduced-data study draws subsets of 1,000, 5,000 and 10,000 images from the fixed 45,000-image CIFAR-10 training pool. It compares learnable absolute PE with shifted multiplicative PE using the common learning rate in Section 3.7; validation and test sets do not change. Within a seed, both models receive exactly the same subset, which makes their difference a paired comparison rather than a comparison of two different samples. The subset itself changes across seeds, so the reported variation includes both parameter initialisation and which training images were selected.</w:t>
      </w:r>
    </w:p>
    <w:p w14:paraId="7CA91329" w14:textId="77777777" w:rsidR="00501731" w:rsidRDefault="00B073C8">
      <w:pPr>
        <w:pStyle w:val="Heading2"/>
      </w:pPr>
      <w:r>
        <w:t>3.3 Shared Vision Transformer Architecture</w:t>
      </w:r>
    </w:p>
    <w:p w14:paraId="7D510187" w14:textId="77777777" w:rsidR="00501731" w:rsidRDefault="00B073C8">
      <w:bookmarkStart w:id="7" w:name="OLE_LINK3"/>
      <w:r>
        <w:t>All single-branch models use the same small Vision Transformer architecture [1]. A 4 × 4 convolution with stride 4 divides each 32 × 32 RGB image into an 8 × 8 grid, producing 64 patch tokens. A learnable classification token is placed at the start of this sequence. The encoder therefore receives 65 tokens, each represented by 128 numbers.</w:t>
      </w:r>
      <w:bookmarkEnd w:id="7"/>
    </w:p>
    <w:bookmarkEnd w:id="7"/>
    <w:p w14:paraId="27B49F24" w14:textId="77777777" w:rsidR="0065681E" w:rsidRDefault="0065681E">
      <w:pPr>
        <w:rPr>
          <w:lang w:eastAsia="zh-CN"/>
        </w:rPr>
      </w:pPr>
      <w:r>
        <w:t xml:space="preserve">The encoder contains four pre-normalisation Transformer blocks. Pre-normalisation means that layer normalisation is applied before the attention or MLP sublayer. If </w:t>
      </w:r>
      <m:oMath>
        <m:r>
          <m:t>x</m:t>
          <w:rPr>
            <w:rFonts w:ascii="Cambria Math" w:hAnsi="Cambria Math"/>
            <w:sz w:val="21"/>
            <w:szCs w:val="21"/>
          </w:rPr>
        </m:r>
      </m:oMath>
      <w:r>
        <w:t xml:space="preserve"> is a block input, the two residual updates are </w:t>
      </w:r>
      <m:oMath>
        <m:sSup>
          <m:e>
            <m:r>
              <m:t>x</m:t>
              <w:rPr>
                <w:rFonts w:ascii="Cambria Math" w:hAnsi="Cambria Math"/>
                <w:sz w:val="21"/>
                <w:szCs w:val="21"/>
              </w:rPr>
            </m:r>
          </m:e>
          <m:sup>
            <m:r>
              <m:t>′</m:t>
              <w:rPr>
                <w:rFonts w:ascii="Cambria Math" w:hAnsi="Cambria Math"/>
                <w:sz w:val="21"/>
                <w:szCs w:val="21"/>
              </w:rPr>
            </m:r>
          </m:sup>
        </m:sSup>
        <m:r>
          <m:t>=x+</m:t>
          <w:rPr>
            <w:rFonts w:ascii="Cambria Math" w:hAnsi="Cambria Math"/>
            <w:sz w:val="21"/>
            <w:szCs w:val="21"/>
          </w:rPr>
        </m:r>
        <m:r>
          <m:rPr>
            <m:nor/>
          </m:rPr>
          <m:t>MSA</m:t>
          <w:rPr>
            <w:rFonts w:ascii="Cambria Math" w:hAnsi="Cambria Math"/>
            <w:sz w:val="21"/>
            <w:szCs w:val="21"/>
          </w:rPr>
        </m:r>
        <m:r>
          <m:t>(</m:t>
          <w:rPr>
            <w:rFonts w:ascii="Cambria Math" w:hAnsi="Cambria Math"/>
            <w:sz w:val="21"/>
            <w:szCs w:val="21"/>
          </w:rPr>
        </m:r>
        <m:r>
          <m:rPr>
            <m:nor/>
          </m:rPr>
          <m:t>LN</m:t>
          <w:rPr>
            <w:rFonts w:ascii="Cambria Math" w:hAnsi="Cambria Math"/>
            <w:sz w:val="21"/>
            <w:szCs w:val="21"/>
          </w:rPr>
        </m:r>
        <m:r>
          <m:t>(x))</m:t>
          <w:rPr>
            <w:rFonts w:ascii="Cambria Math" w:hAnsi="Cambria Math"/>
            <w:sz w:val="21"/>
            <w:szCs w:val="21"/>
          </w:rPr>
        </m:r>
      </m:oMath>
      <w:r>
        <w:t xml:space="preserve"> and </w:t>
      </w:r>
      <m:oMath>
        <m:sSup>
          <m:e>
            <m:r>
              <m:t>x</m:t>
              <w:rPr>
                <w:rFonts w:ascii="Cambria Math" w:hAnsi="Cambria Math"/>
                <w:sz w:val="21"/>
                <w:szCs w:val="21"/>
              </w:rPr>
            </m:r>
          </m:e>
          <m:sup>
            <m:r>
              <m:t>″</m:t>
              <w:rPr>
                <w:rFonts w:ascii="Cambria Math" w:hAnsi="Cambria Math"/>
                <w:sz w:val="21"/>
                <w:szCs w:val="21"/>
              </w:rPr>
            </m:r>
          </m:sup>
        </m:sSup>
        <m:r>
          <m:t>=</m:t>
          <w:rPr>
            <w:rFonts w:ascii="Cambria Math" w:hAnsi="Cambria Math"/>
            <w:sz w:val="21"/>
            <w:szCs w:val="21"/>
          </w:rPr>
        </m:r>
        <m:sSup>
          <m:e>
            <m:r>
              <m:t>x</m:t>
              <w:rPr>
                <w:rFonts w:ascii="Cambria Math" w:hAnsi="Cambria Math"/>
                <w:sz w:val="21"/>
                <w:szCs w:val="21"/>
              </w:rPr>
            </m:r>
          </m:e>
          <m:sup>
            <m:r>
              <m:t>′</m:t>
              <w:rPr>
                <w:rFonts w:ascii="Cambria Math" w:hAnsi="Cambria Math"/>
                <w:sz w:val="21"/>
                <w:szCs w:val="21"/>
              </w:rPr>
            </m:r>
          </m:sup>
        </m:sSup>
        <m:r>
          <m:t>+</m:t>
          <w:rPr>
            <w:rFonts w:ascii="Cambria Math" w:hAnsi="Cambria Math"/>
            <w:sz w:val="21"/>
            <w:szCs w:val="21"/>
          </w:rPr>
        </m:r>
        <m:r>
          <m:rPr>
            <m:nor/>
          </m:rPr>
          <m:t>MLP</m:t>
          <w:rPr>
            <w:rFonts w:ascii="Cambria Math" w:hAnsi="Cambria Math"/>
            <w:sz w:val="21"/>
            <w:szCs w:val="21"/>
          </w:rPr>
        </m:r>
        <m:r>
          <m:t>(</m:t>
          <w:rPr>
            <w:rFonts w:ascii="Cambria Math" w:hAnsi="Cambria Math"/>
            <w:sz w:val="21"/>
            <w:szCs w:val="21"/>
          </w:rPr>
        </m:r>
        <m:r>
          <m:rPr>
            <m:nor/>
          </m:rPr>
          <m:t>LN</m:t>
          <w:rPr>
            <w:rFonts w:ascii="Cambria Math" w:hAnsi="Cambria Math"/>
            <w:sz w:val="21"/>
            <w:szCs w:val="21"/>
          </w:rPr>
        </m:r>
        <m:r>
          <m:t>(</m:t>
          <w:rPr>
            <w:rFonts w:ascii="Cambria Math" w:hAnsi="Cambria Math"/>
            <w:sz w:val="21"/>
            <w:szCs w:val="21"/>
          </w:rPr>
        </m:r>
        <m:sSup>
          <m:e>
            <m:r>
              <m:t>x</m:t>
              <w:rPr>
                <w:rFonts w:ascii="Cambria Math" w:hAnsi="Cambria Math"/>
                <w:sz w:val="21"/>
                <w:szCs w:val="21"/>
              </w:rPr>
            </m:r>
          </m:e>
          <m:sup>
            <m:r>
              <m:t>′</m:t>
              <w:rPr>
                <w:rFonts w:ascii="Cambria Math" w:hAnsi="Cambria Math"/>
                <w:sz w:val="21"/>
                <w:szCs w:val="21"/>
              </w:rPr>
            </m:r>
          </m:sup>
        </m:sSup>
        <m:r>
          <m:t>))</m:t>
          <w:rPr>
            <w:rFonts w:ascii="Cambria Math" w:hAnsi="Cambria Math"/>
            <w:sz w:val="21"/>
            <w:szCs w:val="21"/>
          </w:rPr>
        </m:r>
      </m:oMath>
      <w:r>
        <w:t>. Here, MSA denotes multi-head self-attention and LN denotes layer normalisation. Each attention module has four heads. The MLP expands the 128-component representation to 512 components, applies GELU, and projects it back to 128. A final layer normalisation precedes the linear classifier. Dropout is zero in the formal CIFAR-10 runs. On CIFAR-10, no-PE and fixed-PE single-branch models contain 801,034 trainable parameters; adding the learnable positional table raises the total to 809,354.</w:t>
      </w:r>
    </w:p>
    <w:p w14:paraId="5749EEBC" w14:textId="55FB3738" w:rsidR="00501731" w:rsidRDefault="00B073C8">
      <w:pPr>
        <w:pStyle w:val="Caption"/>
        <w:keepNext/>
        <w:jc w:val="center"/>
      </w:pPr>
      <w:r>
        <w:rPr>
          <w:sz w:val="20"/>
        </w:rPr>
        <w:lastRenderedPageBreak/>
        <w:t xml:space="preserve">Table </w:t>
      </w:r>
      <w:r>
        <w:rPr>
          <w:sz w:val="20"/>
        </w:rPr>
        <w:fldChar w:fldCharType="begin"/>
      </w:r>
      <w:r>
        <w:rPr>
          <w:sz w:val="20"/>
        </w:rPr>
        <w:instrText xml:space="preserve"> SEQ Table \* ARABIC </w:instrText>
      </w:r>
      <w:r>
        <w:rPr>
          <w:sz w:val="20"/>
        </w:rPr>
        <w:fldChar w:fldCharType="separate"/>
      </w:r>
      <w:r w:rsidR="004E69DC">
        <w:rPr>
          <w:noProof/>
          <w:sz w:val="20"/>
        </w:rPr>
        <w:t>2</w:t>
      </w:r>
      <w:r>
        <w:rPr>
          <w:sz w:val="20"/>
        </w:rPr>
        <w:fldChar w:fldCharType="end"/>
      </w:r>
      <w:r>
        <w:rPr>
          <w:sz w:val="20"/>
        </w:rPr>
        <w:t>. Shared ViT configuration.</w:t>
      </w:r>
    </w:p>
    <w:tbl>
      <w:tblPr>
        <w:tblStyle w:val="TableGrid"/>
        <w:tblW w:w="8740" w:type="dxa"/>
        <w:tblInd w:w="120" w:type="dxa"/>
        <w:tblLayout w:type="fixed"/>
        <w:tblLook w:val="04A0" w:firstRow="1" w:lastRow="0" w:firstColumn="1" w:lastColumn="0" w:noHBand="0" w:noVBand="1"/>
      </w:tblPr>
      <w:tblGrid>
        <w:gridCol w:w="2450"/>
        <w:gridCol w:w="6290"/>
      </w:tblGrid>
      <w:tr w:rsidR="00501731" w14:paraId="287FA949" w14:textId="77777777">
        <w:trPr>
          <w:cantSplit/>
          <w:tblHeader/>
        </w:trPr>
        <w:tc>
          <w:tcPr>
            <w:tcW w:w="2450" w:type="dxa"/>
            <w:tcMar>
              <w:top w:w="80" w:type="dxa"/>
              <w:left w:w="100" w:type="dxa"/>
              <w:bottom w:w="80" w:type="dxa"/>
              <w:right w:w="100" w:type="dxa"/>
            </w:tcMar>
            <w:vAlign w:val="center"/>
          </w:tcPr>
          <w:p w14:paraId="4A588726" w14:textId="77777777" w:rsidR="00501731" w:rsidRDefault="00B073C8">
            <w:pPr>
              <w:spacing w:after="0"/>
              <w:jc w:val="left"/>
            </w:pPr>
            <w:r>
              <w:rPr>
                <w:b/>
                <w:sz w:val="19"/>
              </w:rPr>
              <w:t>Component</w:t>
            </w:r>
          </w:p>
        </w:tc>
        <w:tc>
          <w:tcPr>
            <w:tcW w:w="6290" w:type="dxa"/>
            <w:tcMar>
              <w:top w:w="80" w:type="dxa"/>
              <w:left w:w="100" w:type="dxa"/>
              <w:bottom w:w="80" w:type="dxa"/>
              <w:right w:w="100" w:type="dxa"/>
            </w:tcMar>
            <w:vAlign w:val="center"/>
          </w:tcPr>
          <w:p w14:paraId="4145A960" w14:textId="77777777" w:rsidR="00501731" w:rsidRDefault="00B073C8">
            <w:pPr>
              <w:spacing w:after="0"/>
              <w:jc w:val="left"/>
            </w:pPr>
            <w:r>
              <w:rPr>
                <w:b/>
                <w:sz w:val="19"/>
              </w:rPr>
              <w:t>Configuration</w:t>
            </w:r>
          </w:p>
        </w:tc>
      </w:tr>
      <w:tr w:rsidR="00501731" w14:paraId="01F300A8" w14:textId="77777777">
        <w:trPr>
          <w:cantSplit/>
        </w:trPr>
        <w:tc>
          <w:tcPr>
            <w:tcW w:w="2450" w:type="dxa"/>
            <w:tcMar>
              <w:top w:w="80" w:type="dxa"/>
              <w:left w:w="100" w:type="dxa"/>
              <w:bottom w:w="80" w:type="dxa"/>
              <w:right w:w="100" w:type="dxa"/>
            </w:tcMar>
            <w:vAlign w:val="center"/>
          </w:tcPr>
          <w:p w14:paraId="448E0E17" w14:textId="77777777" w:rsidR="00501731" w:rsidRDefault="00B073C8">
            <w:pPr>
              <w:spacing w:after="0"/>
              <w:jc w:val="left"/>
            </w:pPr>
            <w:r>
              <w:rPr>
                <w:sz w:val="19"/>
              </w:rPr>
              <w:t>Input</w:t>
            </w:r>
          </w:p>
        </w:tc>
        <w:tc>
          <w:tcPr>
            <w:tcW w:w="6290" w:type="dxa"/>
            <w:tcMar>
              <w:top w:w="80" w:type="dxa"/>
              <w:left w:w="100" w:type="dxa"/>
              <w:bottom w:w="80" w:type="dxa"/>
              <w:right w:w="100" w:type="dxa"/>
            </w:tcMar>
            <w:vAlign w:val="center"/>
          </w:tcPr>
          <w:p w14:paraId="18BF6784" w14:textId="77777777" w:rsidR="00501731" w:rsidRDefault="00B073C8">
            <w:pPr>
              <w:spacing w:after="0"/>
              <w:jc w:val="left"/>
            </w:pPr>
            <w:r>
              <w:rPr>
                <w:sz w:val="19"/>
              </w:rPr>
              <w:t>32 × 32 RGB image</w:t>
            </w:r>
          </w:p>
        </w:tc>
      </w:tr>
      <w:tr w:rsidR="00501731" w14:paraId="3AF169B8" w14:textId="77777777">
        <w:trPr>
          <w:cantSplit/>
        </w:trPr>
        <w:tc>
          <w:tcPr>
            <w:tcW w:w="2450" w:type="dxa"/>
            <w:tcMar>
              <w:top w:w="80" w:type="dxa"/>
              <w:left w:w="100" w:type="dxa"/>
              <w:bottom w:w="80" w:type="dxa"/>
              <w:right w:w="100" w:type="dxa"/>
            </w:tcMar>
            <w:vAlign w:val="center"/>
          </w:tcPr>
          <w:p w14:paraId="626CEE5E" w14:textId="77777777" w:rsidR="00501731" w:rsidRDefault="00B073C8">
            <w:pPr>
              <w:spacing w:after="0"/>
              <w:jc w:val="left"/>
            </w:pPr>
            <w:r>
              <w:rPr>
                <w:sz w:val="19"/>
              </w:rPr>
              <w:t>Patch projection</w:t>
            </w:r>
          </w:p>
        </w:tc>
        <w:tc>
          <w:tcPr>
            <w:tcW w:w="6290" w:type="dxa"/>
            <w:tcMar>
              <w:top w:w="80" w:type="dxa"/>
              <w:left w:w="100" w:type="dxa"/>
              <w:bottom w:w="80" w:type="dxa"/>
              <w:right w:w="100" w:type="dxa"/>
            </w:tcMar>
            <w:vAlign w:val="center"/>
          </w:tcPr>
          <w:p w14:paraId="080174FB" w14:textId="77777777" w:rsidR="00501731" w:rsidRDefault="00B073C8">
            <w:pPr>
              <w:spacing w:after="0"/>
              <w:jc w:val="left"/>
            </w:pPr>
            <w:r>
              <w:rPr>
                <w:sz w:val="19"/>
              </w:rPr>
              <w:t>4 × 4 convolution, stride 4</w:t>
            </w:r>
          </w:p>
        </w:tc>
      </w:tr>
      <w:tr w:rsidR="00501731" w14:paraId="51CDCD4C" w14:textId="77777777">
        <w:trPr>
          <w:cantSplit/>
        </w:trPr>
        <w:tc>
          <w:tcPr>
            <w:tcW w:w="2450" w:type="dxa"/>
            <w:tcMar>
              <w:top w:w="80" w:type="dxa"/>
              <w:left w:w="100" w:type="dxa"/>
              <w:bottom w:w="80" w:type="dxa"/>
              <w:right w:w="100" w:type="dxa"/>
            </w:tcMar>
            <w:vAlign w:val="center"/>
          </w:tcPr>
          <w:p w14:paraId="5A719BF2" w14:textId="77777777" w:rsidR="00501731" w:rsidRDefault="00B073C8">
            <w:pPr>
              <w:spacing w:after="0"/>
              <w:jc w:val="left"/>
            </w:pPr>
            <w:r>
              <w:rPr>
                <w:sz w:val="19"/>
              </w:rPr>
              <w:t>Patch grid</w:t>
            </w:r>
          </w:p>
        </w:tc>
        <w:tc>
          <w:tcPr>
            <w:tcW w:w="6290" w:type="dxa"/>
            <w:tcMar>
              <w:top w:w="80" w:type="dxa"/>
              <w:left w:w="100" w:type="dxa"/>
              <w:bottom w:w="80" w:type="dxa"/>
              <w:right w:w="100" w:type="dxa"/>
            </w:tcMar>
            <w:vAlign w:val="center"/>
          </w:tcPr>
          <w:p w14:paraId="53788687" w14:textId="77777777" w:rsidR="00501731" w:rsidRDefault="00B073C8">
            <w:pPr>
              <w:spacing w:after="0"/>
              <w:jc w:val="left"/>
            </w:pPr>
            <w:r>
              <w:rPr>
                <w:sz w:val="19"/>
              </w:rPr>
              <w:t>8 × 8 (64 patch tokens)</w:t>
            </w:r>
          </w:p>
        </w:tc>
      </w:tr>
      <w:tr w:rsidR="00501731" w14:paraId="32282633" w14:textId="77777777">
        <w:trPr>
          <w:cantSplit/>
        </w:trPr>
        <w:tc>
          <w:tcPr>
            <w:tcW w:w="2450" w:type="dxa"/>
            <w:tcMar>
              <w:top w:w="80" w:type="dxa"/>
              <w:left w:w="100" w:type="dxa"/>
              <w:bottom w:w="80" w:type="dxa"/>
              <w:right w:w="100" w:type="dxa"/>
            </w:tcMar>
            <w:vAlign w:val="center"/>
          </w:tcPr>
          <w:p w14:paraId="5F49B7CC" w14:textId="77777777" w:rsidR="00501731" w:rsidRDefault="00B073C8">
            <w:pPr>
              <w:spacing w:after="0"/>
              <w:jc w:val="left"/>
            </w:pPr>
            <w:r>
              <w:rPr>
                <w:sz w:val="19"/>
              </w:rPr>
              <w:t>Token sequence</w:t>
            </w:r>
          </w:p>
        </w:tc>
        <w:tc>
          <w:tcPr>
            <w:tcW w:w="6290" w:type="dxa"/>
            <w:tcMar>
              <w:top w:w="80" w:type="dxa"/>
              <w:left w:w="100" w:type="dxa"/>
              <w:bottom w:w="80" w:type="dxa"/>
              <w:right w:w="100" w:type="dxa"/>
            </w:tcMar>
            <w:vAlign w:val="center"/>
          </w:tcPr>
          <w:p w14:paraId="2A1CE91F" w14:textId="77777777" w:rsidR="00501731" w:rsidRDefault="00B073C8">
            <w:pPr>
              <w:spacing w:after="0"/>
              <w:jc w:val="left"/>
            </w:pPr>
            <w:r>
              <w:rPr>
                <w:sz w:val="19"/>
              </w:rPr>
              <w:t>64 patch tokens + 1 learnable classification token</w:t>
            </w:r>
          </w:p>
        </w:tc>
      </w:tr>
      <w:tr w:rsidR="00501731" w14:paraId="02F105CA" w14:textId="77777777">
        <w:trPr>
          <w:cantSplit/>
        </w:trPr>
        <w:tc>
          <w:tcPr>
            <w:tcW w:w="2450" w:type="dxa"/>
            <w:tcMar>
              <w:top w:w="80" w:type="dxa"/>
              <w:left w:w="100" w:type="dxa"/>
              <w:bottom w:w="80" w:type="dxa"/>
              <w:right w:w="100" w:type="dxa"/>
            </w:tcMar>
            <w:vAlign w:val="center"/>
          </w:tcPr>
          <w:p w14:paraId="494E477F" w14:textId="77777777" w:rsidR="00501731" w:rsidRDefault="00B073C8">
            <w:pPr>
              <w:spacing w:after="0"/>
              <w:jc w:val="left"/>
            </w:pPr>
            <w:r>
              <w:rPr>
                <w:sz w:val="19"/>
              </w:rPr>
              <w:t>Embedding dimension</w:t>
            </w:r>
          </w:p>
        </w:tc>
        <w:tc>
          <w:tcPr>
            <w:tcW w:w="6290" w:type="dxa"/>
            <w:tcMar>
              <w:top w:w="80" w:type="dxa"/>
              <w:left w:w="100" w:type="dxa"/>
              <w:bottom w:w="80" w:type="dxa"/>
              <w:right w:w="100" w:type="dxa"/>
            </w:tcMar>
            <w:vAlign w:val="center"/>
          </w:tcPr>
          <w:p w14:paraId="5B19AC3A" w14:textId="77777777" w:rsidR="00501731" w:rsidRDefault="00B073C8">
            <w:pPr>
              <w:spacing w:after="0"/>
              <w:jc w:val="left"/>
            </w:pPr>
            <w:r>
              <w:rPr>
                <w:sz w:val="19"/>
              </w:rPr>
              <w:t>128</w:t>
            </w:r>
          </w:p>
        </w:tc>
      </w:tr>
      <w:tr w:rsidR="00501731" w14:paraId="1EDACA31" w14:textId="77777777">
        <w:trPr>
          <w:cantSplit/>
        </w:trPr>
        <w:tc>
          <w:tcPr>
            <w:tcW w:w="2450" w:type="dxa"/>
            <w:tcMar>
              <w:top w:w="80" w:type="dxa"/>
              <w:left w:w="100" w:type="dxa"/>
              <w:bottom w:w="80" w:type="dxa"/>
              <w:right w:w="100" w:type="dxa"/>
            </w:tcMar>
            <w:vAlign w:val="center"/>
          </w:tcPr>
          <w:p w14:paraId="7377CC41" w14:textId="77777777" w:rsidR="00501731" w:rsidRDefault="00B073C8">
            <w:pPr>
              <w:spacing w:after="0"/>
              <w:jc w:val="left"/>
            </w:pPr>
            <w:r>
              <w:rPr>
                <w:sz w:val="19"/>
              </w:rPr>
              <w:t>Transformer encoder</w:t>
            </w:r>
          </w:p>
        </w:tc>
        <w:tc>
          <w:tcPr>
            <w:tcW w:w="6290" w:type="dxa"/>
            <w:tcMar>
              <w:top w:w="80" w:type="dxa"/>
              <w:left w:w="100" w:type="dxa"/>
              <w:bottom w:w="80" w:type="dxa"/>
              <w:right w:w="100" w:type="dxa"/>
            </w:tcMar>
            <w:vAlign w:val="center"/>
          </w:tcPr>
          <w:p w14:paraId="55E3CA75" w14:textId="77777777" w:rsidR="00501731" w:rsidRDefault="00B073C8">
            <w:pPr>
              <w:spacing w:after="0"/>
              <w:jc w:val="left"/>
            </w:pPr>
            <w:r>
              <w:rPr>
                <w:sz w:val="19"/>
              </w:rPr>
              <w:t>4 pre-</w:t>
            </w:r>
            <w:proofErr w:type="spellStart"/>
            <w:r>
              <w:rPr>
                <w:sz w:val="19"/>
              </w:rPr>
              <w:t>normalisation</w:t>
            </w:r>
            <w:proofErr w:type="spellEnd"/>
            <w:r>
              <w:rPr>
                <w:sz w:val="19"/>
              </w:rPr>
              <w:t xml:space="preserve"> blocks</w:t>
            </w:r>
          </w:p>
        </w:tc>
      </w:tr>
      <w:tr w:rsidR="00501731" w14:paraId="4FA04122" w14:textId="77777777">
        <w:trPr>
          <w:cantSplit/>
        </w:trPr>
        <w:tc>
          <w:tcPr>
            <w:tcW w:w="2450" w:type="dxa"/>
            <w:tcMar>
              <w:top w:w="80" w:type="dxa"/>
              <w:left w:w="100" w:type="dxa"/>
              <w:bottom w:w="80" w:type="dxa"/>
              <w:right w:w="100" w:type="dxa"/>
            </w:tcMar>
            <w:vAlign w:val="center"/>
          </w:tcPr>
          <w:p w14:paraId="4A8B6B8E" w14:textId="77777777" w:rsidR="00501731" w:rsidRDefault="00B073C8">
            <w:pPr>
              <w:spacing w:after="0"/>
              <w:jc w:val="left"/>
            </w:pPr>
            <w:r>
              <w:rPr>
                <w:sz w:val="19"/>
              </w:rPr>
              <w:t>Self-attention</w:t>
            </w:r>
          </w:p>
        </w:tc>
        <w:tc>
          <w:tcPr>
            <w:tcW w:w="6290" w:type="dxa"/>
            <w:tcMar>
              <w:top w:w="80" w:type="dxa"/>
              <w:left w:w="100" w:type="dxa"/>
              <w:bottom w:w="80" w:type="dxa"/>
              <w:right w:w="100" w:type="dxa"/>
            </w:tcMar>
            <w:vAlign w:val="center"/>
          </w:tcPr>
          <w:p w14:paraId="61A9F170" w14:textId="77777777" w:rsidR="00501731" w:rsidRDefault="00B073C8">
            <w:pPr>
              <w:spacing w:after="0"/>
              <w:jc w:val="left"/>
            </w:pPr>
            <w:r>
              <w:rPr>
                <w:sz w:val="19"/>
              </w:rPr>
              <w:t>4 heads; head dimension 32</w:t>
            </w:r>
          </w:p>
        </w:tc>
      </w:tr>
      <w:tr w:rsidR="00501731" w14:paraId="10C240E4" w14:textId="77777777">
        <w:trPr>
          <w:cantSplit/>
        </w:trPr>
        <w:tc>
          <w:tcPr>
            <w:tcW w:w="2450" w:type="dxa"/>
            <w:tcMar>
              <w:top w:w="80" w:type="dxa"/>
              <w:left w:w="100" w:type="dxa"/>
              <w:bottom w:w="80" w:type="dxa"/>
              <w:right w:w="100" w:type="dxa"/>
            </w:tcMar>
            <w:vAlign w:val="center"/>
          </w:tcPr>
          <w:p w14:paraId="51EFA153" w14:textId="77777777" w:rsidR="00501731" w:rsidRDefault="00B073C8">
            <w:pPr>
              <w:spacing w:after="0"/>
              <w:jc w:val="left"/>
            </w:pPr>
            <w:r>
              <w:rPr>
                <w:sz w:val="19"/>
              </w:rPr>
              <w:t>MLP</w:t>
            </w:r>
          </w:p>
        </w:tc>
        <w:tc>
          <w:tcPr>
            <w:tcW w:w="6290" w:type="dxa"/>
            <w:tcMar>
              <w:top w:w="80" w:type="dxa"/>
              <w:left w:w="100" w:type="dxa"/>
              <w:bottom w:w="80" w:type="dxa"/>
              <w:right w:w="100" w:type="dxa"/>
            </w:tcMar>
            <w:vAlign w:val="center"/>
          </w:tcPr>
          <w:p w14:paraId="710CBD2C" w14:textId="77777777" w:rsidR="00501731" w:rsidRDefault="00B073C8">
            <w:pPr>
              <w:spacing w:after="0"/>
              <w:jc w:val="left"/>
            </w:pPr>
            <w:r>
              <w:rPr>
                <w:sz w:val="19"/>
              </w:rPr>
              <w:t>128 → 512 → 128 with GELU</w:t>
            </w:r>
          </w:p>
        </w:tc>
      </w:tr>
      <w:tr w:rsidR="00501731" w14:paraId="488B2A9E" w14:textId="77777777">
        <w:trPr>
          <w:cantSplit/>
        </w:trPr>
        <w:tc>
          <w:tcPr>
            <w:tcW w:w="2450" w:type="dxa"/>
            <w:tcMar>
              <w:top w:w="80" w:type="dxa"/>
              <w:left w:w="100" w:type="dxa"/>
              <w:bottom w:w="80" w:type="dxa"/>
              <w:right w:w="100" w:type="dxa"/>
            </w:tcMar>
            <w:vAlign w:val="center"/>
          </w:tcPr>
          <w:p w14:paraId="074020B5" w14:textId="77777777" w:rsidR="00501731" w:rsidRDefault="00B073C8">
            <w:pPr>
              <w:spacing w:after="0"/>
              <w:jc w:val="left"/>
            </w:pPr>
            <w:r>
              <w:rPr>
                <w:sz w:val="19"/>
              </w:rPr>
              <w:t>Dropout</w:t>
            </w:r>
          </w:p>
        </w:tc>
        <w:tc>
          <w:tcPr>
            <w:tcW w:w="6290" w:type="dxa"/>
            <w:tcMar>
              <w:top w:w="80" w:type="dxa"/>
              <w:left w:w="100" w:type="dxa"/>
              <w:bottom w:w="80" w:type="dxa"/>
              <w:right w:w="100" w:type="dxa"/>
            </w:tcMar>
            <w:vAlign w:val="center"/>
          </w:tcPr>
          <w:p w14:paraId="423363DF" w14:textId="77777777" w:rsidR="00501731" w:rsidRDefault="00B073C8">
            <w:pPr>
              <w:spacing w:after="0"/>
              <w:jc w:val="left"/>
            </w:pPr>
            <w:r>
              <w:rPr>
                <w:sz w:val="19"/>
              </w:rPr>
              <w:t>0 for embedding, attention, projection and MLP in formal CIFAR-10 runs</w:t>
            </w:r>
          </w:p>
        </w:tc>
      </w:tr>
      <w:tr w:rsidR="00501731" w14:paraId="1DC5A839" w14:textId="77777777">
        <w:trPr>
          <w:cantSplit/>
        </w:trPr>
        <w:tc>
          <w:tcPr>
            <w:tcW w:w="2450" w:type="dxa"/>
            <w:tcMar>
              <w:top w:w="80" w:type="dxa"/>
              <w:left w:w="100" w:type="dxa"/>
              <w:bottom w:w="80" w:type="dxa"/>
              <w:right w:w="100" w:type="dxa"/>
            </w:tcMar>
            <w:vAlign w:val="center"/>
          </w:tcPr>
          <w:p w14:paraId="1DEEC99D" w14:textId="77777777" w:rsidR="00501731" w:rsidRDefault="00B073C8">
            <w:pPr>
              <w:spacing w:after="0"/>
              <w:jc w:val="left"/>
            </w:pPr>
            <w:r>
              <w:rPr>
                <w:sz w:val="19"/>
              </w:rPr>
              <w:t>Output head</w:t>
            </w:r>
          </w:p>
        </w:tc>
        <w:tc>
          <w:tcPr>
            <w:tcW w:w="6290" w:type="dxa"/>
            <w:tcMar>
              <w:top w:w="80" w:type="dxa"/>
              <w:left w:w="100" w:type="dxa"/>
              <w:bottom w:w="80" w:type="dxa"/>
              <w:right w:w="100" w:type="dxa"/>
            </w:tcMar>
            <w:vAlign w:val="center"/>
          </w:tcPr>
          <w:p w14:paraId="6CB95A2F" w14:textId="77777777" w:rsidR="00501731" w:rsidRDefault="00B073C8">
            <w:pPr>
              <w:spacing w:after="0"/>
              <w:jc w:val="left"/>
            </w:pPr>
            <w:r>
              <w:rPr>
                <w:sz w:val="19"/>
              </w:rPr>
              <w:t>Linear; 10 classes for CIFAR-10 and 100 for CIFAR-100</w:t>
            </w:r>
          </w:p>
        </w:tc>
      </w:tr>
    </w:tbl>
    <w:p w14:paraId="42D362F5" w14:textId="77777777" w:rsidR="00501731" w:rsidRPr="001700FB" w:rsidRDefault="00F249F7">
      <w:pPr>
        <w:rPr>
          <w:sz w:val="21"/>
          <w:lang w:eastAsia="zh-CN"/>
        </w:rPr>
      </w:pPr>
      <w:bookmarkStart w:id="8" w:name="OLE_LINK4"/>
      <w:r>
        <w:t>Table 2 summarises the shared single-branch architecture. CIFAR-10 and CIFAR-100 use the same patch projection and encoder; only dataset-specific normalisation and the classifier output size change. Keeping the token grid and encoder fixed makes the cross-dataset comparison easier to interpret.</w:t>
      </w:r>
      <w:bookmarkEnd w:id="8"/>
    </w:p>
    <w:bookmarkEnd w:id="8"/>
    <w:p w14:paraId="42881916" w14:textId="77777777" w:rsidR="00501731" w:rsidRDefault="00B073C8">
      <w:pPr>
        <w:pStyle w:val="Heading2"/>
      </w:pPr>
      <w:r>
        <w:t>3.4 Positional Encoding Methods</w:t>
      </w:r>
    </w:p>
    <w:p w14:paraId="7A3730CA" w14:textId="4AC1406F" w:rsidR="00BD3F93" w:rsidRPr="00BD3F93" w:rsidRDefault="00BD3F93" w:rsidP="00BD3F93">
      <w:r>
        <w:t>All models in this section use the same patch projection, Transformer encoder and classifier described in Section 3.3. The only change in the main comparison is the positional term added to the token sequence before it enters the encoder. This keeps the visual input and network unchanged while asking a simple question: how should the model be told where each patch came from? The no-PE and learnable models provide two controls, while the fixed variants encode selected properties of the two-dimensional patch grid. Table 3 summarises the resulting configurations.</w:t>
      </w:r>
    </w:p>
    <w:p>
      <w:r>
        <w:t xml:space="preserve">Under the default row-major arrangement, the 64 patches form an 8 × 8 grid. Rows and columns are numbered from 0 to 7, starting at the top-left corner. Patch index </w:t>
      </w:r>
      <m:oMath>
        <m:r>
          <m:t>j∈{0,…,63}</m:t>
          <w:rPr>
            <w:rFonts w:ascii="Cambria Math" w:hAnsi="Cambria Math"/>
            <w:sz w:val="21"/>
            <w:szCs w:val="21"/>
          </w:rPr>
        </m:r>
      </m:oMath>
      <w:r>
        <w:t xml:space="preserve"> is assigned to row </w:t>
      </w:r>
      <m:oMath>
        <m:r>
          <m:t>r=⌊</m:t>
          <w:rPr>
            <w:rFonts w:ascii="Cambria Math" w:hAnsi="Cambria Math"/>
            <w:sz w:val="21"/>
            <w:szCs w:val="21"/>
          </w:rPr>
        </m:r>
        <m:f>
          <m:fPr>
            <m:type m:val="bar"/>
          </m:fPr>
          <m:num>
            <m:r>
              <m:t>j</m:t>
              <w:rPr>
                <w:rFonts w:ascii="Cambria Math" w:hAnsi="Cambria Math"/>
                <w:sz w:val="21"/>
                <w:szCs w:val="21"/>
              </w:rPr>
            </m:r>
          </m:num>
          <m:den>
            <m:r>
              <m:t>8</m:t>
              <w:rPr>
                <w:rFonts w:ascii="Cambria Math" w:hAnsi="Cambria Math"/>
                <w:sz w:val="21"/>
                <w:szCs w:val="21"/>
              </w:rPr>
            </m:r>
          </m:den>
        </m:f>
        <m:r>
          <m:t>⌋</m:t>
          <w:rPr>
            <w:rFonts w:ascii="Cambria Math" w:hAnsi="Cambria Math"/>
            <w:sz w:val="21"/>
            <w:szCs w:val="21"/>
          </w:rPr>
        </m:r>
      </m:oMath>
      <w:r>
        <w:t xml:space="preserve"> and column </w:t>
      </w:r>
      <m:oMath>
        <m:r>
          <m:t>c=j</m:t>
          <w:rPr>
            <w:rFonts w:ascii="Cambria Math" w:hAnsi="Cambria Math"/>
            <w:sz w:val="21"/>
            <w:szCs w:val="21"/>
          </w:rPr>
        </m:r>
        <m:r>
          <m:rPr>
            <m:nor/>
          </m:rPr>
          <m:t>mod</m:t>
          <w:rPr>
            <w:rFonts w:ascii="Cambria Math" w:hAnsi="Cambria Math"/>
            <w:sz w:val="21"/>
            <w:szCs w:val="21"/>
          </w:rPr>
        </m:r>
        <m:r>
          <m:t>8</m:t>
          <w:rPr>
            <w:rFonts w:ascii="Cambria Math" w:hAnsi="Cambria Math"/>
            <w:sz w:val="21"/>
            <w:szCs w:val="21"/>
          </w:rPr>
        </m:r>
      </m:oMath>
      <w:r>
        <w:t xml:space="preserve">. Throughout Sections 3.4.2–3.4.4, </w:t>
      </w:r>
      <m:oMath>
        <m:r>
          <m:t>S(p)</m:t>
          <w:rPr>
            <w:rFonts w:ascii="Cambria Math" w:hAnsi="Cambria Math"/>
            <w:sz w:val="21"/>
            <w:szCs w:val="21"/>
          </w:rPr>
        </m:r>
      </m:oMath>
      <w:r>
        <w:t xml:space="preserve"> denotes the sinusoidal mapping in Equation (1). It converts one scalar coordinate </w:t>
      </w:r>
      <m:oMath>
        <m:r>
          <m:t>p</m:t>
          <w:rPr>
            <w:rFonts w:ascii="Cambria Math" w:hAnsi="Cambria Math"/>
            <w:sz w:val="21"/>
            <w:szCs w:val="21"/>
          </w:rPr>
        </m:r>
      </m:oMath>
      <w:r>
        <w:t xml:space="preserve"> into a vector with 128 components. Here, </w:t>
      </w:r>
      <m:oMath>
        <m:r>
          <m:t>d=128</m:t>
          <w:rPr>
            <w:rFonts w:ascii="Cambria Math" w:hAnsi="Cambria Math"/>
            <w:sz w:val="21"/>
            <w:szCs w:val="21"/>
          </w:rPr>
        </m:r>
      </m:oMath>
      <w:r>
        <w:t xml:space="preserve"> is the embedding dimension defined in Equation (1). Depending on the design, </w:t>
      </w:r>
      <m:oMath>
        <m:r>
          <m:t>p</m:t>
          <w:rPr>
            <w:rFonts w:ascii="Cambria Math" w:hAnsi="Cambria Math"/>
            <w:sz w:val="21"/>
            <w:szCs w:val="21"/>
          </w:rPr>
        </m:r>
      </m:oMath>
      <w:r>
        <w:t xml:space="preserve"> is a row coordinate, a column coordinate, or a scalar derived from both.</w:t>
      </w:r>
    </w:p>
    <w:p w14:paraId="3257A062" w14:textId="77777777" w:rsidR="00501731" w:rsidRDefault="00BD3F93">
      <w:pPr>
        <w:rPr>
          <w:lang w:eastAsia="zh-CN"/>
        </w:rPr>
      </w:pPr>
      <w:r>
        <w:t>For every fixed method, the 64 patch-position vectors are calculated once when the model is created and stored as a non-trainable tensor. The classification token receives a zero vector because it does not correspond to a physical image location; fixed positional information is therefore added only to the patch tokens. This provides a deterministic spatial signal without adding trainable parameters, but the signal cannot adapt to the training data. All fixed methods add their vectors at the same point in the network, which keeps the comparison focused on the positional representation itself.</w:t>
      </w:r>
    </w:p>
    <w:p w14:paraId="66B091C3" w14:textId="77777777" w:rsidR="00501731" w:rsidRDefault="00B073C8">
      <w:pPr>
        <w:pStyle w:val="Heading3"/>
      </w:pPr>
      <w:r>
        <w:t>3.4.1 No-PE Baseline and Learnable Absolute PE</w:t>
      </w:r>
    </w:p>
    <w:p w14:paraId="1ED4CE98" w14:textId="77777777" w:rsidR="00501731" w:rsidRDefault="00B073C8">
      <w:r>
        <w:t>The no-PE baseline adds no positional term. Its patch tokens contain visual content, but they carry no explicit row, column or sequence-position label. This model measures how well the shared encoder performs without being told where the patches originated, so the effect of adding positional information can be assessed against a genuine no-position control.</w:t>
      </w:r>
    </w:p>
    <w:p>
      <w:r>
        <w:t xml:space="preserve">The learnable absolute PE model instead adds a trainable tensor </w:t>
      </w:r>
      <m:oMath>
        <m:r>
          <m:t>L∈</m:t>
          <w:rPr>
            <w:rFonts w:ascii="Cambria Math" w:hAnsi="Cambria Math"/>
            <w:sz w:val="21"/>
            <w:szCs w:val="21"/>
          </w:rPr>
        </m:r>
        <m:sSup>
          <m:e>
            <m:r>
              <m:rPr>
                <m:scr m:val="double-struck"/>
                <m:sty m:val="p"/>
              </m:rPr>
              <m:t>R</m:t>
              <w:rPr>
                <w:rFonts w:ascii="Cambria Math" w:hAnsi="Cambria Math"/>
                <w:sz w:val="21"/>
                <w:szCs w:val="21"/>
              </w:rPr>
            </m:r>
          </m:e>
          <m:sup>
            <m:r>
              <m:t>1×65×128</m:t>
              <w:rPr>
                <w:rFonts w:ascii="Cambria Math" w:hAnsi="Cambria Math"/>
                <w:sz w:val="21"/>
                <w:szCs w:val="21"/>
              </w:rPr>
            </m:r>
          </m:sup>
        </m:sSup>
      </m:oMath>
      <w:r>
        <w:t xml:space="preserve"> to the same token sequence. The 65 positions comprise the classification-token slot and the 64 patch slots, with one 128-component vector for each. The tensor is shared across input images, initialised to zero and updated during training, adding </w:t>
      </w:r>
      <m:oMath>
        <m:r>
          <m:t>65×128=</m:t>
          <w:rPr>
            <w:rFonts w:ascii="Cambria Math" w:hAnsi="Cambria Math"/>
            <w:sz w:val="21"/>
            <w:szCs w:val="21"/>
          </w:rPr>
        </m:r>
        <m:r>
          <m:rPr>
            <m:sty m:val="p"/>
          </m:rPr>
          <m:t>8,320</m:t>
          <w:rPr>
            <w:rFonts w:ascii="Cambria Math" w:hAnsi="Cambria Math"/>
            <w:sz w:val="21"/>
            <w:szCs w:val="21"/>
          </w:rPr>
        </m:r>
      </m:oMath>
      <w:r>
        <w:t xml:space="preserve"> trainable parameters. This flexibility allows each slot to learn its own vector, but it does not impose an explicit relationship between neighbouring rows or columns. It serves as the main learned reference because it follows the absolute-position design used by the original ViT [1].</w:t>
      </w:r>
    </w:p>
    <w:p w14:paraId="65064E25" w14:textId="77777777" w:rsidR="00501731" w:rsidRDefault="00B073C8">
      <w:pPr>
        <w:pStyle w:val="Heading3"/>
      </w:pPr>
      <w:r>
        <w:t>3.4.2 Axis-Wise Fixed Encodings</w:t>
      </w:r>
    </w:p>
    <w:p w14:paraId="3DF0D2BC" w14:textId="6AC5E7CF" w:rsidR="00501731" w:rsidRDefault="00B073C8">
      <w:r>
        <w:t xml:space="preserve">The row-wise and column-wise encodings isolate one spatial coordinate at a time. For a patch at grid coordinate </w:t>
      </w:r>
      <m:oMath>
        <m:r>
          <m:t>(r,c)</m:t>
          <w:rPr>
            <w:rFonts w:ascii="Cambria Math" w:hAnsi="Cambria Math"/>
            <w:sz w:val="21"/>
            <w:szCs w:val="21"/>
          </w:rPr>
        </m:r>
      </m:oMath>
      <w:r>
        <w:t xml:space="preserve">, the row-wise model assigns the same positional vector to all eight patches in row </w:t>
      </w:r>
      <m:oMath>
        <m:r>
          <m:t>r</m:t>
          <w:rPr>
            <w:rFonts w:ascii="Cambria Math" w:hAnsi="Cambria Math"/>
            <w:sz w:val="21"/>
            <w:szCs w:val="21"/>
          </w:rPr>
        </m:r>
      </m:oMath>
      <w:r>
        <w:t xml:space="preserve">. The column-wise model does the same for all patches in column </w:t>
      </w:r>
      <m:oMath>
        <m:r>
          <m:t>c</m:t>
          <w:rPr>
            <w:rFonts w:ascii="Cambria Math" w:hAnsi="Cambria Math"/>
            <w:sz w:val="21"/>
            <w:szCs w:val="21"/>
          </w:rPr>
        </m:r>
      </m:oMath>
      <w:r>
        <w:t>, as defined in Equation (</w:t>
      </w:r>
      <w:r>
        <w:fldChar w:fldCharType="begin"/>
      </w:r>
      <w:r>
        <w:instrText xml:space="preserve"> REF eq6 \h </w:instrText>
      </w:r>
      <w:r>
        <w:fldChar w:fldCharType="separate"/>
      </w:r>
      <w:r>
        <w:t>6</w:t>
      </w:r>
      <w:r>
        <w:fldChar w:fldCharType="end"/>
      </w:r>
      <w:r>
        <w:t>).</w:t>
      </w:r>
    </w:p>
    <w:p w14:paraId="5AD14259"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P</m:t>
                  </m:r>
                </m:e>
                <m:sub>
                  <m:r>
                    <m:rPr>
                      <m:sty m:val="p"/>
                    </m:rPr>
                    <w:rPr>
                      <w:rFonts w:ascii="Cambria Math" w:hAnsi="Cambria Math"/>
                    </w:rPr>
                    <m:t>row</m:t>
                  </m:r>
                </m:sub>
              </m:sSub>
              <m:r>
                <w:rPr>
                  <w:rFonts w:ascii="Cambria Math" w:hAnsi="Cambria Math"/>
                </w:rPr>
                <m:t>(r,c)=S(r),</m:t>
              </m:r>
              <m:sSub>
                <m:sSubPr>
                  <m:ctrlPr>
                    <w:rPr>
                      <w:rFonts w:ascii="Cambria Math" w:hAnsi="Cambria Math"/>
                    </w:rPr>
                  </m:ctrlPr>
                </m:sSubPr>
                <m:e>
                  <m:r>
                    <w:rPr>
                      <w:rFonts w:ascii="Cambria Math" w:hAnsi="Cambria Math"/>
                    </w:rPr>
                    <m:t>P</m:t>
                  </m:r>
                </m:e>
                <m:sub>
                  <m:r>
                    <m:rPr>
                      <m:sty m:val="p"/>
                    </m:rPr>
                    <w:rPr>
                      <w:rFonts w:ascii="Cambria Math" w:hAnsi="Cambria Math"/>
                    </w:rPr>
                    <m:t>col</m:t>
                  </m:r>
                </m:sub>
              </m:sSub>
              <m:r>
                <w:rPr>
                  <w:rFonts w:ascii="Cambria Math" w:hAnsi="Cambria Math"/>
                </w:rPr>
                <m:t>(r,c)=S(c)#</m:t>
              </m:r>
              <m:d>
                <m:dPr>
                  <m:ctrlPr>
                    <w:rPr>
                      <w:rFonts w:ascii="Cambria Math" w:hAnsi="Cambria Math"/>
                    </w:rPr>
                  </m:ctrlPr>
                </m:dPr>
                <m:e>
                  <w:bookmarkStart w:id="9" w:name="eq6"/>
                  <m:r>
                    <w:rPr>
                      <w:rFonts w:ascii="Cambria Math" w:hAnsi="Cambria Math"/>
                    </w:rPr>
                    <m:t>6</m:t>
                  </m:r>
                  <w:bookmarkEnd w:id="9"/>
                </m:e>
              </m:d>
            </m:e>
          </m:eqArr>
        </m:oMath>
      </m:oMathPara>
    </w:p>
    <w:p>
      <w:pPr>
        <w:keepLines/>
        <w:jc w:val="center"/>
      </w:pPr>
      <w:r>
        <w:t xml:space="preserve">Here, </w:t>
      </w:r>
      <m:oMath>
        <m:sSub>
          <m:e>
            <m:r>
              <m:t>P</m:t>
              <w:rPr>
                <w:rFonts w:ascii="Cambria Math" w:hAnsi="Cambria Math"/>
                <w:sz w:val="21"/>
                <w:szCs w:val="21"/>
              </w:rPr>
            </m:r>
          </m:e>
          <m:sub>
            <m:r>
              <m:rPr>
                <m:nor/>
              </m:rPr>
              <m:t>row</m:t>
              <w:rPr>
                <w:rFonts w:ascii="Cambria Math" w:hAnsi="Cambria Math"/>
                <w:sz w:val="21"/>
                <w:szCs w:val="21"/>
              </w:rPr>
            </m:r>
          </m:sub>
        </m:sSub>
        <m:r>
          <m:t>(r,c)</m:t>
          <w:rPr>
            <w:rFonts w:ascii="Cambria Math" w:hAnsi="Cambria Math"/>
            <w:sz w:val="21"/>
            <w:szCs w:val="21"/>
          </w:rPr>
        </m:r>
      </m:oMath>
      <w:r>
        <w:t xml:space="preserve"> and </w:t>
      </w:r>
      <m:oMath>
        <m:sSub>
          <m:e>
            <m:r>
              <m:t>P</m:t>
              <w:rPr>
                <w:rFonts w:ascii="Cambria Math" w:hAnsi="Cambria Math"/>
                <w:sz w:val="21"/>
                <w:szCs w:val="21"/>
              </w:rPr>
            </m:r>
          </m:e>
          <m:sub>
            <m:r>
              <m:rPr>
                <m:nor/>
              </m:rPr>
              <m:t>col</m:t>
              <w:rPr>
                <w:rFonts w:ascii="Cambria Math" w:hAnsi="Cambria Math"/>
                <w:sz w:val="21"/>
                <w:szCs w:val="21"/>
              </w:rPr>
            </m:r>
          </m:sub>
        </m:sSub>
        <m:r>
          <m:t>(r,c)</m:t>
          <w:rPr>
            <w:rFonts w:ascii="Cambria Math" w:hAnsi="Cambria Math"/>
            <w:sz w:val="21"/>
            <w:szCs w:val="21"/>
          </w:rPr>
        </m:r>
      </m:oMath>
      <w:r>
        <w:t xml:space="preserve"> are the 128-component terms added to the patch at </w:t>
      </w:r>
      <m:oMath>
        <m:r>
          <m:t>(r,c)</m:t>
          <w:rPr>
            <w:rFonts w:ascii="Cambria Math" w:hAnsi="Cambria Math"/>
            <w:sz w:val="21"/>
            <w:szCs w:val="21"/>
          </w:rPr>
        </m:r>
      </m:oMath>
      <w:r>
        <w:t>. The row model can distinguish the eight rows but not different columns within one row; the column model has the opposite limitation. They are included as single-axis controls, showing how much each coordinate contributes before the two axes are combined.</w:t>
      </w:r>
    </w:p>
    <w:p w14:paraId="28EB382F" w14:textId="77777777" w:rsidR="00501731" w:rsidRDefault="00B073C8">
      <w:pPr>
        <w:pStyle w:val="Heading3"/>
      </w:pPr>
      <w:r>
        <w:t>3.4.3 Additive, Multiplicative and Shifted Encodings</w:t>
      </w:r>
    </w:p>
    <w:p w14:paraId="62D73378" w14:textId="5E6374A9" w:rsidR="00501731" w:rsidRDefault="00B073C8">
      <w:r>
        <w:t>The additive and multiplicative designs use both grid coordinates while keeping the positional vector at 128 components. Addition sums each component of the row vector with the matching component of the column vector. This retains information from both axes, although different row-column pairs can produce similar sums. Multiplication instead forms a direct component-wise interaction between the two vectors; values near zero can weaken individual components. Equation (</w:t>
      </w:r>
      <w:r>
        <w:fldChar w:fldCharType="begin"/>
      </w:r>
      <w:r>
        <w:instrText xml:space="preserve"> REF eq7 \h </w:instrText>
      </w:r>
      <w:r>
        <w:fldChar w:fldCharType="separate"/>
      </w:r>
      <w:r>
        <w:t>7</w:t>
      </w:r>
      <w:r>
        <w:fldChar w:fldCharType="end"/>
      </w:r>
      <w:r>
        <w:t xml:space="preserve">) defines both operations. Here, </w:t>
      </w:r>
      <m:oMath>
        <m:sSub>
          <m:e>
            <m:r>
              <m:t>P</m:t>
              <w:rPr>
                <w:rFonts w:ascii="Cambria Math" w:hAnsi="Cambria Math"/>
                <w:sz w:val="21"/>
                <w:szCs w:val="21"/>
              </w:rPr>
            </m:r>
          </m:e>
          <m:sub>
            <m:r>
              <m:rPr>
                <m:nor/>
              </m:rPr>
              <m:t>add</m:t>
              <w:rPr>
                <w:rFonts w:ascii="Cambria Math" w:hAnsi="Cambria Math"/>
                <w:sz w:val="21"/>
                <w:szCs w:val="21"/>
              </w:rPr>
            </m:r>
          </m:sub>
        </m:sSub>
      </m:oMath>
      <w:r>
        <w:t xml:space="preserve"> and </w:t>
      </w:r>
      <m:oMath>
        <m:sSub>
          <m:e>
            <m:r>
              <m:t>P</m:t>
              <w:rPr>
                <w:rFonts w:ascii="Cambria Math" w:hAnsi="Cambria Math"/>
                <w:sz w:val="21"/>
                <w:szCs w:val="21"/>
              </w:rPr>
            </m:r>
          </m:e>
          <m:sub>
            <m:r>
              <m:rPr>
                <m:nor/>
              </m:rPr>
              <m:t>mult</m:t>
              <w:rPr>
                <w:rFonts w:ascii="Cambria Math" w:hAnsi="Cambria Math"/>
                <w:sz w:val="21"/>
                <w:szCs w:val="21"/>
              </w:rPr>
            </m:r>
          </m:sub>
        </m:sSub>
      </m:oMath>
      <w:r>
        <w:t xml:space="preserve"> denote the resulting positional terms, while </w:t>
      </w:r>
      <m:oMath>
        <m:r>
          <m:t>⊙</m:t>
          <w:rPr>
            <w:rFonts w:ascii="Cambria Math" w:hAnsi="Cambria Math"/>
            <w:sz w:val="21"/>
            <w:szCs w:val="21"/>
          </w:rPr>
        </m:r>
      </m:oMath>
      <w:r>
        <w:t xml:space="preserve"> denotes element-wise multiplication rather than matrix multiplication.</w:t>
      </w:r>
    </w:p>
    <w:p w14:paraId="74DE7EF9"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P</m:t>
                  </m:r>
                </m:e>
                <m:sub>
                  <m:r>
                    <m:rPr>
                      <m:sty m:val="p"/>
                    </m:rPr>
                    <w:rPr>
                      <w:rFonts w:ascii="Cambria Math" w:hAnsi="Cambria Math"/>
                    </w:rPr>
                    <m:t>add</m:t>
                  </m:r>
                </m:sub>
              </m:sSub>
              <m:r>
                <w:rPr>
                  <w:rFonts w:ascii="Cambria Math" w:hAnsi="Cambria Math"/>
                </w:rPr>
                <m:t>(r,c)=S(r)+S(c),</m:t>
              </m:r>
              <m:sSub>
                <m:sSubPr>
                  <m:ctrlPr>
                    <w:rPr>
                      <w:rFonts w:ascii="Cambria Math" w:hAnsi="Cambria Math"/>
                    </w:rPr>
                  </m:ctrlPr>
                </m:sSubPr>
                <m:e>
                  <m:r>
                    <w:rPr>
                      <w:rFonts w:ascii="Cambria Math" w:hAnsi="Cambria Math"/>
                    </w:rPr>
                    <m:t>P</m:t>
                  </m:r>
                </m:e>
                <m:sub>
                  <m:r>
                    <m:rPr>
                      <m:sty m:val="p"/>
                    </m:rPr>
                    <w:rPr>
                      <w:rFonts w:ascii="Cambria Math" w:hAnsi="Cambria Math"/>
                    </w:rPr>
                    <m:t>mult</m:t>
                  </m:r>
                </m:sub>
              </m:sSub>
              <m:r>
                <w:rPr>
                  <w:rFonts w:ascii="Cambria Math" w:hAnsi="Cambria Math"/>
                </w:rPr>
                <m:t>(r,c)=S(r)⊙S(c)#</m:t>
              </m:r>
              <m:d>
                <m:dPr>
                  <m:ctrlPr>
                    <w:rPr>
                      <w:rFonts w:ascii="Cambria Math" w:hAnsi="Cambria Math"/>
                    </w:rPr>
                  </m:ctrlPr>
                </m:dPr>
                <m:e>
                  <w:bookmarkStart w:id="10" w:name="eq7"/>
                  <m:r>
                    <w:rPr>
                      <w:rFonts w:ascii="Cambria Math" w:hAnsi="Cambria Math"/>
                    </w:rPr>
                    <m:t>7</m:t>
                  </m:r>
                  <w:bookmarkEnd w:id="10"/>
                </m:e>
              </m:d>
            </m:e>
          </m:eqArr>
        </m:oMath>
      </m:oMathPara>
    </w:p>
    <w:p w14:paraId="16BA0461" w14:textId="6B86B20D" w:rsidR="00501731" w:rsidRDefault="00B073C8">
      <w:r>
        <w:t xml:space="preserve">In the unshifted designs, the row and column vectors use the same sequence of sinusoidal frequencies. The shifted designs test a small alternative: the row and column axes are given different frequency schedules before their vectors are combined. This makes the two axis signals less alike without changing the grid coordinates or adding parameters. For sine-cosine pair </w:t>
      </w:r>
      <m:oMath>
        <m:r>
          <m:t>i</m:t>
          <w:rPr>
            <w:rFonts w:ascii="Cambria Math" w:hAnsi="Cambria Math"/>
            <w:sz w:val="21"/>
            <w:szCs w:val="21"/>
          </w:rPr>
        </m:r>
      </m:oMath>
      <w:r>
        <w:t xml:space="preserve">, the row schedule uses exponent </w:t>
      </w:r>
      <m:oMath>
        <m:r>
          <m:t>−</m:t>
          <w:rPr>
            <w:rFonts w:ascii="Cambria Math" w:hAnsi="Cambria Math"/>
            <w:sz w:val="21"/>
            <w:szCs w:val="21"/>
          </w:rPr>
        </m:r>
        <m:f>
          <m:fPr>
            <m:type m:val="bar"/>
          </m:fPr>
          <m:num>
            <m:r>
              <m:t>2i</m:t>
              <w:rPr>
                <w:rFonts w:ascii="Cambria Math" w:hAnsi="Cambria Math"/>
                <w:sz w:val="21"/>
                <w:szCs w:val="21"/>
              </w:rPr>
            </m:r>
          </m:num>
          <m:den>
            <m:r>
              <m:t>d</m:t>
              <w:rPr>
                <w:rFonts w:ascii="Cambria Math" w:hAnsi="Cambria Math"/>
                <w:sz w:val="21"/>
                <w:szCs w:val="21"/>
              </w:rPr>
            </m:r>
          </m:den>
        </m:f>
      </m:oMath>
      <w:r>
        <w:t xml:space="preserve"> and the column schedule uses the offset exponent </w:t>
      </w:r>
      <m:oMath>
        <m:r>
          <m:t>−</m:t>
          <w:rPr>
            <w:rFonts w:ascii="Cambria Math" w:hAnsi="Cambria Math"/>
            <w:sz w:val="21"/>
            <w:szCs w:val="21"/>
          </w:rPr>
        </m:r>
        <m:f>
          <m:fPr>
            <m:type m:val="bar"/>
          </m:fPr>
          <m:num>
            <m:r>
              <m:t>2i+1</m:t>
              <w:rPr>
                <w:rFonts w:ascii="Cambria Math" w:hAnsi="Cambria Math"/>
                <w:sz w:val="21"/>
                <w:szCs w:val="21"/>
              </w:rPr>
            </m:r>
          </m:num>
          <m:den>
            <m:r>
              <m:t>d</m:t>
              <w:rPr>
                <w:rFonts w:ascii="Cambria Math" w:hAnsi="Cambria Math"/>
                <w:sz w:val="21"/>
                <w:szCs w:val="21"/>
              </w:rPr>
            </m:r>
          </m:den>
        </m:f>
      </m:oMath>
      <w:r>
        <w:t>, as shown in Equation (</w:t>
      </w:r>
      <w:r>
        <w:fldChar w:fldCharType="begin"/>
      </w:r>
      <w:r>
        <w:instrText xml:space="preserve"> REF eq8 \h </w:instrText>
      </w:r>
      <w:r>
        <w:fldChar w:fldCharType="separate"/>
      </w:r>
      <w:r>
        <w:t>8</w:t>
      </w:r>
      <w:r>
        <w:fldChar w:fldCharType="end"/>
      </w:r>
      <w:r>
        <w:t>).</w:t>
      </w:r>
    </w:p>
    <w:p w14:paraId="7946C2B2" w14:textId="77777777" w:rsidR="00501731" w:rsidRDefault="00000000">
      <w:pPr>
        <w:keepLines/>
        <w:jc w:val="center"/>
      </w:pPr>
      <m:oMathPara>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ω</m:t>
                  </m:r>
                </m:e>
                <m:sub>
                  <m:r>
                    <w:rPr>
                      <w:rFonts w:ascii="Cambria Math" w:hAnsi="Cambria Math"/>
                    </w:rPr>
                    <m:t>i</m:t>
                  </m:r>
                </m:sub>
                <m:sup>
                  <m:d>
                    <m:dPr>
                      <m:ctrlPr>
                        <w:rPr>
                          <w:rFonts w:ascii="Cambria Math" w:hAnsi="Cambria Math"/>
                        </w:rPr>
                      </m:ctrlPr>
                    </m:dPr>
                    <m:e>
                      <m:r>
                        <w:rPr>
                          <w:rFonts w:ascii="Cambria Math" w:hAnsi="Cambria Math"/>
                        </w:rPr>
                        <m:t>r</m:t>
                      </m:r>
                    </m:e>
                  </m:d>
                </m:sup>
              </m:sSubSup>
              <m:r>
                <w:rPr>
                  <w:rFonts w:ascii="Cambria Math" w:hAnsi="Cambria Math"/>
                </w:rPr>
                <m:t>=</m:t>
              </m:r>
              <m:sSup>
                <m:sSupPr>
                  <m:ctrlPr>
                    <w:rPr>
                      <w:rFonts w:ascii="Cambria Math" w:hAnsi="Cambria Math"/>
                    </w:rPr>
                  </m:ctrlPr>
                </m:sSupPr>
                <m:e>
                  <m:r>
                    <w:rPr>
                      <w:rFonts w:ascii="Cambria Math" w:hAnsi="Cambria Math"/>
                    </w:rPr>
                    <m:t>10000</m:t>
                  </m:r>
                </m:e>
                <m:sup>
                  <m:r>
                    <w:rPr>
                      <w:rFonts w:ascii="Cambria Math" w:hAnsi="Cambria Math"/>
                    </w:rPr>
                    <m:t>-</m:t>
                  </m:r>
                  <m:f>
                    <m:fPr>
                      <m:ctrlPr>
                        <w:rPr>
                          <w:rFonts w:ascii="Cambria Math" w:hAnsi="Cambria Math"/>
                        </w:rPr>
                      </m:ctrlPr>
                    </m:fPr>
                    <m:num>
                      <m:r>
                        <w:rPr>
                          <w:rFonts w:ascii="Cambria Math" w:hAnsi="Cambria Math"/>
                        </w:rPr>
                        <m:t>2i</m:t>
                      </m:r>
                    </m:num>
                    <m:den>
                      <m:r>
                        <w:rPr>
                          <w:rFonts w:ascii="Cambria Math" w:hAnsi="Cambria Math"/>
                        </w:rPr>
                        <m:t>d</m:t>
                      </m:r>
                    </m:den>
                  </m:f>
                </m:sup>
              </m:sSup>
              <m: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i</m:t>
                  </m:r>
                </m:sub>
                <m:sup>
                  <m:d>
                    <m:dPr>
                      <m:ctrlPr>
                        <w:rPr>
                          <w:rFonts w:ascii="Cambria Math" w:hAnsi="Cambria Math"/>
                        </w:rPr>
                      </m:ctrlPr>
                    </m:dPr>
                    <m:e>
                      <m:r>
                        <w:rPr>
                          <w:rFonts w:ascii="Cambria Math" w:hAnsi="Cambria Math"/>
                        </w:rPr>
                        <m:t>c</m:t>
                      </m:r>
                    </m:e>
                  </m:d>
                </m:sup>
              </m:sSubSup>
              <m:r>
                <w:rPr>
                  <w:rFonts w:ascii="Cambria Math" w:hAnsi="Cambria Math"/>
                </w:rPr>
                <m:t>=</m:t>
              </m:r>
              <m:sSup>
                <m:sSupPr>
                  <m:ctrlPr>
                    <w:rPr>
                      <w:rFonts w:ascii="Cambria Math" w:hAnsi="Cambria Math"/>
                    </w:rPr>
                  </m:ctrlPr>
                </m:sSupPr>
                <m:e>
                  <m:r>
                    <w:rPr>
                      <w:rFonts w:ascii="Cambria Math" w:hAnsi="Cambria Math"/>
                    </w:rPr>
                    <m:t>10000</m:t>
                  </m:r>
                </m:e>
                <m:sup>
                  <m:r>
                    <w:rPr>
                      <w:rFonts w:ascii="Cambria Math" w:hAnsi="Cambria Math"/>
                    </w:rPr>
                    <m:t>-</m:t>
                  </m:r>
                  <m:f>
                    <m:fPr>
                      <m:ctrlPr>
                        <w:rPr>
                          <w:rFonts w:ascii="Cambria Math" w:hAnsi="Cambria Math"/>
                        </w:rPr>
                      </m:ctrlPr>
                    </m:fPr>
                    <m:num>
                      <m:r>
                        <w:rPr>
                          <w:rFonts w:ascii="Cambria Math" w:hAnsi="Cambria Math"/>
                        </w:rPr>
                        <m:t>2i+1</m:t>
                      </m:r>
                    </m:num>
                    <m:den>
                      <m:r>
                        <w:rPr>
                          <w:rFonts w:ascii="Cambria Math" w:hAnsi="Cambria Math"/>
                        </w:rPr>
                        <m:t>d</m:t>
                      </m:r>
                    </m:den>
                  </m:f>
                </m:sup>
              </m:sSup>
              <m:r>
                <w:rPr>
                  <w:rFonts w:ascii="Cambria Math" w:hAnsi="Cambria Math"/>
                </w:rPr>
                <m:t>#</m:t>
              </m:r>
              <m:d>
                <m:dPr>
                  <m:ctrlPr>
                    <w:rPr>
                      <w:rFonts w:ascii="Cambria Math" w:hAnsi="Cambria Math"/>
                    </w:rPr>
                  </m:ctrlPr>
                </m:dPr>
                <m:e>
                  <w:bookmarkStart w:id="11" w:name="eq8"/>
                  <m:r>
                    <w:rPr>
                      <w:rFonts w:ascii="Cambria Math" w:hAnsi="Cambria Math"/>
                    </w:rPr>
                    <m:t>8</m:t>
                  </m:r>
                  <w:bookmarkEnd w:id="11"/>
                </m:e>
              </m:d>
            </m:e>
          </m:eqArr>
        </m:oMath>
      </m:oMathPara>
    </w:p>
    <w:p>
      <w:pPr>
        <w:keepLines/>
        <w:jc w:val="center"/>
      </w:pPr>
      <w:r>
        <w:t xml:space="preserve">The quantities </w:t>
      </w:r>
      <m:oMath>
        <m:sSubSup>
          <m:e>
            <m:r>
              <m:t>ω</m:t>
              <w:rPr>
                <w:rFonts w:ascii="Cambria Math" w:hAnsi="Cambria Math"/>
                <w:sz w:val="21"/>
                <w:szCs w:val="21"/>
              </w:rPr>
            </m:r>
          </m:e>
          <m:sub>
            <m:r>
              <m:t>i</m:t>
              <w:rPr>
                <w:rFonts w:ascii="Cambria Math" w:hAnsi="Cambria Math"/>
                <w:sz w:val="21"/>
                <w:szCs w:val="21"/>
              </w:rPr>
            </m:r>
          </m:sub>
          <m:sup>
            <m:d>
              <m:dPr>
                <m:sepChr m:val=""/>
              </m:dPr>
              <m:e>
                <m:r>
                  <m:t>r</m:t>
                  <w:rPr>
                    <w:rFonts w:ascii="Cambria Math" w:hAnsi="Cambria Math"/>
                    <w:sz w:val="21"/>
                    <w:szCs w:val="21"/>
                  </w:rPr>
                </m:r>
              </m:e>
            </m:d>
          </m:sup>
        </m:sSubSup>
      </m:oMath>
      <w:r>
        <w:t xml:space="preserve"> and </w:t>
      </w:r>
      <m:oMath>
        <m:sSubSup>
          <m:e>
            <m:r>
              <m:t>ω</m:t>
              <w:rPr>
                <w:rFonts w:ascii="Cambria Math" w:hAnsi="Cambria Math"/>
                <w:sz w:val="21"/>
                <w:szCs w:val="21"/>
              </w:rPr>
            </m:r>
          </m:e>
          <m:sub>
            <m:r>
              <m:t>i</m:t>
              <w:rPr>
                <w:rFonts w:ascii="Cambria Math" w:hAnsi="Cambria Math"/>
                <w:sz w:val="21"/>
                <w:szCs w:val="21"/>
              </w:rPr>
            </m:r>
          </m:sub>
          <m:sup>
            <m:d>
              <m:dPr>
                <m:sepChr m:val=""/>
              </m:dPr>
              <m:e>
                <m:r>
                  <m:t>c</m:t>
                  <w:rPr>
                    <w:rFonts w:ascii="Cambria Math" w:hAnsi="Cambria Math"/>
                    <w:sz w:val="21"/>
                    <w:szCs w:val="21"/>
                  </w:rPr>
                </m:r>
              </m:e>
            </m:d>
          </m:sup>
        </m:sSubSup>
      </m:oMath>
      <w:r>
        <w:t xml:space="preserve"> are the row and column frequency factors used inside the sine and cosine functions. With </w:t>
      </w:r>
      <m:oMath>
        <m:r>
          <m:t>d=128</m:t>
          <w:rPr>
            <w:rFonts w:ascii="Cambria Math" w:hAnsi="Cambria Math"/>
            <w:sz w:val="21"/>
            <w:szCs w:val="21"/>
          </w:rPr>
        </m:r>
      </m:oMath>
      <w:r>
        <w:t xml:space="preserve">, the pair index </w:t>
      </w:r>
      <m:oMath>
        <m:r>
          <m:t>i</m:t>
          <w:rPr>
            <w:rFonts w:ascii="Cambria Math" w:hAnsi="Cambria Math"/>
            <w:sz w:val="21"/>
            <w:szCs w:val="21"/>
          </w:rPr>
        </m:r>
      </m:oMath>
      <w:r>
        <w:t xml:space="preserve"> ranges from 0 to 63. Both channels in a sine-cosine pair use the same factor for their axis; only the schedule assigned to the two axes differs.</w:t>
      </w:r>
    </w:p>
    <w:p w14:paraId="2AA80F1E" w14:textId="77777777" w:rsidR="00501731" w:rsidRDefault="00000000">
      <w:pPr>
        <w:keepLines/>
        <w:jc w:val="center"/>
      </w:pPr>
      <m:oMathPara>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P</m:t>
                  </m:r>
                </m:e>
                <m:sub>
                  <m:r>
                    <m:rPr>
                      <m:sty m:val="p"/>
                    </m:rPr>
                    <w:rPr>
                      <w:rFonts w:ascii="Cambria Math" w:hAnsi="Cambria Math"/>
                    </w:rPr>
                    <m:t>add</m:t>
                  </m:r>
                </m:sub>
                <m:sup>
                  <m:r>
                    <m:rPr>
                      <m:sty m:val="p"/>
                    </m:rPr>
                    <w:rPr>
                      <w:rFonts w:ascii="Cambria Math" w:hAnsi="Cambria Math"/>
                    </w:rPr>
                    <m:t>shift</m:t>
                  </m:r>
                </m:sup>
              </m:sSubSup>
              <m:r>
                <w:rPr>
                  <w:rFonts w:ascii="Cambria Math" w:hAnsi="Cambria Math"/>
                </w:rPr>
                <m:t>(r,c)=</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sSubSup>
                <m:sSubSupPr>
                  <m:ctrlPr>
                    <w:rPr>
                      <w:rFonts w:ascii="Cambria Math" w:hAnsi="Cambria Math"/>
                    </w:rPr>
                  </m:ctrlPr>
                </m:sSubSupPr>
                <m:e>
                  <m:r>
                    <w:rPr>
                      <w:rFonts w:ascii="Cambria Math" w:hAnsi="Cambria Math"/>
                    </w:rPr>
                    <m:t>P</m:t>
                  </m:r>
                </m:e>
                <m:sub>
                  <m:r>
                    <m:rPr>
                      <m:sty m:val="p"/>
                    </m:rPr>
                    <w:rPr>
                      <w:rFonts w:ascii="Cambria Math" w:hAnsi="Cambria Math"/>
                    </w:rPr>
                    <m:t>mult</m:t>
                  </m:r>
                </m:sub>
                <m:sup>
                  <m:r>
                    <m:rPr>
                      <m:sty m:val="p"/>
                    </m:rPr>
                    <w:rPr>
                      <w:rFonts w:ascii="Cambria Math" w:hAnsi="Cambria Math"/>
                    </w:rPr>
                    <m:t>shift</m:t>
                  </m:r>
                </m:sup>
              </m:sSubSup>
              <m:r>
                <w:rPr>
                  <w:rFonts w:ascii="Cambria Math" w:hAnsi="Cambria Math"/>
                </w:rPr>
                <m:t>(r,c)=</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d>
                <m:dPr>
                  <m:ctrlPr>
                    <w:rPr>
                      <w:rFonts w:ascii="Cambria Math" w:hAnsi="Cambria Math"/>
                    </w:rPr>
                  </m:ctrlPr>
                </m:dPr>
                <m:e>
                  <w:bookmarkStart w:id="12" w:name="eq9"/>
                  <m:r>
                    <w:rPr>
                      <w:rFonts w:ascii="Cambria Math" w:hAnsi="Cambria Math"/>
                    </w:rPr>
                    <m:t>9</m:t>
                  </m:r>
                  <w:bookmarkEnd w:id="12"/>
                </m:e>
              </m:d>
            </m:e>
          </m:eqArr>
        </m:oMath>
      </m:oMathPara>
    </w:p>
    <w:p w14:paraId="0C58AD78" w14:textId="77777777" w:rsidR="00501731" w:rsidRDefault="00B073C8">
      <w:r>
        <w:t>Equation (</w:t>
      </w:r>
      <w:r>
        <w:fldChar w:fldCharType="begin"/>
      </w:r>
      <w:r>
        <w:instrText xml:space="preserve"> REF eq9 \h </w:instrText>
      </w:r>
      <w:r>
        <w:fldChar w:fldCharType="separate"/>
      </w:r>
      <w:r>
        <w:t>9</w:t>
      </w:r>
      <w:r>
        <w:fldChar w:fldCharType="end"/>
      </w:r>
      <w:r>
        <w:t xml:space="preserve">) combines the axis-specific mappings </w:t>
      </w:r>
      <m:oMath>
        <m:sSup>
          <m:e>
            <m:r>
              <m:t>S</m:t>
              <w:rPr>
                <w:rFonts w:ascii="Cambria Math" w:hAnsi="Cambria Math"/>
                <w:sz w:val="21"/>
                <w:szCs w:val="21"/>
              </w:rPr>
            </m:r>
          </m:e>
          <m:sup>
            <m:d>
              <m:dPr>
                <m:sepChr m:val=""/>
              </m:dPr>
              <m:e>
                <m:r>
                  <m:t>r</m:t>
                  <w:rPr>
                    <w:rFonts w:ascii="Cambria Math" w:hAnsi="Cambria Math"/>
                    <w:sz w:val="21"/>
                    <w:szCs w:val="21"/>
                  </w:rPr>
                </m:r>
              </m:e>
            </m:d>
          </m:sup>
        </m:sSup>
        <m:r>
          <m:t>(r)</m:t>
          <w:rPr>
            <w:rFonts w:ascii="Cambria Math" w:hAnsi="Cambria Math"/>
            <w:sz w:val="21"/>
            <w:szCs w:val="21"/>
          </w:rPr>
        </m:r>
      </m:oMath>
      <w:r>
        <w:t xml:space="preserve"> and </w:t>
      </w:r>
      <m:oMath>
        <m:sSup>
          <m:e>
            <m:r>
              <m:t>S</m:t>
              <w:rPr>
                <w:rFonts w:ascii="Cambria Math" w:hAnsi="Cambria Math"/>
                <w:sz w:val="21"/>
                <w:szCs w:val="21"/>
              </w:rPr>
            </m:r>
          </m:e>
          <m:sup>
            <m:d>
              <m:dPr>
                <m:sepChr m:val=""/>
              </m:dPr>
              <m:e>
                <m:r>
                  <m:t>c</m:t>
                  <w:rPr>
                    <w:rFonts w:ascii="Cambria Math" w:hAnsi="Cambria Math"/>
                    <w:sz w:val="21"/>
                    <w:szCs w:val="21"/>
                  </w:rPr>
                </m:r>
              </m:e>
            </m:d>
          </m:sup>
        </m:sSup>
        <m:r>
          <m:t>(c)</m:t>
          <w:rPr>
            <w:rFonts w:ascii="Cambria Math" w:hAnsi="Cambria Math"/>
            <w:sz w:val="21"/>
            <w:szCs w:val="21"/>
          </w:rPr>
        </m:r>
      </m:oMath>
      <w:r>
        <w:t xml:space="preserve"> using the same addition and multiplication rules as before. The superscripts label the frequency schedule used for each axis; they are not powers. The term shifted therefore refers only to the one-index offset between the two schedules. It does not move a patch, change its row or column, or alter token order. Patch ordering and position assignment are examined separately in Section 3.5.</w:t>
      </w:r>
    </w:p>
    <w:p w14:paraId="41039794" w14:textId="77777777" w:rsidR="00501731" w:rsidRDefault="00B073C8">
      <w:pPr>
        <w:pStyle w:val="Heading3"/>
      </w:pPr>
      <w:r>
        <w:t>3.4.4 Squared and Radial Extensions</w:t>
      </w:r>
    </w:p>
    <w:p w14:paraId="41DAF171" w14:textId="774548C3" w:rsidR="00501731" w:rsidRDefault="00B073C8">
      <w:r>
        <w:t xml:space="preserve">The squared designs test whether the sign of the multiplicative positional term is useful. The unshifted version first multiplies the row and column vectors component by component and then squares every result; the shifted squared version applies the same operation after using the two shifted frequency schedules. The radial design tests a different simplification. It replaces the coordinate pair </w:t>
      </w:r>
      <m:oMath>
        <m:r>
          <m:t>(r,c)</m:t>
          <w:rPr>
            <w:rFonts w:ascii="Cambria Math" w:hAnsi="Cambria Math"/>
            <w:sz w:val="21"/>
            <w:szCs w:val="21"/>
          </w:rPr>
        </m:r>
      </m:oMath>
      <w:r>
        <w:t xml:space="preserve"> with its Euclidean distance from the top-left patch at </w:t>
      </w:r>
      <m:oMath>
        <m:r>
          <m:t>(0,0)</m:t>
          <w:rPr>
            <w:rFonts w:ascii="Cambria Math" w:hAnsi="Cambria Math"/>
            <w:sz w:val="21"/>
            <w:szCs w:val="21"/>
          </w:rPr>
        </m:r>
      </m:oMath>
      <w:r>
        <w:t xml:space="preserve"> and applies the common sinusoidal mapping to that single value. Equation (</w:t>
      </w:r>
      <w:r>
        <w:fldChar w:fldCharType="begin"/>
      </w:r>
      <w:r>
        <w:instrText xml:space="preserve"> REF eq10 \h </w:instrText>
      </w:r>
      <w:r>
        <w:fldChar w:fldCharType="separate"/>
      </w:r>
      <w:r>
        <w:t>10</w:t>
      </w:r>
      <w:r>
        <w:fldChar w:fldCharType="end"/>
      </w:r>
      <w:r>
        <w:t>) defines the unshifted squared and radial constructions.</w:t>
      </w:r>
    </w:p>
    <w:p w14:paraId="076D4C61"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P</m:t>
                  </m:r>
                </m:e>
                <m:sub>
                  <m:r>
                    <m:rPr>
                      <m:sty m:val="p"/>
                    </m:rPr>
                    <w:rPr>
                      <w:rFonts w:ascii="Cambria Math" w:hAnsi="Cambria Math"/>
                    </w:rPr>
                    <m:t>sq</m:t>
                  </m:r>
                </m:sub>
              </m:sSub>
              <m:r>
                <w:rPr>
                  <w:rFonts w:ascii="Cambria Math" w:hAnsi="Cambria Math"/>
                </w:rPr>
                <m:t>(r,c)=</m:t>
              </m:r>
              <m:sSup>
                <m:sSupPr>
                  <m:ctrlPr>
                    <w:rPr>
                      <w:rFonts w:ascii="Cambria Math" w:hAnsi="Cambria Math"/>
                    </w:rPr>
                  </m:ctrlPr>
                </m:sSupPr>
                <m:e>
                  <m:d>
                    <m:dPr>
                      <m:begChr m:val="["/>
                      <m:endChr m:val="]"/>
                      <m:ctrlPr>
                        <w:rPr>
                          <w:rFonts w:ascii="Cambria Math" w:hAnsi="Cambria Math"/>
                        </w:rPr>
                      </m:ctrlPr>
                    </m:dPr>
                    <m:e>
                      <m:r>
                        <w:rPr>
                          <w:rFonts w:ascii="Cambria Math" w:hAnsi="Cambria Math"/>
                        </w:rPr>
                        <m:t>S(r)⊙S(c)</m:t>
                      </m:r>
                    </m:e>
                  </m:d>
                </m:e>
                <m:sup>
                  <m:r>
                    <w:rPr>
                      <w:rFonts w:ascii="Cambria Math" w:hAnsi="Cambria Math"/>
                    </w:rPr>
                    <m:t>2</m:t>
                  </m:r>
                </m:sup>
              </m:sSup>
              <m:r>
                <w:rPr>
                  <w:rFonts w:ascii="Cambria Math" w:hAnsi="Cambria Math"/>
                </w:rPr>
                <m:t>,ρ(r,c)=</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e>
              </m:rad>
              <m: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rad</m:t>
                  </m:r>
                </m:sub>
              </m:sSub>
              <m:r>
                <w:rPr>
                  <w:rFonts w:ascii="Cambria Math" w:hAnsi="Cambria Math"/>
                </w:rPr>
                <m:t>(r,c)=S(ρ(r,c))#</m:t>
              </m:r>
              <m:d>
                <m:dPr>
                  <m:ctrlPr>
                    <w:rPr>
                      <w:rFonts w:ascii="Cambria Math" w:hAnsi="Cambria Math"/>
                    </w:rPr>
                  </m:ctrlPr>
                </m:dPr>
                <m:e>
                  <w:bookmarkStart w:id="13" w:name="eq10"/>
                  <m:r>
                    <w:rPr>
                      <w:rFonts w:ascii="Cambria Math" w:hAnsi="Cambria Math"/>
                    </w:rPr>
                    <m:t>10</m:t>
                  </m:r>
                  <w:bookmarkEnd w:id="13"/>
                </m:e>
              </m:d>
            </m:e>
          </m:eqArr>
        </m:oMath>
      </m:oMathPara>
    </w:p>
    <w:p w14:paraId="0717CDEE" w14:textId="77777777" w:rsidR="00501731" w:rsidRDefault="00B073C8">
      <w:r>
        <w:t xml:space="preserve">In Equation (10), </w:t>
      </w:r>
      <m:oMath>
        <m:sSub>
          <m:e>
            <m:r>
              <m:t>P</m:t>
              <w:rPr>
                <w:rFonts w:ascii="Cambria Math" w:hAnsi="Cambria Math"/>
                <w:sz w:val="21"/>
                <w:szCs w:val="21"/>
              </w:rPr>
            </m:r>
          </m:e>
          <m:sub>
            <m:r>
              <m:rPr>
                <m:nor/>
              </m:rPr>
              <m:t>sq</m:t>
              <w:rPr>
                <w:rFonts w:ascii="Cambria Math" w:hAnsi="Cambria Math"/>
                <w:sz w:val="21"/>
                <w:szCs w:val="21"/>
              </w:rPr>
            </m:r>
          </m:sub>
        </m:sSub>
      </m:oMath>
      <w:r>
        <w:t xml:space="preserve"> is the squared multiplicative term, </w:t>
      </w:r>
      <m:oMath>
        <m:r>
          <m:t>ρ(r,c)</m:t>
          <w:rPr>
            <w:rFonts w:ascii="Cambria Math" w:hAnsi="Cambria Math"/>
            <w:sz w:val="21"/>
            <w:szCs w:val="21"/>
          </w:rPr>
        </m:r>
      </m:oMath>
      <w:r>
        <w:t xml:space="preserve"> is the radial distance, and </w:t>
      </w:r>
      <m:oMath>
        <m:sSub>
          <m:e>
            <m:r>
              <m:t>P</m:t>
              <w:rPr>
                <w:rFonts w:ascii="Cambria Math" w:hAnsi="Cambria Math"/>
                <w:sz w:val="21"/>
                <w:szCs w:val="21"/>
              </w:rPr>
            </m:r>
          </m:e>
          <m:sub>
            <m:r>
              <m:rPr>
                <m:nor/>
              </m:rPr>
              <m:t>rad</m:t>
              <w:rPr>
                <w:rFonts w:ascii="Cambria Math" w:hAnsi="Cambria Math"/>
                <w:sz w:val="21"/>
                <w:szCs w:val="21"/>
              </w:rPr>
            </m:r>
          </m:sub>
        </m:sSub>
      </m:oMath>
      <w:r>
        <w:t xml:space="preserve"> is the corresponding radial positional term. Squaring makes every component non-negative, but it discards whether the original product was positive or negative. The radial construction preserves distance from the top-left origin but not direction: patches at the same distance receive the same vector. These methods remain parameter-free and are treated as targeted extensions rather than assumed improvements.</w:t>
      </w:r>
    </w:p>
    <w:p>
      <w:r>
        <w:t>The core comparison is deliberately limited to methods that produce a 128-component positional term and add it at the same point in the shared ViT. Other approaches reviewed in Sections 2.3 and 2.6, including relative-position, conditional and rotary encodings [10]–[12], either modify the attention calculation or introduce learned position-generating components. Including them would change more than the positional vector itself. The hybrid and dual-branch models also alter parameter count or architecture, so they are evaluated separately in Section 3.6.</w:t>
      </w:r>
    </w:p>
    <w:p w14:paraId="3743C8C7" w14:textId="676C4D12" w:rsidR="00501731" w:rsidRDefault="00B073C8">
      <w:pPr>
        <w:pStyle w:val="Caption"/>
        <w:keepNext/>
        <w:jc w:val="center"/>
      </w:pPr>
      <w:r>
        <w:rPr>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3</w:t>
      </w:r>
      <w:r>
        <w:rPr>
          <w:sz w:val="20"/>
        </w:rPr>
        <w:fldChar w:fldCharType="end"/>
      </w:r>
      <w:r>
        <w:rPr>
          <w:sz w:val="20"/>
        </w:rPr>
        <w:t>. Positional-encoding configurations evaluated in Section 3.4.</w:t>
      </w:r>
    </w:p>
    <w:tbl>
      <w:tblPr>
        <w:tblStyle w:val="TableGrid"/>
        <w:tblW w:w="8780" w:type="dxa"/>
        <w:tblInd w:w="120" w:type="dxa"/>
        <w:tblLayout w:type="fixed"/>
        <w:tblLook w:val="04A0" w:firstRow="1" w:lastRow="0" w:firstColumn="1" w:lastColumn="0" w:noHBand="0" w:noVBand="1"/>
      </w:tblPr>
      <w:tblGrid>
        <w:gridCol w:w="2200"/>
        <w:gridCol w:w="3000"/>
        <w:gridCol w:w="1300"/>
        <w:gridCol w:w="2280"/>
      </w:tblGrid>
      <w:tr w:rsidR="00501731" w14:paraId="6CA5ABBE" w14:textId="77777777">
        <w:trPr>
          <w:cantSplit/>
          <w:tblHeader/>
        </w:trPr>
        <w:tc>
          <w:tcPr>
            <w:tcW w:w="2200" w:type="dxa"/>
            <w:tcMar>
              <w:top w:w="80" w:type="dxa"/>
              <w:left w:w="100" w:type="dxa"/>
              <w:bottom w:w="80" w:type="dxa"/>
              <w:right w:w="100" w:type="dxa"/>
            </w:tcMar>
            <w:vAlign w:val="center"/>
          </w:tcPr>
          <w:p w14:paraId="3E7A3F4D" w14:textId="77777777" w:rsidR="00501731" w:rsidRDefault="00B073C8">
            <w:pPr>
              <w:keepNext/>
              <w:spacing w:after="0"/>
              <w:jc w:val="left"/>
            </w:pPr>
            <w:r>
              <w:rPr>
                <w:b/>
                <w:sz w:val="18"/>
              </w:rPr>
              <w:t>Design</w:t>
            </w:r>
          </w:p>
        </w:tc>
        <w:tc>
          <w:tcPr>
            <w:tcW w:w="3000" w:type="dxa"/>
            <w:tcMar>
              <w:top w:w="80" w:type="dxa"/>
              <w:left w:w="100" w:type="dxa"/>
              <w:bottom w:w="80" w:type="dxa"/>
              <w:right w:w="100" w:type="dxa"/>
            </w:tcMar>
            <w:vAlign w:val="center"/>
          </w:tcPr>
          <w:p w14:paraId="72DB51F9" w14:textId="77777777" w:rsidR="00501731" w:rsidRDefault="00B073C8">
            <w:pPr>
              <w:keepNext/>
              <w:spacing w:after="0"/>
              <w:jc w:val="left"/>
            </w:pPr>
            <w:r>
              <w:rPr>
                <w:b/>
                <w:sz w:val="18"/>
              </w:rPr>
              <w:t>Patch positional term</w:t>
            </w:r>
          </w:p>
        </w:tc>
        <w:tc>
          <w:tcPr>
            <w:tcW w:w="1300" w:type="dxa"/>
            <w:tcMar>
              <w:top w:w="80" w:type="dxa"/>
              <w:left w:w="100" w:type="dxa"/>
              <w:bottom w:w="80" w:type="dxa"/>
              <w:right w:w="100" w:type="dxa"/>
            </w:tcMar>
            <w:vAlign w:val="center"/>
          </w:tcPr>
          <w:p w14:paraId="62E4B7F7" w14:textId="77777777" w:rsidR="00501731" w:rsidRDefault="00B073C8">
            <w:pPr>
              <w:keepNext/>
              <w:spacing w:after="0"/>
              <w:jc w:val="center"/>
            </w:pPr>
            <w:r>
              <w:rPr>
                <w:b/>
                <w:sz w:val="18"/>
              </w:rPr>
              <w:t>Source</w:t>
            </w:r>
          </w:p>
        </w:tc>
        <w:tc>
          <w:tcPr>
            <w:tcW w:w="2280" w:type="dxa"/>
            <w:tcMar>
              <w:top w:w="80" w:type="dxa"/>
              <w:left w:w="100" w:type="dxa"/>
              <w:bottom w:w="80" w:type="dxa"/>
              <w:right w:w="100" w:type="dxa"/>
            </w:tcMar>
            <w:vAlign w:val="center"/>
          </w:tcPr>
          <w:p w14:paraId="7B7257F7" w14:textId="77777777" w:rsidR="00501731" w:rsidRDefault="00B073C8">
            <w:pPr>
              <w:keepNext/>
              <w:spacing w:after="0"/>
              <w:jc w:val="center"/>
            </w:pPr>
            <w:r>
              <w:rPr>
                <w:b/>
                <w:sz w:val="18"/>
              </w:rPr>
              <w:t>Trainable PE parameters</w:t>
            </w:r>
          </w:p>
        </w:tc>
      </w:tr>
      <w:tr w:rsidR="00501731" w14:paraId="35B64C36" w14:textId="77777777">
        <w:trPr>
          <w:cantSplit/>
        </w:trPr>
        <w:tc>
          <w:tcPr>
            <w:tcW w:w="2200" w:type="dxa"/>
            <w:tcMar>
              <w:top w:w="80" w:type="dxa"/>
              <w:left w:w="100" w:type="dxa"/>
              <w:bottom w:w="80" w:type="dxa"/>
              <w:right w:w="100" w:type="dxa"/>
            </w:tcMar>
            <w:vAlign w:val="center"/>
          </w:tcPr>
          <w:p w14:paraId="2ABA9288" w14:textId="77777777" w:rsidR="00501731" w:rsidRDefault="00B073C8">
            <w:pPr>
              <w:keepNext/>
              <w:spacing w:after="0"/>
              <w:jc w:val="left"/>
            </w:pPr>
            <w:r>
              <w:rPr>
                <w:sz w:val="18"/>
              </w:rPr>
              <w:t>No PE</w:t>
            </w:r>
          </w:p>
        </w:tc>
        <w:tc>
          <w:tcPr>
            <w:tcW w:w="3000" w:type="dxa"/>
            <w:tcMar>
              <w:top w:w="80" w:type="dxa"/>
              <w:left w:w="100" w:type="dxa"/>
              <w:bottom w:w="80" w:type="dxa"/>
              <w:right w:w="100" w:type="dxa"/>
            </w:tcMar>
            <w:vAlign w:val="center"/>
          </w:tcPr>
          <w:p w14:paraId="529444A5" w14:textId="77777777" w:rsidR="00501731" w:rsidRDefault="00B073C8">
            <w:pPr>
              <w:keepNext/>
              <w:spacing w:after="0"/>
              <w:jc w:val="left"/>
            </w:pPr>
            <w:r>
              <w:rPr>
                <w:sz w:val="18"/>
              </w:rPr>
              <w:t>0</w:t>
            </w:r>
          </w:p>
        </w:tc>
        <w:tc>
          <w:tcPr>
            <w:tcW w:w="1300" w:type="dxa"/>
            <w:tcMar>
              <w:top w:w="80" w:type="dxa"/>
              <w:left w:w="100" w:type="dxa"/>
              <w:bottom w:w="80" w:type="dxa"/>
              <w:right w:w="100" w:type="dxa"/>
            </w:tcMar>
            <w:vAlign w:val="center"/>
          </w:tcPr>
          <w:p w14:paraId="1D1A5498" w14:textId="77777777" w:rsidR="00D45184" w:rsidRDefault="00000000">
            <w:r>
              <w:t>Not used</w:t>
            </w:r>
          </w:p>
        </w:tc>
        <w:tc>
          <w:tcPr>
            <w:tcW w:w="2280" w:type="dxa"/>
            <w:tcMar>
              <w:top w:w="80" w:type="dxa"/>
              <w:left w:w="100" w:type="dxa"/>
              <w:bottom w:w="80" w:type="dxa"/>
              <w:right w:w="100" w:type="dxa"/>
            </w:tcMar>
            <w:vAlign w:val="center"/>
          </w:tcPr>
          <w:p w14:paraId="162C1F37" w14:textId="77777777" w:rsidR="00501731" w:rsidRDefault="00B073C8">
            <w:pPr>
              <w:keepNext/>
              <w:spacing w:after="0"/>
              <w:jc w:val="center"/>
            </w:pPr>
            <w:r>
              <w:rPr>
                <w:sz w:val="18"/>
              </w:rPr>
              <w:t>0</w:t>
            </w:r>
          </w:p>
        </w:tc>
      </w:tr>
      <w:tr w:rsidR="00501731" w14:paraId="68B7590A" w14:textId="77777777">
        <w:trPr>
          <w:cantSplit/>
        </w:trPr>
        <w:tc>
          <w:tcPr>
            <w:tcW w:w="2200" w:type="dxa"/>
            <w:tcMar>
              <w:top w:w="80" w:type="dxa"/>
              <w:left w:w="100" w:type="dxa"/>
              <w:bottom w:w="80" w:type="dxa"/>
              <w:right w:w="100" w:type="dxa"/>
            </w:tcMar>
            <w:vAlign w:val="center"/>
          </w:tcPr>
          <w:p w14:paraId="2D96752E" w14:textId="77777777" w:rsidR="00501731" w:rsidRDefault="00B073C8">
            <w:pPr>
              <w:keepNext/>
              <w:spacing w:after="0"/>
              <w:jc w:val="left"/>
            </w:pPr>
            <w:r>
              <w:rPr>
                <w:sz w:val="18"/>
              </w:rPr>
              <w:t>Learnable absolute</w:t>
            </w:r>
          </w:p>
        </w:tc>
        <w:tc>
          <w:tcPr>
            <w:tcW w:w="3000" w:type="dxa"/>
            <w:tcMar>
              <w:top w:w="80" w:type="dxa"/>
              <w:left w:w="100" w:type="dxa"/>
              <w:bottom w:w="80" w:type="dxa"/>
              <w:right w:w="100" w:type="dxa"/>
            </w:tcMar>
            <w:vAlign w:val="center"/>
          </w:tcPr>
          <w:p w14:paraId="001A3D15" w14:textId="77777777" w:rsidR="00501731" w:rsidRDefault="00000000">
            <w:pPr>
              <w:keepNext/>
              <w:spacing w:after="0"/>
              <w:jc w:val="left"/>
            </w:pPr>
            <m:oMathPara>
              <m:oMath>
                <m:sSub>
                  <m:sSubPr>
                    <m:ctrlPr>
                      <w:rPr>
                        <w:rFonts w:ascii="Cambria Math" w:hAnsi="Cambria Math"/>
                      </w:rPr>
                    </m:ctrlPr>
                  </m:sSubPr>
                  <m:e>
                    <m:r>
                      <w:rPr>
                        <w:rFonts w:ascii="Cambria Math" w:hAnsi="Cambria Math"/>
                      </w:rPr>
                      <m:t>L</m:t>
                    </m:r>
                  </m:e>
                  <m:sub>
                    <m:r>
                      <w:rPr>
                        <w:rFonts w:ascii="Cambria Math" w:hAnsi="Cambria Math"/>
                      </w:rPr>
                      <m:t>j</m:t>
                    </m:r>
                  </m:sub>
                </m:sSub>
              </m:oMath>
            </m:oMathPara>
          </w:p>
        </w:tc>
        <w:tc>
          <w:tcPr>
            <w:tcW w:w="1300" w:type="dxa"/>
            <w:tcMar>
              <w:top w:w="80" w:type="dxa"/>
              <w:left w:w="100" w:type="dxa"/>
              <w:bottom w:w="80" w:type="dxa"/>
              <w:right w:w="100" w:type="dxa"/>
            </w:tcMar>
            <w:vAlign w:val="center"/>
          </w:tcPr>
          <w:p w14:paraId="09A5FA2A" w14:textId="77777777" w:rsidR="00501731" w:rsidRDefault="00B073C8">
            <w:pPr>
              <w:keepNext/>
              <w:spacing w:after="0"/>
              <w:jc w:val="center"/>
            </w:pPr>
            <w:r>
              <w:rPr>
                <w:sz w:val="18"/>
              </w:rPr>
              <w:t>Learned</w:t>
            </w:r>
          </w:p>
        </w:tc>
        <w:tc>
          <w:tcPr>
            <w:tcW w:w="2280" w:type="dxa"/>
            <w:tcMar>
              <w:top w:w="80" w:type="dxa"/>
              <w:left w:w="100" w:type="dxa"/>
              <w:bottom w:w="80" w:type="dxa"/>
              <w:right w:w="100" w:type="dxa"/>
            </w:tcMar>
            <w:vAlign w:val="center"/>
          </w:tcPr>
          <w:p w14:paraId="3F7AE531" w14:textId="77777777" w:rsidR="00501731" w:rsidRDefault="00B073C8">
            <w:pPr>
              <w:keepNext/>
              <w:spacing w:after="0"/>
              <w:jc w:val="center"/>
            </w:pPr>
            <w:r>
              <w:rPr>
                <w:sz w:val="18"/>
              </w:rPr>
              <w:t>8,320</w:t>
            </w:r>
          </w:p>
        </w:tc>
      </w:tr>
      <w:tr w:rsidR="00501731" w14:paraId="2C6029AF" w14:textId="77777777">
        <w:trPr>
          <w:cantSplit/>
        </w:trPr>
        <w:tc>
          <w:tcPr>
            <w:tcW w:w="2200" w:type="dxa"/>
            <w:tcMar>
              <w:top w:w="80" w:type="dxa"/>
              <w:left w:w="100" w:type="dxa"/>
              <w:bottom w:w="80" w:type="dxa"/>
              <w:right w:w="100" w:type="dxa"/>
            </w:tcMar>
            <w:vAlign w:val="center"/>
          </w:tcPr>
          <w:p w14:paraId="5CDFB3CA" w14:textId="77777777" w:rsidR="00501731" w:rsidRDefault="00B073C8">
            <w:pPr>
              <w:keepNext/>
              <w:spacing w:after="0"/>
              <w:jc w:val="left"/>
            </w:pPr>
            <w:r>
              <w:rPr>
                <w:sz w:val="18"/>
              </w:rPr>
              <w:t>Row</w:t>
            </w:r>
          </w:p>
        </w:tc>
        <w:tc>
          <w:tcPr>
            <w:tcW w:w="3000" w:type="dxa"/>
            <w:tcMar>
              <w:top w:w="80" w:type="dxa"/>
              <w:left w:w="100" w:type="dxa"/>
              <w:bottom w:w="80" w:type="dxa"/>
              <w:right w:w="100" w:type="dxa"/>
            </w:tcMar>
            <w:vAlign w:val="center"/>
          </w:tcPr>
          <w:p w14:paraId="0D014073" w14:textId="77777777" w:rsidR="00501731" w:rsidRDefault="00B073C8">
            <w:pPr>
              <w:keepNext/>
              <w:spacing w:after="0"/>
              <w:jc w:val="left"/>
            </w:pPr>
            <m:oMathPara>
              <m:oMath>
                <m:r>
                  <w:rPr>
                    <w:rFonts w:ascii="Cambria Math" w:hAnsi="Cambria Math"/>
                  </w:rPr>
                  <m:t>S(r)</m:t>
                </m:r>
              </m:oMath>
            </m:oMathPara>
          </w:p>
        </w:tc>
        <w:tc>
          <w:tcPr>
            <w:tcW w:w="1300" w:type="dxa"/>
            <w:tcMar>
              <w:top w:w="80" w:type="dxa"/>
              <w:left w:w="100" w:type="dxa"/>
              <w:bottom w:w="80" w:type="dxa"/>
              <w:right w:w="100" w:type="dxa"/>
            </w:tcMar>
            <w:vAlign w:val="center"/>
          </w:tcPr>
          <w:p w14:paraId="04123D1E"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4ABF6A5C" w14:textId="77777777" w:rsidR="00501731" w:rsidRDefault="00B073C8">
            <w:pPr>
              <w:keepNext/>
              <w:spacing w:after="0"/>
              <w:jc w:val="center"/>
            </w:pPr>
            <w:r>
              <w:rPr>
                <w:sz w:val="18"/>
              </w:rPr>
              <w:t>0</w:t>
            </w:r>
          </w:p>
        </w:tc>
      </w:tr>
      <w:tr w:rsidR="00501731" w14:paraId="15FEFAD6" w14:textId="77777777">
        <w:trPr>
          <w:cantSplit/>
        </w:trPr>
        <w:tc>
          <w:tcPr>
            <w:tcW w:w="2200" w:type="dxa"/>
            <w:tcMar>
              <w:top w:w="80" w:type="dxa"/>
              <w:left w:w="100" w:type="dxa"/>
              <w:bottom w:w="80" w:type="dxa"/>
              <w:right w:w="100" w:type="dxa"/>
            </w:tcMar>
            <w:vAlign w:val="center"/>
          </w:tcPr>
          <w:p w14:paraId="002BE563" w14:textId="77777777" w:rsidR="00501731" w:rsidRDefault="00B073C8">
            <w:pPr>
              <w:keepNext/>
              <w:spacing w:after="0"/>
              <w:jc w:val="left"/>
            </w:pPr>
            <w:r>
              <w:rPr>
                <w:sz w:val="18"/>
              </w:rPr>
              <w:t>Column</w:t>
            </w:r>
          </w:p>
        </w:tc>
        <w:tc>
          <w:tcPr>
            <w:tcW w:w="3000" w:type="dxa"/>
            <w:tcMar>
              <w:top w:w="80" w:type="dxa"/>
              <w:left w:w="100" w:type="dxa"/>
              <w:bottom w:w="80" w:type="dxa"/>
              <w:right w:w="100" w:type="dxa"/>
            </w:tcMar>
            <w:vAlign w:val="center"/>
          </w:tcPr>
          <w:p w14:paraId="2F0BAD08" w14:textId="77777777" w:rsidR="00501731" w:rsidRDefault="00B073C8">
            <w:pPr>
              <w:keepNext/>
              <w:spacing w:after="0"/>
              <w:jc w:val="left"/>
            </w:pPr>
            <m:oMathPara>
              <m:oMath>
                <m:r>
                  <w:rPr>
                    <w:rFonts w:ascii="Cambria Math" w:hAnsi="Cambria Math"/>
                  </w:rPr>
                  <m:t>S(c)</m:t>
                </m:r>
              </m:oMath>
            </m:oMathPara>
          </w:p>
        </w:tc>
        <w:tc>
          <w:tcPr>
            <w:tcW w:w="1300" w:type="dxa"/>
            <w:tcMar>
              <w:top w:w="80" w:type="dxa"/>
              <w:left w:w="100" w:type="dxa"/>
              <w:bottom w:w="80" w:type="dxa"/>
              <w:right w:w="100" w:type="dxa"/>
            </w:tcMar>
            <w:vAlign w:val="center"/>
          </w:tcPr>
          <w:p w14:paraId="6DF9C9DF"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22C2608E" w14:textId="77777777" w:rsidR="00501731" w:rsidRDefault="00B073C8">
            <w:pPr>
              <w:keepNext/>
              <w:spacing w:after="0"/>
              <w:jc w:val="center"/>
            </w:pPr>
            <w:r>
              <w:rPr>
                <w:sz w:val="18"/>
              </w:rPr>
              <w:t>0</w:t>
            </w:r>
          </w:p>
        </w:tc>
      </w:tr>
      <w:tr w:rsidR="00501731" w14:paraId="2FB1BD0A" w14:textId="77777777">
        <w:trPr>
          <w:cantSplit/>
        </w:trPr>
        <w:tc>
          <w:tcPr>
            <w:tcW w:w="2200" w:type="dxa"/>
            <w:tcMar>
              <w:top w:w="80" w:type="dxa"/>
              <w:left w:w="100" w:type="dxa"/>
              <w:bottom w:w="80" w:type="dxa"/>
              <w:right w:w="100" w:type="dxa"/>
            </w:tcMar>
            <w:vAlign w:val="center"/>
          </w:tcPr>
          <w:p w14:paraId="71E98FA6" w14:textId="77777777" w:rsidR="00501731" w:rsidRDefault="00B073C8">
            <w:pPr>
              <w:keepNext/>
              <w:spacing w:after="0"/>
              <w:jc w:val="left"/>
            </w:pPr>
            <w:r>
              <w:rPr>
                <w:sz w:val="18"/>
              </w:rPr>
              <w:t>Additive</w:t>
            </w:r>
          </w:p>
        </w:tc>
        <w:tc>
          <w:tcPr>
            <w:tcW w:w="3000" w:type="dxa"/>
            <w:tcMar>
              <w:top w:w="80" w:type="dxa"/>
              <w:left w:w="100" w:type="dxa"/>
              <w:bottom w:w="80" w:type="dxa"/>
              <w:right w:w="100" w:type="dxa"/>
            </w:tcMar>
            <w:vAlign w:val="center"/>
          </w:tcPr>
          <w:p w14:paraId="2838BE14" w14:textId="77777777" w:rsidR="00501731" w:rsidRDefault="00B073C8">
            <w:pPr>
              <w:keepNext/>
              <w:spacing w:after="0"/>
              <w:jc w:val="left"/>
            </w:pPr>
            <m:oMathPara>
              <m:oMath>
                <m:r>
                  <w:rPr>
                    <w:rFonts w:ascii="Cambria Math" w:hAnsi="Cambria Math"/>
                  </w:rPr>
                  <m:t>S(r)+S(c)</m:t>
                </m:r>
              </m:oMath>
            </m:oMathPara>
          </w:p>
        </w:tc>
        <w:tc>
          <w:tcPr>
            <w:tcW w:w="1300" w:type="dxa"/>
            <w:tcMar>
              <w:top w:w="80" w:type="dxa"/>
              <w:left w:w="100" w:type="dxa"/>
              <w:bottom w:w="80" w:type="dxa"/>
              <w:right w:w="100" w:type="dxa"/>
            </w:tcMar>
            <w:vAlign w:val="center"/>
          </w:tcPr>
          <w:p w14:paraId="23E0D8F6"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03F02B17" w14:textId="77777777" w:rsidR="00501731" w:rsidRDefault="00B073C8">
            <w:pPr>
              <w:keepNext/>
              <w:spacing w:after="0"/>
              <w:jc w:val="center"/>
            </w:pPr>
            <w:r>
              <w:rPr>
                <w:sz w:val="18"/>
              </w:rPr>
              <w:t>0</w:t>
            </w:r>
          </w:p>
        </w:tc>
      </w:tr>
      <w:tr w:rsidR="00501731" w14:paraId="05B66BEE" w14:textId="77777777">
        <w:trPr>
          <w:cantSplit/>
        </w:trPr>
        <w:tc>
          <w:tcPr>
            <w:tcW w:w="2200" w:type="dxa"/>
            <w:tcMar>
              <w:top w:w="80" w:type="dxa"/>
              <w:left w:w="100" w:type="dxa"/>
              <w:bottom w:w="80" w:type="dxa"/>
              <w:right w:w="100" w:type="dxa"/>
            </w:tcMar>
            <w:vAlign w:val="center"/>
          </w:tcPr>
          <w:p w14:paraId="50ADFE80" w14:textId="77777777" w:rsidR="00501731" w:rsidRDefault="00B073C8">
            <w:pPr>
              <w:keepNext/>
              <w:spacing w:after="0"/>
              <w:jc w:val="left"/>
            </w:pPr>
            <w:r>
              <w:rPr>
                <w:sz w:val="18"/>
              </w:rPr>
              <w:t>Shifted additive</w:t>
            </w:r>
          </w:p>
        </w:tc>
        <w:tc>
          <w:tcPr>
            <w:tcW w:w="3000" w:type="dxa"/>
            <w:tcMar>
              <w:top w:w="80" w:type="dxa"/>
              <w:left w:w="100" w:type="dxa"/>
              <w:bottom w:w="80" w:type="dxa"/>
              <w:right w:w="100" w:type="dxa"/>
            </w:tcMar>
            <w:vAlign w:val="center"/>
          </w:tcPr>
          <w:p w14:paraId="3E09547C" w14:textId="77777777" w:rsidR="00501731" w:rsidRDefault="00000000">
            <w:pPr>
              <w:keepNext/>
              <w:spacing w:after="0"/>
              <w:jc w:val="left"/>
            </w:pPr>
            <m:oMathPara>
              <m:oMath>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oMath>
            </m:oMathPara>
          </w:p>
        </w:tc>
        <w:tc>
          <w:tcPr>
            <w:tcW w:w="1300" w:type="dxa"/>
            <w:tcMar>
              <w:top w:w="80" w:type="dxa"/>
              <w:left w:w="100" w:type="dxa"/>
              <w:bottom w:w="80" w:type="dxa"/>
              <w:right w:w="100" w:type="dxa"/>
            </w:tcMar>
            <w:vAlign w:val="center"/>
          </w:tcPr>
          <w:p w14:paraId="06FAE6AD"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62703537" w14:textId="77777777" w:rsidR="00501731" w:rsidRDefault="00B073C8">
            <w:pPr>
              <w:keepNext/>
              <w:spacing w:after="0"/>
              <w:jc w:val="center"/>
            </w:pPr>
            <w:r>
              <w:rPr>
                <w:sz w:val="18"/>
              </w:rPr>
              <w:t>0</w:t>
            </w:r>
          </w:p>
        </w:tc>
      </w:tr>
      <w:tr w:rsidR="00501731" w14:paraId="5EFF0C8F" w14:textId="77777777">
        <w:trPr>
          <w:cantSplit/>
        </w:trPr>
        <w:tc>
          <w:tcPr>
            <w:tcW w:w="2200" w:type="dxa"/>
            <w:tcMar>
              <w:top w:w="80" w:type="dxa"/>
              <w:left w:w="100" w:type="dxa"/>
              <w:bottom w:w="80" w:type="dxa"/>
              <w:right w:w="100" w:type="dxa"/>
            </w:tcMar>
            <w:vAlign w:val="center"/>
          </w:tcPr>
          <w:p w14:paraId="425740FC" w14:textId="77777777" w:rsidR="00501731" w:rsidRDefault="00B073C8">
            <w:pPr>
              <w:keepNext/>
              <w:spacing w:after="0"/>
              <w:jc w:val="left"/>
            </w:pPr>
            <w:r>
              <w:rPr>
                <w:sz w:val="18"/>
              </w:rPr>
              <w:t>Multiplicative</w:t>
            </w:r>
          </w:p>
        </w:tc>
        <w:tc>
          <w:tcPr>
            <w:tcW w:w="3000" w:type="dxa"/>
            <w:tcMar>
              <w:top w:w="80" w:type="dxa"/>
              <w:left w:w="100" w:type="dxa"/>
              <w:bottom w:w="80" w:type="dxa"/>
              <w:right w:w="100" w:type="dxa"/>
            </w:tcMar>
            <w:vAlign w:val="center"/>
          </w:tcPr>
          <w:p w14:paraId="2864CDE1" w14:textId="77777777" w:rsidR="00501731" w:rsidRDefault="00B073C8">
            <w:pPr>
              <w:keepNext/>
              <w:spacing w:after="0"/>
              <w:jc w:val="left"/>
            </w:pPr>
            <m:oMathPara>
              <m:oMath>
                <m:r>
                  <w:rPr>
                    <w:rFonts w:ascii="Cambria Math" w:hAnsi="Cambria Math"/>
                  </w:rPr>
                  <m:t>S(r)⊙S(c)</m:t>
                </m:r>
              </m:oMath>
            </m:oMathPara>
          </w:p>
        </w:tc>
        <w:tc>
          <w:tcPr>
            <w:tcW w:w="1300" w:type="dxa"/>
            <w:tcMar>
              <w:top w:w="80" w:type="dxa"/>
              <w:left w:w="100" w:type="dxa"/>
              <w:bottom w:w="80" w:type="dxa"/>
              <w:right w:w="100" w:type="dxa"/>
            </w:tcMar>
            <w:vAlign w:val="center"/>
          </w:tcPr>
          <w:p w14:paraId="3E3AEB68"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7565D73C" w14:textId="77777777" w:rsidR="00501731" w:rsidRDefault="00B073C8">
            <w:pPr>
              <w:keepNext/>
              <w:spacing w:after="0"/>
              <w:jc w:val="center"/>
            </w:pPr>
            <w:r>
              <w:rPr>
                <w:sz w:val="18"/>
              </w:rPr>
              <w:t>0</w:t>
            </w:r>
          </w:p>
        </w:tc>
      </w:tr>
      <w:tr w:rsidR="00501731" w14:paraId="38338EE8" w14:textId="77777777">
        <w:trPr>
          <w:cantSplit/>
        </w:trPr>
        <w:tc>
          <w:tcPr>
            <w:tcW w:w="2200" w:type="dxa"/>
            <w:tcMar>
              <w:top w:w="80" w:type="dxa"/>
              <w:left w:w="100" w:type="dxa"/>
              <w:bottom w:w="80" w:type="dxa"/>
              <w:right w:w="100" w:type="dxa"/>
            </w:tcMar>
            <w:vAlign w:val="center"/>
          </w:tcPr>
          <w:p w14:paraId="7991BC36" w14:textId="77777777" w:rsidR="00501731" w:rsidRDefault="00B073C8">
            <w:pPr>
              <w:keepNext/>
              <w:spacing w:after="0"/>
              <w:jc w:val="left"/>
            </w:pPr>
            <w:r>
              <w:rPr>
                <w:sz w:val="18"/>
              </w:rPr>
              <w:t>Shifted multiplicative</w:t>
            </w:r>
          </w:p>
        </w:tc>
        <w:tc>
          <w:tcPr>
            <w:tcW w:w="3000" w:type="dxa"/>
            <w:tcMar>
              <w:top w:w="80" w:type="dxa"/>
              <w:left w:w="100" w:type="dxa"/>
              <w:bottom w:w="80" w:type="dxa"/>
              <w:right w:w="100" w:type="dxa"/>
            </w:tcMar>
            <w:vAlign w:val="center"/>
          </w:tcPr>
          <w:p w14:paraId="66EE63E4" w14:textId="77777777" w:rsidR="00501731" w:rsidRDefault="00000000">
            <w:pPr>
              <w:keepNext/>
              <w:spacing w:after="0"/>
              <w:jc w:val="left"/>
            </w:pPr>
            <m:oMathPara>
              <m:oMath>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oMath>
            </m:oMathPara>
          </w:p>
        </w:tc>
        <w:tc>
          <w:tcPr>
            <w:tcW w:w="1300" w:type="dxa"/>
            <w:tcMar>
              <w:top w:w="80" w:type="dxa"/>
              <w:left w:w="100" w:type="dxa"/>
              <w:bottom w:w="80" w:type="dxa"/>
              <w:right w:w="100" w:type="dxa"/>
            </w:tcMar>
            <w:vAlign w:val="center"/>
          </w:tcPr>
          <w:p w14:paraId="627B20D4"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28A760A6" w14:textId="77777777" w:rsidR="00501731" w:rsidRDefault="00B073C8">
            <w:pPr>
              <w:keepNext/>
              <w:spacing w:after="0"/>
              <w:jc w:val="center"/>
            </w:pPr>
            <w:r>
              <w:rPr>
                <w:sz w:val="18"/>
              </w:rPr>
              <w:t>0</w:t>
            </w:r>
          </w:p>
        </w:tc>
      </w:tr>
      <w:tr w:rsidR="00501731" w14:paraId="088FA14C" w14:textId="77777777">
        <w:trPr>
          <w:cantSplit/>
        </w:trPr>
        <w:tc>
          <w:tcPr>
            <w:tcW w:w="2200" w:type="dxa"/>
            <w:tcMar>
              <w:top w:w="80" w:type="dxa"/>
              <w:left w:w="100" w:type="dxa"/>
              <w:bottom w:w="80" w:type="dxa"/>
              <w:right w:w="100" w:type="dxa"/>
            </w:tcMar>
            <w:vAlign w:val="center"/>
          </w:tcPr>
          <w:p w14:paraId="2CFE2283" w14:textId="77777777" w:rsidR="00501731" w:rsidRDefault="00B073C8">
            <w:pPr>
              <w:keepNext/>
              <w:spacing w:after="0"/>
              <w:jc w:val="left"/>
            </w:pPr>
            <w:r>
              <w:rPr>
                <w:sz w:val="18"/>
              </w:rPr>
              <w:t>Squared multiplicative</w:t>
            </w:r>
          </w:p>
        </w:tc>
        <w:tc>
          <w:tcPr>
            <w:tcW w:w="3000" w:type="dxa"/>
            <w:tcMar>
              <w:top w:w="80" w:type="dxa"/>
              <w:left w:w="100" w:type="dxa"/>
              <w:bottom w:w="80" w:type="dxa"/>
              <w:right w:w="100" w:type="dxa"/>
            </w:tcMar>
            <w:vAlign w:val="center"/>
          </w:tcPr>
          <w:p w14:paraId="2C7ED954" w14:textId="77777777" w:rsidR="00501731" w:rsidRDefault="00000000">
            <w:pPr>
              <w:keepNext/>
              <w:spacing w:after="0"/>
              <w:jc w:val="left"/>
            </w:pPr>
            <m:oMathPara>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S(r)⊙S(c)</m:t>
                        </m:r>
                      </m:e>
                    </m:d>
                  </m:e>
                  <m:sup>
                    <m:r>
                      <w:rPr>
                        <w:rFonts w:ascii="Cambria Math" w:hAnsi="Cambria Math"/>
                      </w:rPr>
                      <m:t>2</m:t>
                    </m:r>
                  </m:sup>
                </m:sSup>
              </m:oMath>
            </m:oMathPara>
          </w:p>
        </w:tc>
        <w:tc>
          <w:tcPr>
            <w:tcW w:w="1300" w:type="dxa"/>
            <w:tcMar>
              <w:top w:w="80" w:type="dxa"/>
              <w:left w:w="100" w:type="dxa"/>
              <w:bottom w:w="80" w:type="dxa"/>
              <w:right w:w="100" w:type="dxa"/>
            </w:tcMar>
            <w:vAlign w:val="center"/>
          </w:tcPr>
          <w:p w14:paraId="196427E9"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325BD88F" w14:textId="77777777" w:rsidR="00501731" w:rsidRDefault="00B073C8">
            <w:pPr>
              <w:keepNext/>
              <w:spacing w:after="0"/>
              <w:jc w:val="center"/>
            </w:pPr>
            <w:r>
              <w:rPr>
                <w:sz w:val="18"/>
              </w:rPr>
              <w:t>0</w:t>
            </w:r>
          </w:p>
        </w:tc>
      </w:tr>
      <w:tr w:rsidR="00501731" w14:paraId="66007C17" w14:textId="77777777">
        <w:trPr>
          <w:cantSplit/>
        </w:trPr>
        <w:tc>
          <w:tcPr>
            <w:tcW w:w="2200" w:type="dxa"/>
            <w:tcMar>
              <w:top w:w="80" w:type="dxa"/>
              <w:left w:w="100" w:type="dxa"/>
              <w:bottom w:w="80" w:type="dxa"/>
              <w:right w:w="100" w:type="dxa"/>
            </w:tcMar>
            <w:vAlign w:val="center"/>
          </w:tcPr>
          <w:p w14:paraId="092B8EB2" w14:textId="77777777" w:rsidR="00501731" w:rsidRDefault="00B073C8">
            <w:pPr>
              <w:keepNext/>
              <w:spacing w:after="0"/>
              <w:jc w:val="left"/>
            </w:pPr>
            <w:r>
              <w:rPr>
                <w:sz w:val="18"/>
              </w:rPr>
              <w:t>Shifted squared</w:t>
            </w:r>
          </w:p>
        </w:tc>
        <w:tc>
          <w:tcPr>
            <w:tcW w:w="3000" w:type="dxa"/>
            <w:tcMar>
              <w:top w:w="80" w:type="dxa"/>
              <w:left w:w="100" w:type="dxa"/>
              <w:bottom w:w="80" w:type="dxa"/>
              <w:right w:w="100" w:type="dxa"/>
            </w:tcMar>
            <w:vAlign w:val="center"/>
          </w:tcPr>
          <w:p w14:paraId="670DEAF9" w14:textId="77777777" w:rsidR="00501731" w:rsidRDefault="00000000">
            <w:pPr>
              <w:keepNext/>
              <w:spacing w:after="0"/>
              <w:jc w:val="left"/>
            </w:pPr>
            <m:oMathPara>
              <m:oMath>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e>
                    </m:d>
                  </m:e>
                  <m:sup>
                    <m:r>
                      <w:rPr>
                        <w:rFonts w:ascii="Cambria Math" w:hAnsi="Cambria Math"/>
                      </w:rPr>
                      <m:t>2</m:t>
                    </m:r>
                  </m:sup>
                </m:sSup>
              </m:oMath>
            </m:oMathPara>
          </w:p>
        </w:tc>
        <w:tc>
          <w:tcPr>
            <w:tcW w:w="1300" w:type="dxa"/>
            <w:tcMar>
              <w:top w:w="80" w:type="dxa"/>
              <w:left w:w="100" w:type="dxa"/>
              <w:bottom w:w="80" w:type="dxa"/>
              <w:right w:w="100" w:type="dxa"/>
            </w:tcMar>
            <w:vAlign w:val="center"/>
          </w:tcPr>
          <w:p w14:paraId="1BFC4806"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3863C16E" w14:textId="77777777" w:rsidR="00501731" w:rsidRDefault="00B073C8">
            <w:pPr>
              <w:keepNext/>
              <w:spacing w:after="0"/>
              <w:jc w:val="center"/>
            </w:pPr>
            <w:r>
              <w:rPr>
                <w:sz w:val="18"/>
              </w:rPr>
              <w:t>0</w:t>
            </w:r>
          </w:p>
        </w:tc>
      </w:tr>
      <w:tr w:rsidR="00501731" w14:paraId="45F33131" w14:textId="77777777">
        <w:trPr>
          <w:cantSplit/>
        </w:trPr>
        <w:tc>
          <w:tcPr>
            <w:tcW w:w="2200" w:type="dxa"/>
            <w:tcMar>
              <w:top w:w="80" w:type="dxa"/>
              <w:left w:w="100" w:type="dxa"/>
              <w:bottom w:w="80" w:type="dxa"/>
              <w:right w:w="100" w:type="dxa"/>
            </w:tcMar>
            <w:vAlign w:val="center"/>
          </w:tcPr>
          <w:p w14:paraId="3BA5641C" w14:textId="77777777" w:rsidR="00501731" w:rsidRDefault="00B073C8">
            <w:pPr>
              <w:keepNext/>
              <w:spacing w:after="0"/>
              <w:jc w:val="left"/>
            </w:pPr>
            <w:r>
              <w:rPr>
                <w:sz w:val="18"/>
              </w:rPr>
              <w:t>Radial</w:t>
            </w:r>
          </w:p>
        </w:tc>
        <w:tc>
          <w:tcPr>
            <w:tcW w:w="3000" w:type="dxa"/>
            <w:tcMar>
              <w:top w:w="80" w:type="dxa"/>
              <w:left w:w="100" w:type="dxa"/>
              <w:bottom w:w="80" w:type="dxa"/>
              <w:right w:w="100" w:type="dxa"/>
            </w:tcMar>
            <w:vAlign w:val="center"/>
          </w:tcPr>
          <w:p w14:paraId="52FE5346" w14:textId="77777777" w:rsidR="00501731" w:rsidRDefault="00B073C8">
            <w:pPr>
              <w:keepNext/>
              <w:spacing w:after="0"/>
              <w:jc w:val="left"/>
            </w:pPr>
            <m:oMathPara>
              <m:oMath>
                <m:r>
                  <w:rPr>
                    <w:rFonts w:ascii="Cambria Math" w:hAnsi="Cambria Math"/>
                  </w:rPr>
                  <m:t>S(</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e>
                </m:rad>
                <m:r>
                  <w:rPr>
                    <w:rFonts w:ascii="Cambria Math" w:hAnsi="Cambria Math"/>
                  </w:rPr>
                  <m:t>)</m:t>
                </m:r>
              </m:oMath>
            </m:oMathPara>
          </w:p>
        </w:tc>
        <w:tc>
          <w:tcPr>
            <w:tcW w:w="1300" w:type="dxa"/>
            <w:tcMar>
              <w:top w:w="80" w:type="dxa"/>
              <w:left w:w="100" w:type="dxa"/>
              <w:bottom w:w="80" w:type="dxa"/>
              <w:right w:w="100" w:type="dxa"/>
            </w:tcMar>
            <w:vAlign w:val="center"/>
          </w:tcPr>
          <w:p w14:paraId="01CD7AC0"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42EAD4D1" w14:textId="77777777" w:rsidR="00501731" w:rsidRDefault="00B073C8">
            <w:pPr>
              <w:keepNext/>
              <w:spacing w:after="0"/>
              <w:jc w:val="center"/>
            </w:pPr>
            <w:r>
              <w:rPr>
                <w:sz w:val="18"/>
              </w:rPr>
              <w:t>0</w:t>
            </w:r>
          </w:p>
        </w:tc>
      </w:tr>
    </w:tbl>
    <w:p w14:paraId="1DB2F86C" w14:textId="77777777" w:rsidR="00501731" w:rsidRDefault="00B073C8">
      <w:pPr>
        <w:pStyle w:val="Heading2"/>
      </w:pPr>
      <w:r>
        <w:t>3.5 Patch Ordering and Position Assignment</w:t>
      </w:r>
    </w:p>
    <w:p w14:paraId="75F115FB" w14:textId="77777777" w:rsidR="00501731" w:rsidRDefault="00B073C8">
      <w:r>
        <w:t>Patch extraction, sequence storage and positional assignment are treated as separate operations. The stride-4 convolution first produces 64 physical patches in row-major order. An index-selection step then stores them in one of four deterministic modes. normal_row reads left to right and then top to bottom; normal_col reads top to bottom and then moves across columns. proper_row follows a row-wise serpentine path, reversing direction on alternate rows, while proper_col applies the same idea down alternate columns.</w:t>
      </w:r>
    </w:p>
    <w:p w14:paraId="3CE53AB7" w14:textId="0F6907E6" w:rsidR="00501731" w:rsidRDefault="00B073C8">
      <w:r>
        <w:t xml:space="preserve">Let </w:t>
      </w:r>
      <m:oMath>
        <m:sSub>
          <m:e>
            <m:r>
              <m:t>π</m:t>
              <w:rPr>
                <w:rFonts w:ascii="Cambria Math" w:hAnsi="Cambria Math"/>
                <w:sz w:val="21"/>
                <w:szCs w:val="21"/>
              </w:rPr>
            </m:r>
          </m:e>
          <m:sub>
            <m:r>
              <m:t>u</m:t>
              <w:rPr>
                <w:rFonts w:ascii="Cambria Math" w:hAnsi="Cambria Math"/>
                <w:sz w:val="21"/>
                <w:szCs w:val="21"/>
              </w:rPr>
            </m:r>
          </m:sub>
        </m:sSub>
        <m:r>
          <m:t>(s)</m:t>
          <w:rPr>
            <w:rFonts w:ascii="Cambria Math" w:hAnsi="Cambria Math"/>
            <w:sz w:val="21"/>
            <w:szCs w:val="21"/>
          </w:rPr>
        </m:r>
      </m:oMath>
      <w:r>
        <w:t xml:space="preserve"> be the physical row-major patch index stored in sequence slot </w:t>
      </w:r>
      <m:oMath>
        <m:r>
          <m:t>s</m:t>
          <w:rPr>
            <w:rFonts w:ascii="Cambria Math" w:hAnsi="Cambria Math"/>
            <w:sz w:val="21"/>
            <w:szCs w:val="21"/>
          </w:rPr>
        </m:r>
      </m:oMath>
      <w:r>
        <w:t xml:space="preserve"> under unfolding mode </w:t>
      </w:r>
      <m:oMath>
        <m:r>
          <m:t>u</m:t>
          <w:rPr>
            <w:rFonts w:ascii="Cambria Math" w:hAnsi="Cambria Math"/>
            <w:sz w:val="21"/>
            <w:szCs w:val="21"/>
          </w:rPr>
        </m:r>
      </m:oMath>
      <w:r>
        <w:t xml:space="preserve">. The fixed positional buffer is not moved with the physical patches: slot </w:t>
      </w:r>
      <m:oMath>
        <m:r>
          <m:t>s</m:t>
          <w:rPr>
            <w:rFonts w:ascii="Cambria Math" w:hAnsi="Cambria Math"/>
            <w:sz w:val="21"/>
            <w:szCs w:val="21"/>
          </w:rPr>
        </m:r>
      </m:oMath>
      <w:r>
        <w:t xml:space="preserve"> keeps the row-major PE coordinate assigned to that slot. Equation (</w:t>
      </w:r>
      <w:r>
        <w:fldChar w:fldCharType="begin"/>
      </w:r>
      <w:r>
        <w:instrText xml:space="preserve"> REF eq11 \h </w:instrText>
      </w:r>
      <w:r>
        <w:fldChar w:fldCharType="separate"/>
      </w:r>
      <w:r>
        <w:t>11</w:t>
      </w:r>
      <w:r>
        <w:fldChar w:fldCharType="end"/>
      </w:r>
      <w:r>
        <w:t xml:space="preserve">) formalises this rule. Here, </w:t>
      </w:r>
      <m:oMath>
        <m:r>
          <m:t>G=8</m:t>
          <w:rPr>
            <w:rFonts w:ascii="Cambria Math" w:hAnsi="Cambria Math"/>
            <w:sz w:val="21"/>
            <w:szCs w:val="21"/>
          </w:rPr>
        </m:r>
      </m:oMath>
      <w:r>
        <w:t xml:space="preserve"> is the grid width, integer division gives the row, modulo gives the column, and </w:t>
      </w:r>
      <m:oMath>
        <m:r>
          <m:t>a(s)</m:t>
          <w:rPr>
            <w:rFonts w:ascii="Cambria Math" w:hAnsi="Cambria Math"/>
            <w:sz w:val="21"/>
            <w:szCs w:val="21"/>
          </w:rPr>
        </m:r>
      </m:oMath>
      <w:r>
        <w:t xml:space="preserve"> denotes the PE coordinate attached to slot </w:t>
      </w:r>
      <m:oMath>
        <m:r>
          <m:t>s</m:t>
          <w:rPr>
            <w:rFonts w:ascii="Cambria Math" w:hAnsi="Cambria Math"/>
            <w:sz w:val="21"/>
            <w:szCs w:val="21"/>
          </w:rPr>
        </m:r>
      </m:oMath>
      <w:r>
        <w:t>.</w:t>
      </w:r>
    </w:p>
    <w:p w14:paraId="410A5420"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π</m:t>
                  </m:r>
                </m:e>
                <m:sub>
                  <m:r>
                    <w:rPr>
                      <w:rFonts w:ascii="Cambria Math" w:hAnsi="Cambria Math"/>
                    </w:rPr>
                    <m:t>u</m:t>
                  </m:r>
                </m:sub>
              </m:sSub>
              <m:r>
                <w:rPr>
                  <w:rFonts w:ascii="Cambria Math" w:hAnsi="Cambria Math"/>
                </w:rPr>
                <m:t>(s)∈{0,…,</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-1},a(s)=(⌊</m:t>
              </m:r>
              <m:f>
                <m:fPr>
                  <m:ctrlPr>
                    <w:rPr>
                      <w:rFonts w:ascii="Cambria Math" w:hAnsi="Cambria Math"/>
                    </w:rPr>
                  </m:ctrlPr>
                </m:fPr>
                <m:num>
                  <m:r>
                    <w:rPr>
                      <w:rFonts w:ascii="Cambria Math" w:hAnsi="Cambria Math"/>
                    </w:rPr>
                    <m:t>s</m:t>
                  </m:r>
                </m:num>
                <m:den>
                  <m:r>
                    <w:rPr>
                      <w:rFonts w:ascii="Cambria Math" w:hAnsi="Cambria Math"/>
                    </w:rPr>
                    <m:t>G</m:t>
                  </m:r>
                </m:den>
              </m:f>
              <m:r>
                <w:rPr>
                  <w:rFonts w:ascii="Cambria Math" w:hAnsi="Cambria Math"/>
                </w:rPr>
                <m:t>⌋,s</m:t>
              </m:r>
              <m:r>
                <m:rPr>
                  <m:nor/>
                </m:rPr>
                <m:t>mod</m:t>
              </m:r>
              <m:r>
                <w:rPr>
                  <w:rFonts w:ascii="Cambria Math" w:hAnsi="Cambria Math"/>
                </w:rPr>
                <m:t>G)#</m:t>
              </m:r>
              <m:d>
                <m:dPr>
                  <m:ctrlPr>
                    <w:rPr>
                      <w:rFonts w:ascii="Cambria Math" w:hAnsi="Cambria Math"/>
                    </w:rPr>
                  </m:ctrlPr>
                </m:dPr>
                <m:e>
                  <w:bookmarkStart w:id="14" w:name="eq11"/>
                  <m:r>
                    <w:rPr>
                      <w:rFonts w:ascii="Cambria Math" w:hAnsi="Cambria Math"/>
                    </w:rPr>
                    <m:t>11</m:t>
                  </m:r>
                  <w:bookmarkEnd w:id="14"/>
                </m:e>
              </m:d>
            </m:e>
          </m:eqArr>
        </m:oMath>
      </m:oMathPara>
    </w:p>
    <w:p w14:paraId="444A1AB4" w14:textId="77777777" w:rsidR="00501731" w:rsidRDefault="00B073C8">
      <w:r>
        <w:t>Changing the unfolding mode can therefore attach a physical patch to a different fixed positional vector even though the encoder does not change. Before training results are interpreted, a deterministic audit records the physical patch index, its row and column, its sequence slot and the PE coordinate assigned at that slot for all 64 positions. Tests cover all four modes. This check is important because any later accuracy difference concerns patch-to-position assignment, not an unverified change in the model or data.</w:t>
      </w:r>
    </w:p>
    <w:p w14:paraId="69EF4561" w14:textId="77777777" w:rsidR="00501731" w:rsidRDefault="00B073C8">
      <w:pPr>
        <w:pStyle w:val="Heading2"/>
      </w:pPr>
      <w:r>
        <w:t>3.6 Hybrid and Dual-Branch Extensions</w:t>
      </w:r>
    </w:p>
    <w:p w14:paraId="1B4579D9" w14:textId="77777777" w:rsidR="00501731" w:rsidRDefault="00B073C8">
      <w:r>
        <w:t>The extension models ask whether extra positional or architectural complexity improves on the single-branch comparison. The hybrid adds a fixed term to a learnable table; dual-branch models process row and column signals separately and fuse them. Because both designs change more than the positional vector, they are reported separately from the core comparison and interpreted alongside their parameter counts.</w:t>
      </w:r>
    </w:p>
    <w:p w14:paraId="53604AFA" w14:textId="77777777" w:rsidR="00501731" w:rsidRDefault="00B073C8">
      <w:pPr>
        <w:pStyle w:val="Heading3"/>
      </w:pPr>
      <w:r>
        <w:t>3.6.1 Learnable-Fixed Hybrid</w:t>
      </w:r>
    </w:p>
    <w:p w14:paraId="30294E29" w14:textId="6D479386" w:rsidR="00501731" w:rsidRDefault="00B073C8">
      <w:r>
        <w:t xml:space="preserve">The hybrid uses normal column-major ordering and combines the learnable table </w:t>
      </w:r>
      <m:oMath>
        <m:r>
          <m:t>L</m:t>
          <w:rPr>
            <w:rFonts w:ascii="Cambria Math" w:hAnsi="Cambria Math"/>
            <w:sz w:val="21"/>
            <w:szCs w:val="21"/>
          </w:rPr>
        </m:r>
      </m:oMath>
      <w:r>
        <w:t xml:space="preserve"> with unshifted multiplicative </w:t>
      </w:r>
      <m:oMath>
        <m:sSub>
          <m:e>
            <m:r>
              <m:t>P</m:t>
              <w:rPr>
                <w:rFonts w:ascii="Cambria Math" w:hAnsi="Cambria Math"/>
                <w:sz w:val="21"/>
                <w:szCs w:val="21"/>
              </w:rPr>
            </m:r>
          </m:e>
          <m:sub>
            <m:r>
              <m:rPr>
                <m:nor/>
              </m:rPr>
              <m:t>mult</m:t>
              <w:rPr>
                <w:rFonts w:ascii="Cambria Math" w:hAnsi="Cambria Math"/>
                <w:sz w:val="21"/>
                <w:szCs w:val="21"/>
              </w:rPr>
            </m:r>
          </m:sub>
        </m:sSub>
      </m:oMath>
      <w:r>
        <w:t>. Equation (</w:t>
      </w:r>
      <w:r>
        <w:fldChar w:fldCharType="begin"/>
      </w:r>
      <w:r>
        <w:instrText xml:space="preserve"> REF eq12 \h </w:instrText>
      </w:r>
      <w:r>
        <w:fldChar w:fldCharType="separate"/>
      </w:r>
      <w:r>
        <w:t>12</w:t>
      </w:r>
      <w:r>
        <w:fldChar w:fldCharType="end"/>
      </w:r>
      <w:r>
        <w:t xml:space="preserve">) defines the input. The trainable scalar </w:t>
      </w:r>
      <m:oMath>
        <m:r>
          <m:t>α</m:t>
          <w:rPr>
            <w:rFonts w:ascii="Cambria Math" w:hAnsi="Cambria Math"/>
            <w:sz w:val="21"/>
            <w:szCs w:val="21"/>
          </w:rPr>
        </m:r>
      </m:oMath>
      <w:r>
        <w:t xml:space="preserve"> controls the fixed contribution and starts at </w:t>
      </w:r>
      <m:oMath>
        <m:sSub>
          <m:e>
            <m:r>
              <m:t>α</m:t>
              <w:rPr>
                <w:rFonts w:ascii="Cambria Math" w:hAnsi="Cambria Math"/>
                <w:sz w:val="21"/>
                <w:szCs w:val="21"/>
              </w:rPr>
            </m:r>
          </m:e>
          <m:sub>
            <m:r>
              <m:t>0</m:t>
              <w:rPr>
                <w:rFonts w:ascii="Cambria Math" w:hAnsi="Cambria Math"/>
                <w:sz w:val="21"/>
                <w:szCs w:val="21"/>
              </w:rPr>
            </m:r>
          </m:sub>
        </m:sSub>
        <m:r>
          <m:t>=0</m:t>
          <w:rPr>
            <w:rFonts w:ascii="Cambria Math" w:hAnsi="Cambria Math"/>
            <w:sz w:val="21"/>
            <w:szCs w:val="21"/>
          </w:rPr>
        </m:r>
      </m:oMath>
      <w:r>
        <w:t>.</w:t>
      </w:r>
    </w:p>
    <w:p w14:paraId="3BA83F9B"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cls</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]+L+α</m:t>
              </m:r>
              <m:sSub>
                <m:sSubPr>
                  <m:ctrlPr>
                    <w:rPr>
                      <w:rFonts w:ascii="Cambria Math" w:hAnsi="Cambria Math"/>
                    </w:rPr>
                  </m:ctrlPr>
                </m:sSubPr>
                <m:e>
                  <m:r>
                    <w:rPr>
                      <w:rFonts w:ascii="Cambria Math" w:hAnsi="Cambria Math"/>
                    </w:rPr>
                    <m:t>P</m:t>
                  </m:r>
                </m:e>
                <m:sub>
                  <m:r>
                    <m:rPr>
                      <m:sty m:val="p"/>
                    </m:rPr>
                    <w:rPr>
                      <w:rFonts w:ascii="Cambria Math" w:hAnsi="Cambria Math"/>
                    </w:rPr>
                    <m:t>mult</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=0#</m:t>
              </m:r>
              <m:d>
                <m:dPr>
                  <m:ctrlPr>
                    <w:rPr>
                      <w:rFonts w:ascii="Cambria Math" w:hAnsi="Cambria Math"/>
                    </w:rPr>
                  </m:ctrlPr>
                </m:dPr>
                <m:e>
                  <w:bookmarkStart w:id="15" w:name="eq12"/>
                  <m:r>
                    <w:rPr>
                      <w:rFonts w:ascii="Cambria Math" w:hAnsi="Cambria Math"/>
                    </w:rPr>
                    <m:t>12</m:t>
                  </m:r>
                  <w:bookmarkEnd w:id="15"/>
                </m:e>
              </m:d>
            </m:e>
          </m:eqArr>
        </m:oMath>
      </m:oMathPara>
    </w:p>
    <w:p w14:paraId="409CE670" w14:textId="77777777" w:rsidR="00501731" w:rsidRDefault="00B073C8">
      <w:r>
        <w:t>Starting at zero makes the initial input identical to the learnable control; training can then increase, decrease or reverse the fixed term. The hybrid adds one parameter, so it is compared with the learnable model using the same column-major ordering.</w:t>
      </w:r>
    </w:p>
    <w:p w14:paraId="5E413B51" w14:textId="77777777" w:rsidR="00501731" w:rsidRDefault="00B073C8">
      <w:pPr>
        <w:pStyle w:val="Heading3"/>
      </w:pPr>
      <w:r>
        <w:t>3.6.2 Latent Fusion</w:t>
      </w:r>
    </w:p>
    <w:p w14:paraId="078D6A18" w14:textId="01F203FD" w:rsidR="00501731" w:rsidRDefault="00B073C8">
      <w:r>
        <w:t xml:space="preserve">Latent fusion uses two ViT encoders on the same image: one with row PE and one with column PE. Their classification-token vectors are </w:t>
      </w:r>
      <m:oMath>
        <m:sSub>
          <m:e>
            <m:r>
              <m:t>h</m:t>
              <w:rPr>
                <w:rFonts w:ascii="Cambria Math" w:hAnsi="Cambria Math"/>
                <w:sz w:val="21"/>
                <w:szCs w:val="21"/>
              </w:rPr>
            </m:r>
          </m:e>
          <m:sub>
            <m:r>
              <m:t>r</m:t>
              <w:rPr>
                <w:rFonts w:ascii="Cambria Math" w:hAnsi="Cambria Math"/>
                <w:sz w:val="21"/>
                <w:szCs w:val="21"/>
              </w:rPr>
            </m:r>
          </m:sub>
        </m:sSub>
      </m:oMath>
      <w:r>
        <w:t xml:space="preserve"> and </w:t>
      </w:r>
      <m:oMath>
        <m:sSub>
          <m:e>
            <m:r>
              <m:t>h</m:t>
              <w:rPr>
                <w:rFonts w:ascii="Cambria Math" w:hAnsi="Cambria Math"/>
                <w:sz w:val="21"/>
                <w:szCs w:val="21"/>
              </w:rPr>
            </m:r>
          </m:e>
          <m:sub>
            <m:r>
              <m:t>c</m:t>
              <w:rPr>
                <w:rFonts w:ascii="Cambria Math" w:hAnsi="Cambria Math"/>
                <w:sz w:val="21"/>
                <w:szCs w:val="21"/>
              </w:rPr>
            </m:r>
          </m:sub>
        </m:sSub>
      </m:oMath>
      <w:r>
        <w:t>. One variant averages them, one applies an MLP after averaging, and one concatenates them before a layer-normalised MLP. Equation (</w:t>
      </w:r>
      <w:r>
        <w:fldChar w:fldCharType="begin"/>
      </w:r>
      <w:r>
        <w:instrText xml:space="preserve"> REF eq13 \h </w:instrText>
      </w:r>
      <w:r>
        <w:fldChar w:fldCharType="separate"/>
      </w:r>
      <w:r>
        <w:t>13</w:t>
      </w:r>
      <w:r>
        <w:fldChar w:fldCharType="end"/>
      </w:r>
      <w:r>
        <w:t>) summarises the basic rules.</w:t>
      </w:r>
    </w:p>
    <w:p w14:paraId="572BE220"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h</m:t>
                  </m:r>
                </m:e>
                <m:sub>
                  <m:r>
                    <m:rPr>
                      <m:sty m:val="p"/>
                    </m:rPr>
                    <w:rPr>
                      <w:rFonts w:ascii="Cambria Math" w:hAnsi="Cambria Math"/>
                    </w:rPr>
                    <m:t>mean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latent</m:t>
                  </m:r>
                </m:sub>
              </m:sSub>
              <m:r>
                <w:rPr>
                  <w:rFonts w:ascii="Cambria Math" w:hAnsi="Cambria Math"/>
                </w:rPr>
                <m:t>=g([</m:t>
              </m:r>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m:t>
              </m:r>
              <m:d>
                <m:dPr>
                  <m:ctrlPr>
                    <w:rPr>
                      <w:rFonts w:ascii="Cambria Math" w:hAnsi="Cambria Math"/>
                    </w:rPr>
                  </m:ctrlPr>
                </m:dPr>
                <m:e>
                  <w:bookmarkStart w:id="16" w:name="eq13"/>
                  <m:r>
                    <w:rPr>
                      <w:rFonts w:ascii="Cambria Math" w:hAnsi="Cambria Math"/>
                    </w:rPr>
                    <m:t>13</m:t>
                  </m:r>
                  <w:bookmarkEnd w:id="16"/>
                </m:e>
              </m:d>
            </m:e>
          </m:eqArr>
        </m:oMath>
      </m:oMathPara>
    </w:p>
    <w:p w14:paraId="498EC36F" w14:textId="77777777" w:rsidR="00501731" w:rsidRDefault="00B073C8">
      <w:r>
        <w:t xml:space="preserve">In Equation (13), </w:t>
      </w:r>
      <m:oMath>
        <m:r>
          <m:t>g(·)</m:t>
          <w:rPr>
            <w:rFonts w:ascii="Cambria Math" w:hAnsi="Cambria Math"/>
            <w:sz w:val="21"/>
            <w:szCs w:val="21"/>
          </w:rPr>
        </m:r>
      </m:oMath>
      <w:r>
        <w:t xml:space="preserve"> denotes the learned fusion MLP and square brackets denote vector concatenation. A linear head maps the fused representation to class scores. On CIFAR-10, mean, mean-MLP and concatenation-MLP fusion contain 1,600,778, 1,732,746 and 1,798,538 trainable parameters, compared with 801,034 for one fixed-PE encoder. Most of the increase comes from duplicating the encoder; the MLP variants add further parameters in the fusion stage.</w:t>
      </w:r>
    </w:p>
    <w:p w14:paraId="04EC630D" w14:textId="77777777" w:rsidR="00501731" w:rsidRDefault="00B073C8">
      <w:pPr>
        <w:pStyle w:val="Heading3"/>
      </w:pPr>
      <w:r>
        <w:t>3.6.3 Bidirectional Cross-Attention Fusion</w:t>
      </w:r>
    </w:p>
    <w:p w14:paraId="7BA0A882" w14:textId="495FA539" w:rsidR="00501731" w:rsidRDefault="00B073C8">
      <w:r>
        <w:t xml:space="preserve">Cross-attention allows one branch to request information from the other before classification. The models therefore retain the complete row and column token sequences rather than only their final classification tokens. For one attention head, </w:t>
      </w:r>
      <m:oMath>
        <m:r>
          <m:t>Q</m:t>
          <w:rPr>
            <w:rFonts w:ascii="Cambria Math" w:hAnsi="Cambria Math"/>
            <w:sz w:val="21"/>
            <w:szCs w:val="21"/>
          </w:rPr>
        </m:r>
      </m:oMath>
      <w:r>
        <w:t xml:space="preserve"> is the sequence being updated and </w:t>
      </w:r>
      <m:oMath>
        <m:r>
          <m:t>C</m:t>
          <w:rPr>
            <w:rFonts w:ascii="Cambria Math" w:hAnsi="Cambria Math"/>
            <w:sz w:val="21"/>
            <w:szCs w:val="21"/>
          </w:rPr>
        </m:r>
      </m:oMath>
      <w:r>
        <w:t xml:space="preserve"> is the other branch used as context. Equation (</w:t>
      </w:r>
      <w:r>
        <w:fldChar w:fldCharType="begin"/>
      </w:r>
      <w:r>
        <w:instrText xml:space="preserve"> REF eq14 \h </w:instrText>
      </w:r>
      <w:r>
        <w:fldChar w:fldCharType="separate"/>
      </w:r>
      <w:r>
        <w:t>14</w:t>
      </w:r>
      <w:r>
        <w:fldChar w:fldCharType="end"/>
      </w:r>
      <w:r>
        <w:t>) gives the operation.</w:t>
      </w:r>
    </w:p>
    <w:p w14:paraId="5D6D8BAB" w14:textId="77777777" w:rsidR="00501731" w:rsidRDefault="00000000">
      <w:pPr>
        <w:keepLines/>
        <w:jc w:val="center"/>
      </w:pPr>
      <m:oMathPara>
        <m:oMath>
          <m:eqArr>
            <m:eqArrPr>
              <m:maxDist m:val="1"/>
              <m:ctrlPr>
                <w:rPr>
                  <w:rFonts w:ascii="Cambria Math" w:hAnsi="Cambria Math"/>
                </w:rPr>
              </m:ctrlPr>
            </m:eqArrPr>
            <m:e>
              <m:r>
                <m:rPr>
                  <m:sty m:val="p"/>
                </m:rPr>
                <w:rPr>
                  <w:rFonts w:ascii="Cambria Math" w:hAnsi="Cambria Math"/>
                </w:rPr>
                <m:t>CA</m:t>
              </m:r>
              <m:r>
                <w:rPr>
                  <w:rFonts w:ascii="Cambria Math" w:hAnsi="Cambria Math"/>
                </w:rPr>
                <m:t>(Q,C)=</m:t>
              </m:r>
              <m:r>
                <m:rPr>
                  <m:sty m:val="p"/>
                </m:rPr>
                <w:rPr>
                  <w:rFonts w:ascii="Cambria Math" w:hAnsi="Cambria Math"/>
                </w:rPr>
                <m:t>softmax</m:t>
              </m:r>
              <m:r>
                <w:rPr>
                  <w:rFonts w:ascii="Cambria Math" w:hAnsi="Cambria Math"/>
                </w:rPr>
                <m:t>(</m:t>
              </m:r>
              <m:f>
                <m:fPr>
                  <m:ctrlPr>
                    <w:rPr>
                      <w:rFonts w:ascii="Cambria Math" w:hAnsi="Cambria Math"/>
                    </w:rPr>
                  </m:ctrlPr>
                </m:fPr>
                <m:num>
                  <m:r>
                    <w:rPr>
                      <w:rFonts w:ascii="Cambria Math" w:hAnsi="Cambria Math"/>
                    </w:rPr>
                    <m:t>Q</m:t>
                  </m:r>
                  <m:sSub>
                    <m:sSubPr>
                      <m:ctrlPr>
                        <w:rPr>
                          <w:rFonts w:ascii="Cambria Math" w:hAnsi="Cambria Math"/>
                        </w:rPr>
                      </m:ctrlPr>
                    </m:sSubPr>
                    <m:e>
                      <m:r>
                        <w:rPr>
                          <w:rFonts w:ascii="Cambria Math" w:hAnsi="Cambria Math"/>
                        </w:rPr>
                        <m:t>W</m:t>
                      </m:r>
                    </m:e>
                    <m:sub>
                      <m:r>
                        <w:rPr>
                          <w:rFonts w:ascii="Cambria Math" w:hAnsi="Cambria Math"/>
                        </w:rPr>
                        <m:t>Q</m:t>
                      </m:r>
                    </m:sub>
                  </m:sSub>
                  <m:sSup>
                    <m:sSupPr>
                      <m:ctrlPr>
                        <w:rPr>
                          <w:rFonts w:ascii="Cambria Math" w:hAnsi="Cambria Math"/>
                        </w:rPr>
                      </m:ctrlPr>
                    </m:sSupPr>
                    <m:e>
                      <m:r>
                        <w:rPr>
                          <w:rFonts w:ascii="Cambria Math" w:hAnsi="Cambria Math"/>
                        </w:rPr>
                        <m:t>C</m:t>
                      </m:r>
                      <m:sSub>
                        <m:sSubPr>
                          <m:ctrlPr>
                            <w:rPr>
                              <w:rFonts w:ascii="Cambria Math" w:hAnsi="Cambria Math"/>
                            </w:rPr>
                          </m:ctrlPr>
                        </m:sSubPr>
                        <m:e>
                          <m:r>
                            <w:rPr>
                              <w:rFonts w:ascii="Cambria Math" w:hAnsi="Cambria Math"/>
                            </w:rPr>
                            <m:t>W</m:t>
                          </m:r>
                        </m:e>
                        <m:sub>
                          <m:r>
                            <w:rPr>
                              <w:rFonts w:ascii="Cambria Math" w:hAnsi="Cambria Math"/>
                            </w:rPr>
                            <m:t>K</m:t>
                          </m:r>
                        </m:sub>
                      </m:sSub>
                    </m:e>
                    <m:sup>
                      <m:r>
                        <m:rPr>
                          <m:sty m:val="p"/>
                        </m:rP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)C</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m:t>
              </m:r>
              <m:d>
                <m:dPr>
                  <m:ctrlPr>
                    <w:rPr>
                      <w:rFonts w:ascii="Cambria Math" w:hAnsi="Cambria Math"/>
                    </w:rPr>
                  </m:ctrlPr>
                </m:dPr>
                <m:e>
                  <w:bookmarkStart w:id="17" w:name="eq14"/>
                  <m:r>
                    <w:rPr>
                      <w:rFonts w:ascii="Cambria Math" w:hAnsi="Cambria Math"/>
                    </w:rPr>
                    <m:t>14</m:t>
                  </m:r>
                  <w:bookmarkEnd w:id="17"/>
                </m:e>
              </m:d>
            </m:e>
          </m:eqArr>
        </m:oMath>
      </m:oMathPara>
    </w:p>
    <w:p w14:paraId="4E94167B" w14:textId="77777777" w:rsidR="00501731" w:rsidRDefault="00B073C8">
      <w:r>
        <w:t xml:space="preserve">In Equation (14), </w:t>
      </w:r>
      <m:oMath>
        <m:sSup>
          <m:e>
            <m:r>
              <m:t>W</m:t>
              <w:rPr>
                <w:rFonts w:ascii="Cambria Math" w:hAnsi="Cambria Math"/>
                <w:sz w:val="21"/>
                <w:szCs w:val="21"/>
              </w:rPr>
            </m:r>
          </m:e>
          <m:sup>
            <m:r>
              <m:t>Q</m:t>
              <w:rPr>
                <w:rFonts w:ascii="Cambria Math" w:hAnsi="Cambria Math"/>
                <w:sz w:val="21"/>
                <w:szCs w:val="21"/>
              </w:rPr>
            </m:r>
          </m:sup>
        </m:sSup>
      </m:oMath>
      <w:r>
        <w:t xml:space="preserve">, </w:t>
      </w:r>
      <m:oMath>
        <m:sSup>
          <m:e>
            <m:r>
              <m:t>W</m:t>
              <w:rPr>
                <w:rFonts w:ascii="Cambria Math" w:hAnsi="Cambria Math"/>
                <w:sz w:val="21"/>
                <w:szCs w:val="21"/>
              </w:rPr>
            </m:r>
          </m:e>
          <m:sup>
            <m:r>
              <m:t>K</m:t>
              <w:rPr>
                <w:rFonts w:ascii="Cambria Math" w:hAnsi="Cambria Math"/>
                <w:sz w:val="21"/>
                <w:szCs w:val="21"/>
              </w:rPr>
            </m:r>
          </m:sup>
        </m:sSup>
      </m:oMath>
      <w:r>
        <w:t xml:space="preserve"> and </w:t>
      </w:r>
      <m:oMath>
        <m:sSup>
          <m:e>
            <m:r>
              <m:t>W</m:t>
              <w:rPr>
                <w:rFonts w:ascii="Cambria Math" w:hAnsi="Cambria Math"/>
                <w:sz w:val="21"/>
                <w:szCs w:val="21"/>
              </w:rPr>
            </m:r>
          </m:e>
          <m:sup>
            <m:r>
              <m:t>V</m:t>
              <w:rPr>
                <w:rFonts w:ascii="Cambria Math" w:hAnsi="Cambria Math"/>
                <w:sz w:val="21"/>
                <w:szCs w:val="21"/>
              </w:rPr>
            </m:r>
          </m:sup>
        </m:sSup>
      </m:oMath>
      <w:r>
        <w:t xml:space="preserve"> are learned query, key and value projections, and </w:t>
      </w:r>
      <m:oMath>
        <m:sSub>
          <m:e>
            <m:r>
              <m:t>d</m:t>
              <w:rPr>
                <w:rFonts w:ascii="Cambria Math" w:hAnsi="Cambria Math"/>
                <w:sz w:val="21"/>
                <w:szCs w:val="21"/>
              </w:rPr>
            </m:r>
          </m:e>
          <m:sub>
            <m:r>
              <m:t>h</m:t>
              <w:rPr>
                <w:rFonts w:ascii="Cambria Math" w:hAnsi="Cambria Math"/>
                <w:sz w:val="21"/>
                <w:szCs w:val="21"/>
              </w:rPr>
            </m:r>
          </m:sub>
        </m:sSub>
        <m:r>
          <m:t>=</m:t>
          <w:rPr>
            <w:rFonts w:ascii="Cambria Math" w:hAnsi="Cambria Math"/>
            <w:sz w:val="21"/>
            <w:szCs w:val="21"/>
          </w:rPr>
        </m:r>
        <m:f>
          <m:fPr>
            <m:type m:val="bar"/>
          </m:fPr>
          <m:num>
            <m:r>
              <m:t>D</m:t>
              <w:rPr>
                <w:rFonts w:ascii="Cambria Math" w:hAnsi="Cambria Math"/>
                <w:sz w:val="21"/>
                <w:szCs w:val="21"/>
              </w:rPr>
            </m:r>
          </m:num>
          <m:den>
            <m:r>
              <m:t>4</m:t>
              <w:rPr>
                <w:rFonts w:ascii="Cambria Math" w:hAnsi="Cambria Math"/>
                <w:sz w:val="21"/>
                <w:szCs w:val="21"/>
              </w:rPr>
            </m:r>
          </m:den>
        </m:f>
        <m:r>
          <m:t>=32</m:t>
          <w:rPr>
            <w:rFonts w:ascii="Cambria Math" w:hAnsi="Cambria Math"/>
            <w:sz w:val="21"/>
            <w:szCs w:val="21"/>
          </w:rPr>
        </m:r>
      </m:oMath>
      <w:r>
        <w:t xml:space="preserve"> is the width of each attention head. Four heads perform this exchange in parallel; their outputs are concatenated and projected back to the model dimension. One block updates row tokens from column context and another updates column tokens from row context. Both use pre-normalisation, residual connections and an MLP. The updated classification tokens are concatenated and passed to either a linear or MLP head. These variants contain 1,999,114 and 2,031,242 parameters, so accuracy is interpreted alongside model size.</w:t>
      </w:r>
    </w:p>
    <w:p w14:paraId="222F5416" w14:textId="77777777" w:rsidR="00501731" w:rsidRDefault="00B073C8">
      <w:pPr>
        <w:pStyle w:val="Heading2"/>
      </w:pPr>
      <w:r>
        <w:t>3.7 Training and Checkpoint-Selection Protocol</w:t>
      </w:r>
    </w:p>
    <w:p w14:paraId="0CB99CF2" w14:textId="77777777" w:rsidR="00501731" w:rsidRDefault="00B073C8">
      <w:r>
        <w:t>One optimisation protocol is used across models so that method-specific tuning does not become another experimental variable. Models are trained for single-label classification with cross-entropy loss and AdamW [14], using a learning rate of 3 × 10⁻⁴, weight decay 0.05, batch size 128 and at most 100 epochs. ReduceLROnPlateau monitors validation accuracy and halves the learning rate after five epochs without improvement, down to 1 × 10⁻⁶. This shared protocol supports a fair comparison, although it may not be the individually optimal setting for every positional encoding.</w:t>
      </w:r>
    </w:p>
    <w:p w14:paraId="47C6B84B" w14:textId="77777777" w:rsidR="00501731" w:rsidRDefault="00B073C8">
      <w:r>
        <w:t>Early stopping uses the same validation metric, with patience 10 and a minimum qualifying change of 0.001. The parameter state with the best qualifying validation accuracy is saved. When training ends, that state is restored and evaluated once on the validation set and then on the official test set. Test results never influence the learning-rate schedule, stopping time or selected checkpoint. The main comparison repeats the protocol with training seeds 42, 43, 44, 45 and 46 while the data split seed remains 42.</w:t>
      </w:r>
    </w:p>
    <w:p w14:paraId="2D9900EB" w14:textId="77777777" w:rsidR="00501731" w:rsidRDefault="00B073C8">
      <w:pPr>
        <w:pStyle w:val="Heading2"/>
      </w:pPr>
      <w:r>
        <w:t>3.8 Evaluation Metrics and Statistical Analysis</w:t>
      </w:r>
    </w:p>
    <w:p w14:paraId="61C511E2" w14:textId="77777777" w:rsidR="00501731" w:rsidRDefault="00B073C8">
      <w:r>
        <w:t>Test accuracy and cross-entropy loss are the primary outcomes. Accuracy is the proportion of images assigned the correct class, so higher is better. Cross-entropy also reflects the confidence of the predicted probabilities, and lower is better. Macro-precision, macro-recall and macro-F1 are calculated from the confusion matrix as secondary measures; each class contributes equally, which is useful for the 100-class extension. Per-class scores and confusion matrices support diagnosis, while trainable parameter count is reported whenever hybrid or fusion models change capacity.</w:t>
      </w:r>
    </w:p>
    <w:p w14:paraId="604BF520" w14:textId="77777777" w:rsidR="00501731" w:rsidRDefault="00B073C8">
      <w:r>
        <w:t xml:space="preserve">For each model trained with five seeds, the analysis reports the arithmetic mean, sample standard deviation and a two-sided 95% Student t interval with four degrees of freedom. Its half-width is </w:t>
      </w:r>
      <m:oMath>
        <m:r>
          <m:t>2.776×</m:t>
          <w:rPr>
            <w:rFonts w:ascii="Cambria Math" w:hAnsi="Cambria Math"/>
            <w:sz w:val="21"/>
            <w:szCs w:val="21"/>
          </w:rPr>
        </m:r>
        <m:f>
          <m:fPr>
            <m:type m:val="bar"/>
          </m:fPr>
          <m:num>
            <m:r>
              <m:t>s</m:t>
              <w:rPr>
                <w:rFonts w:ascii="Cambria Math" w:hAnsi="Cambria Math"/>
                <w:sz w:val="21"/>
                <w:szCs w:val="21"/>
              </w:rPr>
            </m:r>
          </m:num>
          <m:den>
            <m:rad>
              <m:radPr>
                <m:degHide m:val="on"/>
              </m:radPr>
              <m:deg/>
              <m:e>
                <m:r>
                  <m:t>5</m:t>
                  <w:rPr>
                    <w:rFonts w:ascii="Cambria Math" w:hAnsi="Cambria Math"/>
                    <w:sz w:val="21"/>
                    <w:szCs w:val="21"/>
                  </w:rPr>
                </m:r>
              </m:e>
            </m:rad>
          </m:den>
        </m:f>
      </m:oMath>
      <w:r>
        <w:t xml:space="preserve">, where </w:t>
      </w:r>
      <m:oMath>
        <m:r>
          <m:t>s</m:t>
          <w:rPr>
            <w:rFonts w:ascii="Cambria Math" w:hAnsi="Cambria Math"/>
            <w:sz w:val="21"/>
            <w:szCs w:val="21"/>
          </w:rPr>
        </m:r>
      </m:oMath>
      <w:r>
        <w:t xml:space="preserve"> is the sample standard deviation across seeds. When two models use matching seeds, their per-seed differences are calculated first and the same interval is applied to those differences. Pairing removes variation shared by the matched runs and is therefore the main evidence for a direct comparison. The seeds represent repeated training runs, not five independent datasets, and an interval that includes zero is not treated as proof that two methods are equivalent.</w:t>
      </w:r>
    </w:p>
    <w:p w14:paraId="5D07A749" w14:textId="77777777" w:rsidR="00501731" w:rsidRDefault="00B073C8">
      <w:pPr>
        <w:pStyle w:val="Heading2"/>
      </w:pPr>
      <w:r>
        <w:t>3.9 Implementation and Reproducibility</w:t>
      </w:r>
    </w:p>
    <w:p w14:paraId="09A9937C" w14:textId="77777777" w:rsidR="00501731" w:rsidRDefault="00B073C8">
      <w:r>
        <w:t>The project is implemented in PyTorch. Each run records its command, dataset sizes, model and training configuration, selected checkpoint and evaluation protocol. Raw seed-level metrics and automatically aggregated summaries are stored in experiment-specific directories, so values reported in Chapter 4 can be traced to their source files. Table 4 records the primary workstation and software environment used for the current draft.</w:t>
      </w:r>
    </w:p>
    <w:p w14:paraId="498BA81B" w14:textId="081107AC" w:rsidR="00501731" w:rsidRDefault="00B073C8">
      <w:pPr>
        <w:pStyle w:val="Caption"/>
        <w:keepNext/>
        <w:jc w:val="center"/>
        <w:pageBreakBefore/>
      </w:pPr>
      <w:r>
        <w:rPr>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4</w:t>
      </w:r>
      <w:r>
        <w:rPr>
          <w:sz w:val="20"/>
        </w:rPr>
        <w:fldChar w:fldCharType="end"/>
      </w:r>
      <w:r>
        <w:rPr>
          <w:sz w:val="20"/>
        </w:rPr>
        <w:t>. Hardware and software environment.</w:t>
      </w:r>
    </w:p>
    <w:tbl>
      <w:tblPr>
        <w:tblStyle w:val="TableGrid"/>
        <w:tblW w:w="8740" w:type="dxa"/>
        <w:tblInd w:w="120" w:type="dxa"/>
        <w:tblLayout w:type="fixed"/>
        <w:tblLook w:val="04A0" w:firstRow="1" w:lastRow="0" w:firstColumn="1" w:lastColumn="0" w:noHBand="0" w:noVBand="1"/>
      </w:tblPr>
      <w:tblGrid>
        <w:gridCol w:w="2450"/>
        <w:gridCol w:w="6290"/>
      </w:tblGrid>
      <w:tr w:rsidR="00501731" w14:paraId="13F75525" w14:textId="77777777">
        <w:trPr>
          <w:tblHeader/>
        </w:trPr>
        <w:tc>
          <w:tcPr>
            <w:tcW w:w="2450" w:type="dxa"/>
            <w:tcMar>
              <w:top w:w="90" w:type="dxa"/>
              <w:left w:w="120" w:type="dxa"/>
              <w:bottom w:w="90" w:type="dxa"/>
              <w:right w:w="120" w:type="dxa"/>
            </w:tcMar>
            <w:vAlign w:val="center"/>
          </w:tcPr>
          <w:p w14:paraId="0DBCE628" w14:textId="77777777" w:rsidR="00501731" w:rsidRDefault="00B073C8">
            <w:pPr>
              <w:keepNext/>
              <w:spacing w:after="0" w:line="240" w:lineRule="auto"/>
              <w:jc w:val="left"/>
            </w:pPr>
            <w:r>
              <w:rPr>
                <w:b/>
                <w:sz w:val="20"/>
              </w:rPr>
              <w:t>Component</w:t>
            </w:r>
          </w:p>
        </w:tc>
        <w:tc>
          <w:tcPr>
            <w:tcW w:w="6290" w:type="dxa"/>
            <w:tcMar>
              <w:top w:w="90" w:type="dxa"/>
              <w:left w:w="120" w:type="dxa"/>
              <w:bottom w:w="90" w:type="dxa"/>
              <w:right w:w="120" w:type="dxa"/>
            </w:tcMar>
            <w:vAlign w:val="center"/>
          </w:tcPr>
          <w:p w14:paraId="22D657E9" w14:textId="77777777" w:rsidR="00501731" w:rsidRDefault="00B073C8">
            <w:pPr>
              <w:keepNext/>
              <w:spacing w:after="0" w:line="240" w:lineRule="auto"/>
              <w:jc w:val="left"/>
            </w:pPr>
            <w:r>
              <w:rPr>
                <w:b/>
                <w:sz w:val="20"/>
              </w:rPr>
              <w:t>Configuration</w:t>
            </w:r>
          </w:p>
        </w:tc>
      </w:tr>
      <w:tr w:rsidR="00501731" w14:paraId="38ABBD0B" w14:textId="77777777">
        <w:tc>
          <w:tcPr>
            <w:tcW w:w="2450" w:type="dxa"/>
            <w:tcMar>
              <w:top w:w="90" w:type="dxa"/>
              <w:left w:w="120" w:type="dxa"/>
              <w:bottom w:w="90" w:type="dxa"/>
              <w:right w:w="120" w:type="dxa"/>
            </w:tcMar>
            <w:vAlign w:val="center"/>
          </w:tcPr>
          <w:p w14:paraId="128A3B92" w14:textId="77777777" w:rsidR="00501731" w:rsidRDefault="00B073C8">
            <w:pPr>
              <w:keepNext/>
              <w:spacing w:after="0" w:line="240" w:lineRule="auto"/>
              <w:jc w:val="left"/>
            </w:pPr>
            <w:r>
              <w:rPr>
                <w:sz w:val="20"/>
              </w:rPr>
              <w:t>GPU</w:t>
            </w:r>
          </w:p>
        </w:tc>
        <w:tc>
          <w:tcPr>
            <w:tcW w:w="6290" w:type="dxa"/>
            <w:tcMar>
              <w:top w:w="90" w:type="dxa"/>
              <w:left w:w="120" w:type="dxa"/>
              <w:bottom w:w="90" w:type="dxa"/>
              <w:right w:w="120" w:type="dxa"/>
            </w:tcMar>
            <w:vAlign w:val="center"/>
          </w:tcPr>
          <w:p w14:paraId="5C1BFC52" w14:textId="77777777" w:rsidR="00501731" w:rsidRDefault="00B073C8">
            <w:pPr>
              <w:keepNext/>
              <w:spacing w:after="0" w:line="240" w:lineRule="auto"/>
              <w:jc w:val="left"/>
            </w:pPr>
            <w:r>
              <w:rPr>
                <w:sz w:val="20"/>
              </w:rPr>
              <w:t>NVIDIA GeForce RTX 5070 Ti</w:t>
            </w:r>
          </w:p>
        </w:tc>
      </w:tr>
      <w:tr w:rsidR="00501731" w14:paraId="2ECC860B" w14:textId="77777777">
        <w:tc>
          <w:tcPr>
            <w:tcW w:w="2450" w:type="dxa"/>
            <w:tcMar>
              <w:top w:w="90" w:type="dxa"/>
              <w:left w:w="120" w:type="dxa"/>
              <w:bottom w:w="90" w:type="dxa"/>
              <w:right w:w="120" w:type="dxa"/>
            </w:tcMar>
            <w:vAlign w:val="center"/>
          </w:tcPr>
          <w:p w14:paraId="2F800E03" w14:textId="77777777" w:rsidR="00501731" w:rsidRDefault="00B073C8">
            <w:pPr>
              <w:keepNext/>
              <w:spacing w:after="0" w:line="240" w:lineRule="auto"/>
              <w:jc w:val="left"/>
            </w:pPr>
            <w:r>
              <w:rPr>
                <w:sz w:val="20"/>
              </w:rPr>
              <w:t>CPU</w:t>
            </w:r>
          </w:p>
        </w:tc>
        <w:tc>
          <w:tcPr>
            <w:tcW w:w="6290" w:type="dxa"/>
            <w:tcMar>
              <w:top w:w="90" w:type="dxa"/>
              <w:left w:w="120" w:type="dxa"/>
              <w:bottom w:w="90" w:type="dxa"/>
              <w:right w:w="120" w:type="dxa"/>
            </w:tcMar>
            <w:vAlign w:val="center"/>
          </w:tcPr>
          <w:p w14:paraId="5EA659B6" w14:textId="77777777" w:rsidR="00501731" w:rsidRDefault="00B073C8">
            <w:pPr>
              <w:keepNext/>
              <w:spacing w:after="0" w:line="240" w:lineRule="auto"/>
              <w:jc w:val="left"/>
            </w:pPr>
            <w:r>
              <w:rPr>
                <w:sz w:val="20"/>
              </w:rPr>
              <w:t>AMD Ryzen 7 9800X3D</w:t>
            </w:r>
          </w:p>
        </w:tc>
      </w:tr>
      <w:tr w:rsidR="00501731" w14:paraId="4D715AB1" w14:textId="77777777">
        <w:tc>
          <w:tcPr>
            <w:tcW w:w="2450" w:type="dxa"/>
            <w:tcMar>
              <w:top w:w="90" w:type="dxa"/>
              <w:left w:w="120" w:type="dxa"/>
              <w:bottom w:w="90" w:type="dxa"/>
              <w:right w:w="120" w:type="dxa"/>
            </w:tcMar>
            <w:vAlign w:val="center"/>
          </w:tcPr>
          <w:p w14:paraId="773F0F30" w14:textId="77777777" w:rsidR="00501731" w:rsidRDefault="00B073C8">
            <w:pPr>
              <w:keepNext/>
              <w:spacing w:after="0" w:line="240" w:lineRule="auto"/>
              <w:jc w:val="left"/>
            </w:pPr>
            <w:r>
              <w:rPr>
                <w:sz w:val="20"/>
              </w:rPr>
              <w:t>System memory</w:t>
            </w:r>
          </w:p>
        </w:tc>
        <w:tc>
          <w:tcPr>
            <w:tcW w:w="6290" w:type="dxa"/>
            <w:tcMar>
              <w:top w:w="90" w:type="dxa"/>
              <w:left w:w="120" w:type="dxa"/>
              <w:bottom w:w="90" w:type="dxa"/>
              <w:right w:w="120" w:type="dxa"/>
            </w:tcMar>
            <w:vAlign w:val="center"/>
          </w:tcPr>
          <w:p w14:paraId="4936914F" w14:textId="77777777" w:rsidR="00501731" w:rsidRDefault="00B073C8">
            <w:pPr>
              <w:keepNext/>
              <w:spacing w:after="0" w:line="240" w:lineRule="auto"/>
              <w:jc w:val="left"/>
            </w:pPr>
            <w:r>
              <w:rPr>
                <w:sz w:val="20"/>
              </w:rPr>
              <w:t>32 GB RAM</w:t>
            </w:r>
          </w:p>
        </w:tc>
      </w:tr>
      <w:tr w:rsidR="00501731" w14:paraId="7DE1F796" w14:textId="77777777">
        <w:tc>
          <w:tcPr>
            <w:tcW w:w="2450" w:type="dxa"/>
            <w:tcMar>
              <w:top w:w="90" w:type="dxa"/>
              <w:left w:w="120" w:type="dxa"/>
              <w:bottom w:w="90" w:type="dxa"/>
              <w:right w:w="120" w:type="dxa"/>
            </w:tcMar>
            <w:vAlign w:val="center"/>
          </w:tcPr>
          <w:p w14:paraId="10B10DB9" w14:textId="77777777" w:rsidR="00501731" w:rsidRDefault="00B073C8">
            <w:pPr>
              <w:keepNext/>
              <w:spacing w:after="0" w:line="240" w:lineRule="auto"/>
              <w:jc w:val="left"/>
            </w:pPr>
            <w:r>
              <w:rPr>
                <w:sz w:val="20"/>
              </w:rPr>
              <w:t>Operating system</w:t>
            </w:r>
          </w:p>
        </w:tc>
        <w:tc>
          <w:tcPr>
            <w:tcW w:w="6290" w:type="dxa"/>
            <w:tcMar>
              <w:top w:w="90" w:type="dxa"/>
              <w:left w:w="120" w:type="dxa"/>
              <w:bottom w:w="90" w:type="dxa"/>
              <w:right w:w="120" w:type="dxa"/>
            </w:tcMar>
            <w:vAlign w:val="center"/>
          </w:tcPr>
          <w:p w14:paraId="73682861" w14:textId="77777777" w:rsidR="00202DEC" w:rsidRDefault="00BF0975">
            <w:r>
              <w:rPr>
                <w:sz w:val="18"/>
              </w:rPr>
              <w:t>Windows Pro 25H2 (build 26200.8875)</w:t>
            </w:r>
          </w:p>
        </w:tc>
      </w:tr>
      <w:tr w:rsidR="00501731" w14:paraId="00127882" w14:textId="77777777">
        <w:tc>
          <w:tcPr>
            <w:tcW w:w="2450" w:type="dxa"/>
            <w:tcMar>
              <w:top w:w="90" w:type="dxa"/>
              <w:left w:w="120" w:type="dxa"/>
              <w:bottom w:w="90" w:type="dxa"/>
              <w:right w:w="120" w:type="dxa"/>
            </w:tcMar>
            <w:vAlign w:val="center"/>
          </w:tcPr>
          <w:p w14:paraId="60E43A7D" w14:textId="77777777" w:rsidR="00501731" w:rsidRDefault="00B073C8">
            <w:pPr>
              <w:keepNext/>
              <w:spacing w:after="0" w:line="240" w:lineRule="auto"/>
              <w:jc w:val="left"/>
            </w:pPr>
            <w:r>
              <w:rPr>
                <w:sz w:val="20"/>
              </w:rPr>
              <w:t>Python</w:t>
            </w:r>
          </w:p>
        </w:tc>
        <w:tc>
          <w:tcPr>
            <w:tcW w:w="6290" w:type="dxa"/>
            <w:tcMar>
              <w:top w:w="90" w:type="dxa"/>
              <w:left w:w="120" w:type="dxa"/>
              <w:bottom w:w="90" w:type="dxa"/>
              <w:right w:w="120" w:type="dxa"/>
            </w:tcMar>
            <w:vAlign w:val="center"/>
          </w:tcPr>
          <w:p w14:paraId="2EA4B723" w14:textId="77777777" w:rsidR="00501731" w:rsidRDefault="00B073C8">
            <w:pPr>
              <w:keepNext/>
              <w:spacing w:after="0" w:line="240" w:lineRule="auto"/>
              <w:jc w:val="left"/>
            </w:pPr>
            <w:r>
              <w:rPr>
                <w:sz w:val="20"/>
              </w:rPr>
              <w:t>3.11.15</w:t>
            </w:r>
          </w:p>
        </w:tc>
      </w:tr>
      <w:tr w:rsidR="00501731" w14:paraId="793E01CF" w14:textId="77777777">
        <w:tc>
          <w:tcPr>
            <w:tcW w:w="2450" w:type="dxa"/>
            <w:tcMar>
              <w:top w:w="90" w:type="dxa"/>
              <w:left w:w="120" w:type="dxa"/>
              <w:bottom w:w="90" w:type="dxa"/>
              <w:right w:w="120" w:type="dxa"/>
            </w:tcMar>
            <w:vAlign w:val="center"/>
          </w:tcPr>
          <w:p w14:paraId="5FA5CEF1" w14:textId="77777777" w:rsidR="00501731" w:rsidRDefault="00B073C8">
            <w:pPr>
              <w:keepNext/>
              <w:spacing w:after="0" w:line="240" w:lineRule="auto"/>
              <w:jc w:val="left"/>
            </w:pPr>
            <w:proofErr w:type="spellStart"/>
            <w:r>
              <w:rPr>
                <w:sz w:val="20"/>
              </w:rPr>
              <w:t>PyTorch</w:t>
            </w:r>
            <w:proofErr w:type="spellEnd"/>
          </w:p>
        </w:tc>
        <w:tc>
          <w:tcPr>
            <w:tcW w:w="6290" w:type="dxa"/>
            <w:tcMar>
              <w:top w:w="90" w:type="dxa"/>
              <w:left w:w="120" w:type="dxa"/>
              <w:bottom w:w="90" w:type="dxa"/>
              <w:right w:w="120" w:type="dxa"/>
            </w:tcMar>
            <w:vAlign w:val="center"/>
          </w:tcPr>
          <w:p w14:paraId="7700EAD6" w14:textId="77777777" w:rsidR="00501731" w:rsidRDefault="00B073C8">
            <w:pPr>
              <w:keepNext/>
              <w:spacing w:after="0" w:line="240" w:lineRule="auto"/>
              <w:jc w:val="left"/>
            </w:pPr>
            <w:r>
              <w:rPr>
                <w:sz w:val="20"/>
              </w:rPr>
              <w:t>2.12.0+cu130</w:t>
            </w:r>
          </w:p>
        </w:tc>
      </w:tr>
      <w:tr w:rsidR="00501731" w14:paraId="4C942805" w14:textId="77777777">
        <w:tc>
          <w:tcPr>
            <w:tcW w:w="2450" w:type="dxa"/>
            <w:tcMar>
              <w:top w:w="90" w:type="dxa"/>
              <w:left w:w="120" w:type="dxa"/>
              <w:bottom w:w="90" w:type="dxa"/>
              <w:right w:w="120" w:type="dxa"/>
            </w:tcMar>
            <w:vAlign w:val="center"/>
          </w:tcPr>
          <w:p w14:paraId="5AD85BF5" w14:textId="77777777" w:rsidR="00501731" w:rsidRDefault="00B073C8">
            <w:pPr>
              <w:spacing w:after="0" w:line="240" w:lineRule="auto"/>
              <w:jc w:val="left"/>
            </w:pPr>
            <w:proofErr w:type="spellStart"/>
            <w:r>
              <w:rPr>
                <w:sz w:val="20"/>
              </w:rPr>
              <w:t>Torchvision</w:t>
            </w:r>
            <w:proofErr w:type="spellEnd"/>
          </w:p>
        </w:tc>
        <w:tc>
          <w:tcPr>
            <w:tcW w:w="6290" w:type="dxa"/>
            <w:tcMar>
              <w:top w:w="90" w:type="dxa"/>
              <w:left w:w="120" w:type="dxa"/>
              <w:bottom w:w="90" w:type="dxa"/>
              <w:right w:w="120" w:type="dxa"/>
            </w:tcMar>
            <w:vAlign w:val="center"/>
          </w:tcPr>
          <w:p w14:paraId="394CA64A" w14:textId="77777777" w:rsidR="00501731" w:rsidRDefault="00B073C8">
            <w:pPr>
              <w:spacing w:after="0" w:line="240" w:lineRule="auto"/>
              <w:jc w:val="left"/>
            </w:pPr>
            <w:r>
              <w:rPr>
                <w:sz w:val="20"/>
              </w:rPr>
              <w:t>0.27.0+cu130</w:t>
            </w:r>
          </w:p>
        </w:tc>
      </w:tr>
      <w:tr w:rsidR="00202DEC" w14:paraId="1D3B0FED" w14:textId="77777777">
        <w:tc>
          <w:tcPr>
            <w:tcW w:w="2450" w:type="dxa"/>
          </w:tcPr>
          <w:p w14:paraId="6AD01810" w14:textId="77777777" w:rsidR="00202DEC" w:rsidRDefault="00BF0975">
            <w:r>
              <w:rPr>
                <w:sz w:val="18"/>
              </w:rPr>
              <w:t>Repository base revision</w:t>
            </w:r>
          </w:p>
        </w:tc>
        <w:tc>
          <w:tcPr>
            <w:tcW w:w="6290" w:type="dxa"/>
          </w:tcPr>
          <w:p w14:paraId="4C380C42" w14:textId="77777777" w:rsidR="00202DEC" w:rsidRDefault="00BF0975">
            <w:r>
              <w:rPr>
                <w:sz w:val="18"/>
              </w:rPr>
              <w:t>6490945 (draft snapshot)</w:t>
            </w:r>
          </w:p>
        </w:tc>
      </w:tr>
    </w:tbl>
    <w:p w14:paraId="7DDEC9AA" w14:textId="77777777" w:rsidR="00501731" w:rsidRDefault="00B073C8">
      <w:r>
        <w:t>Historical run configurations record CUDA as the execution device, but the earlier logging schema did not preserve the GPU model or Git revision for every run. Table 4 therefore describes the primary workstation and the repository snapshot used for this draft; it does not claim that every stored run can be tied to a uniquely recorded machine state. The final submission revision will be recorded when the result tables are frozen. Python, PyTorch and CUDA random-number generators are seeded, but strict deterministic-algorithm enforcement is not enabled, so small nondeterministic differences may remain.</w:t>
      </w:r>
    </w:p>
    <w:p w14:paraId="66EB8567" w14:textId="77777777" w:rsidR="006C3F57" w:rsidRDefault="00551678">
      <w:pPr>
        <w:pStyle w:val="Heading1"/>
        <w:pageBreakBefore/>
      </w:pPr>
      <w:r>
        <w:lastRenderedPageBreak/>
        <w:t>4 Experiments and Results</w:t>
      </w:r>
    </w:p>
    <w:p w14:paraId="7469A9FD" w14:textId="77777777" w:rsidR="00522DE2" w:rsidRDefault="00BF0975">
      <w:r>
        <w:t>This chapter presents the experiments in the order needed to answer the study questions. It begins with the core positional-encoding comparison, then isolates the shifted schedule, changes patch-to-position assignment, reduces the available training data, moves selected models to CIFAR-100, and finally examines hybrid and fusion extensions. Each section states what changes and what remains controlled before reporting the selected-checkpoint test results. Mechanistic explanations and practical recommendations are reserved for Chapter 5 so that observation and interpretation remain distinct.</w:t>
      </w:r>
    </w:p>
    <w:p w14:paraId="14AB4C7E" w14:textId="77777777" w:rsidR="00522DE2" w:rsidRDefault="00BF0975">
      <w:pPr>
        <w:pStyle w:val="Heading2"/>
      </w:pPr>
      <w:r>
        <w:t>4.1 Evaluation Overview</w:t>
      </w:r>
    </w:p>
    <w:p w14:paraId="0AA241BD" w14:textId="77777777" w:rsidR="00522DE2" w:rsidRDefault="00BF0975">
      <w:r>
        <w:t>All tables report held-out test performance from the checkpoint selected by validation accuracy. Accuracy should be read as higher-is-better and cross-entropy loss as lower-is-better. Five-seed results are shown as a mean with a two-sided 95% t confidence interval. Direct comparisons also use same-seed paired differences, and parameter counts are included whenever a model changes capacity.</w:t>
      </w:r>
    </w:p>
    <w:p w14:paraId="0DC09979" w14:textId="4F677D16"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5</w:t>
      </w:r>
      <w:r>
        <w:rPr>
          <w:sz w:val="20"/>
        </w:rPr>
        <w:fldChar w:fldCharType="end"/>
      </w:r>
      <w:r>
        <w:rPr>
          <w:sz w:val="20"/>
        </w:rPr>
        <w:t>. Experimental reporting conventions.</w:t>
      </w:r>
    </w:p>
    <w:tbl>
      <w:tblPr>
        <w:tblW w:w="89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700"/>
        <w:gridCol w:w="4300"/>
        <w:gridCol w:w="2900"/>
      </w:tblGrid>
      <w:tr w:rsidR="00522DE2" w14:paraId="43100CAC" w14:textId="77777777">
        <w:trPr>
          <w:tblHeader/>
        </w:trPr>
        <w:tc>
          <w:tcPr>
            <w:tcW w:w="1700" w:type="dxa"/>
            <w:tcBorders>
              <w:bottom w:val="single" w:sz="6" w:space="0" w:color="000000"/>
            </w:tcBorders>
            <w:tcMar>
              <w:top w:w="90" w:type="dxa"/>
              <w:left w:w="100" w:type="dxa"/>
              <w:bottom w:w="90" w:type="dxa"/>
              <w:right w:w="100" w:type="dxa"/>
            </w:tcMar>
            <w:vAlign w:val="center"/>
          </w:tcPr>
          <w:p w14:paraId="30CC7812" w14:textId="77777777" w:rsidR="00522DE2" w:rsidRDefault="00BF0975">
            <w:pPr>
              <w:spacing w:after="0"/>
              <w:jc w:val="left"/>
            </w:pPr>
            <w:r>
              <w:rPr>
                <w:b/>
                <w:sz w:val="18"/>
              </w:rPr>
              <w:t>Quantity</w:t>
            </w:r>
          </w:p>
        </w:tc>
        <w:tc>
          <w:tcPr>
            <w:tcW w:w="4300" w:type="dxa"/>
            <w:tcBorders>
              <w:bottom w:val="single" w:sz="6" w:space="0" w:color="000000"/>
            </w:tcBorders>
            <w:tcMar>
              <w:top w:w="90" w:type="dxa"/>
              <w:left w:w="100" w:type="dxa"/>
              <w:bottom w:w="90" w:type="dxa"/>
              <w:right w:w="100" w:type="dxa"/>
            </w:tcMar>
            <w:vAlign w:val="center"/>
          </w:tcPr>
          <w:p w14:paraId="2F271E76" w14:textId="77777777" w:rsidR="00522DE2" w:rsidRDefault="00BF0975">
            <w:pPr>
              <w:spacing w:after="0"/>
              <w:jc w:val="center"/>
            </w:pPr>
            <w:r>
              <w:rPr>
                <w:b/>
                <w:sz w:val="18"/>
              </w:rPr>
              <w:t>Definition</w:t>
            </w:r>
          </w:p>
        </w:tc>
        <w:tc>
          <w:tcPr>
            <w:tcW w:w="2900" w:type="dxa"/>
            <w:tcBorders>
              <w:bottom w:val="single" w:sz="6" w:space="0" w:color="000000"/>
            </w:tcBorders>
            <w:tcMar>
              <w:top w:w="90" w:type="dxa"/>
              <w:left w:w="100" w:type="dxa"/>
              <w:bottom w:w="90" w:type="dxa"/>
              <w:right w:w="100" w:type="dxa"/>
            </w:tcMar>
            <w:vAlign w:val="center"/>
          </w:tcPr>
          <w:p w14:paraId="0AC85921" w14:textId="77777777" w:rsidR="00522DE2" w:rsidRDefault="00BF0975">
            <w:pPr>
              <w:spacing w:after="0"/>
              <w:jc w:val="center"/>
            </w:pPr>
            <w:r>
              <w:rPr>
                <w:b/>
                <w:sz w:val="18"/>
              </w:rPr>
              <w:t>Reporting form</w:t>
            </w:r>
          </w:p>
        </w:tc>
      </w:tr>
      <w:tr w:rsidR="00522DE2" w14:paraId="4B321984" w14:textId="77777777">
        <w:tc>
          <w:tcPr>
            <w:tcW w:w="1700" w:type="dxa"/>
            <w:tcMar>
              <w:top w:w="90" w:type="dxa"/>
              <w:left w:w="100" w:type="dxa"/>
              <w:bottom w:w="90" w:type="dxa"/>
              <w:right w:w="100" w:type="dxa"/>
            </w:tcMar>
            <w:vAlign w:val="center"/>
          </w:tcPr>
          <w:p w14:paraId="59C2F97A" w14:textId="77777777" w:rsidR="00522DE2" w:rsidRDefault="00BF0975">
            <w:pPr>
              <w:spacing w:after="0" w:line="240" w:lineRule="auto"/>
              <w:jc w:val="left"/>
            </w:pPr>
            <w:r>
              <w:rPr>
                <w:sz w:val="18"/>
              </w:rPr>
              <w:t>Test accuracy</w:t>
            </w:r>
          </w:p>
        </w:tc>
        <w:tc>
          <w:tcPr>
            <w:tcW w:w="4300" w:type="dxa"/>
            <w:tcMar>
              <w:top w:w="90" w:type="dxa"/>
              <w:left w:w="100" w:type="dxa"/>
              <w:bottom w:w="90" w:type="dxa"/>
              <w:right w:w="100" w:type="dxa"/>
            </w:tcMar>
            <w:vAlign w:val="center"/>
          </w:tcPr>
          <w:p w14:paraId="27E992BE" w14:textId="77777777" w:rsidR="00522DE2" w:rsidRDefault="00BF0975">
            <w:pPr>
              <w:spacing w:after="0" w:line="240" w:lineRule="auto"/>
              <w:jc w:val="left"/>
            </w:pPr>
            <w:r>
              <w:rPr>
                <w:sz w:val="18"/>
              </w:rPr>
              <w:t>Accuracy at the validation-selected checkpoint</w:t>
            </w:r>
          </w:p>
        </w:tc>
        <w:tc>
          <w:tcPr>
            <w:tcW w:w="2900" w:type="dxa"/>
            <w:tcMar>
              <w:top w:w="90" w:type="dxa"/>
              <w:left w:w="100" w:type="dxa"/>
              <w:bottom w:w="90" w:type="dxa"/>
              <w:right w:w="100" w:type="dxa"/>
            </w:tcMar>
            <w:vAlign w:val="center"/>
          </w:tcPr>
          <w:p w14:paraId="46AF3932" w14:textId="77777777" w:rsidR="00522DE2" w:rsidRDefault="00BF0975">
            <w:pPr>
              <w:spacing w:after="0" w:line="240" w:lineRule="auto"/>
              <w:jc w:val="center"/>
            </w:pPr>
            <w:r>
              <w:rPr>
                <w:sz w:val="18"/>
              </w:rPr>
              <w:t>Mean ± 95% CI</w:t>
            </w:r>
          </w:p>
        </w:tc>
      </w:tr>
      <w:tr w:rsidR="00522DE2" w14:paraId="32F8D236" w14:textId="77777777">
        <w:tc>
          <w:tcPr>
            <w:tcW w:w="1700" w:type="dxa"/>
            <w:tcMar>
              <w:top w:w="90" w:type="dxa"/>
              <w:left w:w="100" w:type="dxa"/>
              <w:bottom w:w="90" w:type="dxa"/>
              <w:right w:w="100" w:type="dxa"/>
            </w:tcMar>
            <w:vAlign w:val="center"/>
          </w:tcPr>
          <w:p w14:paraId="5C09BB70" w14:textId="77777777" w:rsidR="00522DE2" w:rsidRDefault="00BF0975">
            <w:pPr>
              <w:spacing w:after="0" w:line="240" w:lineRule="auto"/>
              <w:jc w:val="left"/>
            </w:pPr>
            <w:r>
              <w:rPr>
                <w:sz w:val="18"/>
              </w:rPr>
              <w:t>Test loss</w:t>
            </w:r>
          </w:p>
        </w:tc>
        <w:tc>
          <w:tcPr>
            <w:tcW w:w="4300" w:type="dxa"/>
            <w:tcMar>
              <w:top w:w="90" w:type="dxa"/>
              <w:left w:w="100" w:type="dxa"/>
              <w:bottom w:w="90" w:type="dxa"/>
              <w:right w:w="100" w:type="dxa"/>
            </w:tcMar>
            <w:vAlign w:val="center"/>
          </w:tcPr>
          <w:p w14:paraId="7C689365" w14:textId="77777777" w:rsidR="00522DE2" w:rsidRDefault="00BF0975">
            <w:pPr>
              <w:spacing w:after="0" w:line="240" w:lineRule="auto"/>
              <w:jc w:val="left"/>
            </w:pPr>
            <w:r>
              <w:rPr>
                <w:sz w:val="18"/>
              </w:rPr>
              <w:t>Cross-entropy loss at the same checkpoint</w:t>
            </w:r>
          </w:p>
        </w:tc>
        <w:tc>
          <w:tcPr>
            <w:tcW w:w="2900" w:type="dxa"/>
            <w:tcMar>
              <w:top w:w="90" w:type="dxa"/>
              <w:left w:w="100" w:type="dxa"/>
              <w:bottom w:w="90" w:type="dxa"/>
              <w:right w:w="100" w:type="dxa"/>
            </w:tcMar>
            <w:vAlign w:val="center"/>
          </w:tcPr>
          <w:p w14:paraId="52EB967B" w14:textId="77777777" w:rsidR="00522DE2" w:rsidRDefault="00BF0975">
            <w:pPr>
              <w:spacing w:after="0" w:line="240" w:lineRule="auto"/>
              <w:jc w:val="center"/>
            </w:pPr>
            <w:r>
              <w:rPr>
                <w:sz w:val="18"/>
              </w:rPr>
              <w:t>Mean ± 95% CI</w:t>
            </w:r>
          </w:p>
        </w:tc>
      </w:tr>
      <w:tr w:rsidR="00522DE2" w14:paraId="031189AA" w14:textId="77777777">
        <w:tc>
          <w:tcPr>
            <w:tcW w:w="1700" w:type="dxa"/>
            <w:tcMar>
              <w:top w:w="90" w:type="dxa"/>
              <w:left w:w="100" w:type="dxa"/>
              <w:bottom w:w="90" w:type="dxa"/>
              <w:right w:w="100" w:type="dxa"/>
            </w:tcMar>
            <w:vAlign w:val="center"/>
          </w:tcPr>
          <w:p w14:paraId="0EA5402E" w14:textId="77777777" w:rsidR="00522DE2" w:rsidRDefault="00BF0975">
            <w:pPr>
              <w:spacing w:after="0" w:line="240" w:lineRule="auto"/>
              <w:jc w:val="left"/>
            </w:pPr>
            <w:r>
              <w:rPr>
                <w:sz w:val="18"/>
              </w:rPr>
              <w:t>Paired effect</w:t>
            </w:r>
          </w:p>
        </w:tc>
        <w:tc>
          <w:tcPr>
            <w:tcW w:w="4300" w:type="dxa"/>
            <w:tcMar>
              <w:top w:w="90" w:type="dxa"/>
              <w:left w:w="100" w:type="dxa"/>
              <w:bottom w:w="90" w:type="dxa"/>
              <w:right w:w="100" w:type="dxa"/>
            </w:tcMar>
            <w:vAlign w:val="center"/>
          </w:tcPr>
          <w:p w14:paraId="749BE106" w14:textId="77777777" w:rsidR="00522DE2" w:rsidRDefault="00BF0975">
            <w:pPr>
              <w:spacing w:after="0" w:line="240" w:lineRule="auto"/>
              <w:jc w:val="left"/>
            </w:pPr>
            <w:r>
              <w:rPr>
                <w:sz w:val="18"/>
              </w:rPr>
              <w:t>Same-seed difference between two models</w:t>
            </w:r>
          </w:p>
        </w:tc>
        <w:tc>
          <w:tcPr>
            <w:tcW w:w="2900" w:type="dxa"/>
            <w:tcMar>
              <w:top w:w="90" w:type="dxa"/>
              <w:left w:w="100" w:type="dxa"/>
              <w:bottom w:w="90" w:type="dxa"/>
              <w:right w:w="100" w:type="dxa"/>
            </w:tcMar>
            <w:vAlign w:val="center"/>
          </w:tcPr>
          <w:p w14:paraId="1B14ABDA" w14:textId="77777777" w:rsidR="00522DE2" w:rsidRDefault="00BF0975">
            <w:pPr>
              <w:spacing w:after="0" w:line="240" w:lineRule="auto"/>
              <w:jc w:val="center"/>
            </w:pPr>
            <w:r>
              <w:rPr>
                <w:sz w:val="18"/>
              </w:rPr>
              <w:t>Mean difference and 95% CI</w:t>
            </w:r>
          </w:p>
        </w:tc>
      </w:tr>
      <w:tr w:rsidR="00522DE2" w14:paraId="7EA52F74" w14:textId="77777777">
        <w:tc>
          <w:tcPr>
            <w:tcW w:w="1700" w:type="dxa"/>
            <w:tcMar>
              <w:top w:w="90" w:type="dxa"/>
              <w:left w:w="100" w:type="dxa"/>
              <w:bottom w:w="90" w:type="dxa"/>
              <w:right w:w="100" w:type="dxa"/>
            </w:tcMar>
            <w:vAlign w:val="center"/>
          </w:tcPr>
          <w:p w14:paraId="52DAEC77" w14:textId="77777777" w:rsidR="00522DE2" w:rsidRDefault="00BF0975">
            <w:pPr>
              <w:spacing w:after="0" w:line="240" w:lineRule="auto"/>
              <w:jc w:val="left"/>
            </w:pPr>
            <w:r>
              <w:rPr>
                <w:sz w:val="18"/>
              </w:rPr>
              <w:t>Model capacity</w:t>
            </w:r>
          </w:p>
        </w:tc>
        <w:tc>
          <w:tcPr>
            <w:tcW w:w="4300" w:type="dxa"/>
            <w:tcMar>
              <w:top w:w="90" w:type="dxa"/>
              <w:left w:w="100" w:type="dxa"/>
              <w:bottom w:w="90" w:type="dxa"/>
              <w:right w:w="100" w:type="dxa"/>
            </w:tcMar>
            <w:vAlign w:val="center"/>
          </w:tcPr>
          <w:p w14:paraId="33AE636E" w14:textId="77777777" w:rsidR="00522DE2" w:rsidRDefault="00BF0975">
            <w:pPr>
              <w:spacing w:after="0" w:line="240" w:lineRule="auto"/>
              <w:jc w:val="left"/>
            </w:pPr>
            <w:r>
              <w:rPr>
                <w:sz w:val="18"/>
              </w:rPr>
              <w:t>Total trainable parameter count</w:t>
            </w:r>
          </w:p>
        </w:tc>
        <w:tc>
          <w:tcPr>
            <w:tcW w:w="2900" w:type="dxa"/>
            <w:tcMar>
              <w:top w:w="90" w:type="dxa"/>
              <w:left w:w="100" w:type="dxa"/>
              <w:bottom w:w="90" w:type="dxa"/>
              <w:right w:w="100" w:type="dxa"/>
            </w:tcMar>
            <w:vAlign w:val="center"/>
          </w:tcPr>
          <w:p w14:paraId="44294768" w14:textId="77777777" w:rsidR="00522DE2" w:rsidRDefault="00BF0975">
            <w:pPr>
              <w:spacing w:after="0" w:line="240" w:lineRule="auto"/>
              <w:jc w:val="center"/>
            </w:pPr>
            <w:r>
              <w:rPr>
                <w:sz w:val="18"/>
              </w:rPr>
              <w:t>Parameters and relative increase</w:t>
            </w:r>
          </w:p>
        </w:tc>
      </w:tr>
    </w:tbl>
    <w:p w14:paraId="221A6AB5" w14:textId="77777777" w:rsidR="00522DE2" w:rsidRDefault="00BF0975">
      <w:r>
        <w:t>All values are generated from the validation-selected five-seed summary files using the frozen protocol in Chapter 3. Values after ± and ranges in brackets are 95% t confidence intervals. Bold entries mark the higher accuracy or lower loss within the comparison group represented in a table. Validation curves show the mean across seeds 42–46, with shaded bands equal to one sample standard deviation. A curve stops at the final epoch completed by all five runs in that configuration, which avoids averaging different numbers of seeds near the end of training.</w:t>
      </w:r>
    </w:p>
    <w:p w14:paraId="6A7C5514" w14:textId="77777777" w:rsidR="00522DE2" w:rsidRDefault="00BF0975">
      <w:pPr>
        <w:pStyle w:val="Heading2"/>
      </w:pPr>
      <w:r>
        <w:t>4.2 Core Positional-Encoding Comparison</w:t>
      </w:r>
    </w:p>
    <w:p w14:paraId="3ED8CA5D" w14:textId="77777777" w:rsidR="00522DE2" w:rsidRDefault="00BF0975">
      <w:r>
        <w:t>The first experiment asks two questions: does the shared ViT benefit from any positional information, and how do simple fixed two-dimensional encodings compare with the learned absolute reference? Table 6 includes the no-position control, learnable absolute PE, single-axis row and column PE, additive and multiplicative combinations, their shifted variants, and radial PE. Architecture, data split, optimisation, checkpoint selection and seeds are identical across the comparison.</w:t>
      </w:r>
    </w:p>
    <w:p w14:paraId="1DD8336B" w14:textId="7C4DD16D" w:rsidR="00522DE2" w:rsidRDefault="00BF0975">
      <w:pPr>
        <w:pStyle w:val="Caption"/>
        <w:keepNext/>
        <w:spacing w:before="120" w:after="60"/>
      </w:pPr>
      <w:r>
        <w:rPr>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6</w:t>
      </w:r>
      <w:r>
        <w:rPr>
          <w:sz w:val="20"/>
        </w:rPr>
        <w:fldChar w:fldCharType="end"/>
      </w:r>
      <w:r>
        <w:rPr>
          <w:sz w:val="20"/>
        </w:rPr>
        <w:t>. Core PE comparison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500"/>
        <w:gridCol w:w="1400"/>
        <w:gridCol w:w="1800"/>
        <w:gridCol w:w="1800"/>
      </w:tblGrid>
      <w:tr w:rsidR="00522DE2" w14:paraId="63EF5B15" w14:textId="77777777">
        <w:trPr>
          <w:tblHeader/>
        </w:trPr>
        <w:tc>
          <w:tcPr>
            <w:tcW w:w="2500" w:type="dxa"/>
            <w:tcBorders>
              <w:bottom w:val="single" w:sz="6" w:space="0" w:color="000000"/>
            </w:tcBorders>
            <w:tcMar>
              <w:top w:w="90" w:type="dxa"/>
              <w:left w:w="100" w:type="dxa"/>
              <w:bottom w:w="90" w:type="dxa"/>
              <w:right w:w="100" w:type="dxa"/>
            </w:tcMar>
            <w:vAlign w:val="center"/>
          </w:tcPr>
          <w:p w14:paraId="0A395D5A" w14:textId="77777777" w:rsidR="00522DE2" w:rsidRDefault="00BF0975">
            <w:pPr>
              <w:spacing w:after="0"/>
              <w:jc w:val="left"/>
            </w:pPr>
            <w:r>
              <w:rPr>
                <w:b/>
                <w:sz w:val="17"/>
              </w:rPr>
              <w:t>Model</w:t>
            </w:r>
          </w:p>
        </w:tc>
        <w:tc>
          <w:tcPr>
            <w:tcW w:w="1500" w:type="dxa"/>
            <w:tcBorders>
              <w:bottom w:val="single" w:sz="6" w:space="0" w:color="000000"/>
            </w:tcBorders>
            <w:tcMar>
              <w:top w:w="90" w:type="dxa"/>
              <w:left w:w="100" w:type="dxa"/>
              <w:bottom w:w="90" w:type="dxa"/>
              <w:right w:w="100" w:type="dxa"/>
            </w:tcMar>
            <w:vAlign w:val="center"/>
          </w:tcPr>
          <w:p w14:paraId="55BEF220" w14:textId="77777777" w:rsidR="00522DE2" w:rsidRDefault="00BF0975">
            <w:pPr>
              <w:spacing w:after="0"/>
              <w:jc w:val="center"/>
            </w:pPr>
            <w:r>
              <w:rPr>
                <w:b/>
                <w:sz w:val="17"/>
              </w:rPr>
              <w:t>PE category</w:t>
            </w:r>
          </w:p>
        </w:tc>
        <w:tc>
          <w:tcPr>
            <w:tcW w:w="1400" w:type="dxa"/>
            <w:tcBorders>
              <w:bottom w:val="single" w:sz="6" w:space="0" w:color="000000"/>
            </w:tcBorders>
            <w:tcMar>
              <w:top w:w="90" w:type="dxa"/>
              <w:left w:w="100" w:type="dxa"/>
              <w:bottom w:w="90" w:type="dxa"/>
              <w:right w:w="100" w:type="dxa"/>
            </w:tcMar>
            <w:vAlign w:val="center"/>
          </w:tcPr>
          <w:p w14:paraId="195BAAD1" w14:textId="77777777" w:rsidR="00522DE2" w:rsidRDefault="00BF0975">
            <w:pPr>
              <w:spacing w:after="0"/>
              <w:jc w:val="center"/>
            </w:pPr>
            <w:r>
              <w:rPr>
                <w:b/>
                <w:sz w:val="17"/>
              </w:rPr>
              <w:t>Parameters</w:t>
            </w:r>
          </w:p>
        </w:tc>
        <w:tc>
          <w:tcPr>
            <w:tcW w:w="1800" w:type="dxa"/>
            <w:tcBorders>
              <w:bottom w:val="single" w:sz="6" w:space="0" w:color="000000"/>
            </w:tcBorders>
            <w:tcMar>
              <w:top w:w="90" w:type="dxa"/>
              <w:left w:w="100" w:type="dxa"/>
              <w:bottom w:w="90" w:type="dxa"/>
              <w:right w:w="100" w:type="dxa"/>
            </w:tcMar>
            <w:vAlign w:val="center"/>
          </w:tcPr>
          <w:p w14:paraId="6CB4CAB2" w14:textId="77777777" w:rsidR="00522DE2" w:rsidRDefault="00BF0975">
            <w:pPr>
              <w:spacing w:after="0"/>
              <w:jc w:val="center"/>
            </w:pPr>
            <w:r>
              <w:rPr>
                <w:b/>
                <w:sz w:val="17"/>
              </w:rPr>
              <w:t>Test accuracy</w:t>
            </w:r>
          </w:p>
        </w:tc>
        <w:tc>
          <w:tcPr>
            <w:tcW w:w="1800" w:type="dxa"/>
            <w:tcBorders>
              <w:bottom w:val="single" w:sz="6" w:space="0" w:color="000000"/>
            </w:tcBorders>
            <w:tcMar>
              <w:top w:w="90" w:type="dxa"/>
              <w:left w:w="100" w:type="dxa"/>
              <w:bottom w:w="90" w:type="dxa"/>
              <w:right w:w="100" w:type="dxa"/>
            </w:tcMar>
            <w:vAlign w:val="center"/>
          </w:tcPr>
          <w:p w14:paraId="6ED10666" w14:textId="77777777" w:rsidR="00522DE2" w:rsidRDefault="00BF0975">
            <w:pPr>
              <w:spacing w:after="0"/>
              <w:jc w:val="center"/>
            </w:pPr>
            <w:r>
              <w:rPr>
                <w:b/>
                <w:sz w:val="17"/>
              </w:rPr>
              <w:t>Test loss</w:t>
            </w:r>
          </w:p>
        </w:tc>
      </w:tr>
      <w:tr w:rsidR="00522DE2" w14:paraId="14E9F6EE" w14:textId="77777777">
        <w:tc>
          <w:tcPr>
            <w:tcW w:w="2500" w:type="dxa"/>
            <w:tcMar>
              <w:top w:w="90" w:type="dxa"/>
              <w:left w:w="100" w:type="dxa"/>
              <w:bottom w:w="90" w:type="dxa"/>
              <w:right w:w="100" w:type="dxa"/>
            </w:tcMar>
            <w:vAlign w:val="center"/>
          </w:tcPr>
          <w:p w14:paraId="70862159" w14:textId="77777777" w:rsidR="00522DE2" w:rsidRDefault="00BF0975">
            <w:pPr>
              <w:spacing w:after="0" w:line="240" w:lineRule="auto"/>
              <w:jc w:val="left"/>
            </w:pPr>
            <w:r>
              <w:rPr>
                <w:sz w:val="17"/>
              </w:rPr>
              <w:t>No PE</w:t>
            </w:r>
          </w:p>
        </w:tc>
        <w:tc>
          <w:tcPr>
            <w:tcW w:w="1500" w:type="dxa"/>
            <w:tcMar>
              <w:top w:w="90" w:type="dxa"/>
              <w:left w:w="100" w:type="dxa"/>
              <w:bottom w:w="90" w:type="dxa"/>
              <w:right w:w="100" w:type="dxa"/>
            </w:tcMar>
            <w:vAlign w:val="center"/>
          </w:tcPr>
          <w:p w14:paraId="64BA42AC" w14:textId="77777777" w:rsidR="00522DE2" w:rsidRDefault="00BF0975">
            <w:pPr>
              <w:spacing w:after="0" w:line="240" w:lineRule="auto"/>
              <w:jc w:val="left"/>
            </w:pPr>
            <w:r>
              <w:rPr>
                <w:sz w:val="17"/>
              </w:rPr>
              <w:t>Control</w:t>
            </w:r>
          </w:p>
        </w:tc>
        <w:tc>
          <w:tcPr>
            <w:tcW w:w="1400" w:type="dxa"/>
            <w:tcMar>
              <w:top w:w="90" w:type="dxa"/>
              <w:left w:w="100" w:type="dxa"/>
              <w:bottom w:w="90" w:type="dxa"/>
              <w:right w:w="100" w:type="dxa"/>
            </w:tcMar>
            <w:vAlign w:val="center"/>
          </w:tcPr>
          <w:p w14:paraId="589CBDB0"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1025F6C9" w14:textId="77777777" w:rsidR="00522DE2" w:rsidRDefault="00BF0975">
            <w:pPr>
              <w:spacing w:after="0" w:line="240" w:lineRule="auto"/>
              <w:jc w:val="center"/>
            </w:pPr>
            <w:r>
              <w:rPr>
                <w:sz w:val="16"/>
              </w:rPr>
              <w:t>71.29 ± 0.83%</w:t>
            </w:r>
          </w:p>
        </w:tc>
        <w:tc>
          <w:tcPr>
            <w:tcW w:w="1800" w:type="dxa"/>
            <w:tcMar>
              <w:top w:w="90" w:type="dxa"/>
              <w:left w:w="100" w:type="dxa"/>
              <w:bottom w:w="90" w:type="dxa"/>
              <w:right w:w="100" w:type="dxa"/>
            </w:tcMar>
            <w:vAlign w:val="center"/>
          </w:tcPr>
          <w:p w14:paraId="1B793B70" w14:textId="77777777" w:rsidR="00522DE2" w:rsidRDefault="00BF0975">
            <w:pPr>
              <w:spacing w:after="0" w:line="240" w:lineRule="auto"/>
              <w:jc w:val="center"/>
            </w:pPr>
            <w:r>
              <w:rPr>
                <w:sz w:val="16"/>
              </w:rPr>
              <w:t>0.9992 ± 0.0991</w:t>
            </w:r>
          </w:p>
        </w:tc>
      </w:tr>
      <w:tr w:rsidR="00522DE2" w14:paraId="6CE19800" w14:textId="77777777">
        <w:tc>
          <w:tcPr>
            <w:tcW w:w="2500" w:type="dxa"/>
            <w:tcMar>
              <w:top w:w="90" w:type="dxa"/>
              <w:left w:w="100" w:type="dxa"/>
              <w:bottom w:w="90" w:type="dxa"/>
              <w:right w:w="100" w:type="dxa"/>
            </w:tcMar>
            <w:vAlign w:val="center"/>
          </w:tcPr>
          <w:p w14:paraId="6EB2C79F" w14:textId="77777777" w:rsidR="00522DE2" w:rsidRDefault="00BF0975">
            <w:pPr>
              <w:spacing w:after="0" w:line="240" w:lineRule="auto"/>
              <w:jc w:val="left"/>
            </w:pPr>
            <w:r>
              <w:rPr>
                <w:sz w:val="17"/>
              </w:rPr>
              <w:lastRenderedPageBreak/>
              <w:t>Learnable absolute PE</w:t>
            </w:r>
          </w:p>
        </w:tc>
        <w:tc>
          <w:tcPr>
            <w:tcW w:w="1500" w:type="dxa"/>
            <w:tcMar>
              <w:top w:w="90" w:type="dxa"/>
              <w:left w:w="100" w:type="dxa"/>
              <w:bottom w:w="90" w:type="dxa"/>
              <w:right w:w="100" w:type="dxa"/>
            </w:tcMar>
            <w:vAlign w:val="center"/>
          </w:tcPr>
          <w:p w14:paraId="5BA123AF" w14:textId="77777777" w:rsidR="00522DE2" w:rsidRDefault="00BF0975">
            <w:pPr>
              <w:spacing w:after="0" w:line="240" w:lineRule="auto"/>
              <w:jc w:val="left"/>
            </w:pPr>
            <w:r>
              <w:rPr>
                <w:sz w:val="17"/>
              </w:rPr>
              <w:t>Learned</w:t>
            </w:r>
          </w:p>
        </w:tc>
        <w:tc>
          <w:tcPr>
            <w:tcW w:w="1400" w:type="dxa"/>
            <w:tcMar>
              <w:top w:w="90" w:type="dxa"/>
              <w:left w:w="100" w:type="dxa"/>
              <w:bottom w:w="90" w:type="dxa"/>
              <w:right w:w="100" w:type="dxa"/>
            </w:tcMar>
            <w:vAlign w:val="center"/>
          </w:tcPr>
          <w:p w14:paraId="4FE2D367" w14:textId="77777777" w:rsidR="00522DE2" w:rsidRDefault="00BF0975">
            <w:pPr>
              <w:spacing w:after="0" w:line="240" w:lineRule="auto"/>
              <w:jc w:val="center"/>
            </w:pPr>
            <w:r>
              <w:rPr>
                <w:sz w:val="16"/>
              </w:rPr>
              <w:t>809,354</w:t>
            </w:r>
          </w:p>
        </w:tc>
        <w:tc>
          <w:tcPr>
            <w:tcW w:w="1800" w:type="dxa"/>
            <w:tcMar>
              <w:top w:w="90" w:type="dxa"/>
              <w:left w:w="100" w:type="dxa"/>
              <w:bottom w:w="90" w:type="dxa"/>
              <w:right w:w="100" w:type="dxa"/>
            </w:tcMar>
            <w:vAlign w:val="center"/>
          </w:tcPr>
          <w:p w14:paraId="4BD506A9" w14:textId="77777777" w:rsidR="00522DE2" w:rsidRDefault="00BF0975">
            <w:pPr>
              <w:spacing w:after="0" w:line="240" w:lineRule="auto"/>
              <w:jc w:val="center"/>
            </w:pPr>
            <w:r>
              <w:rPr>
                <w:b/>
                <w:sz w:val="16"/>
              </w:rPr>
              <w:t>78.60 ± 0.42%</w:t>
            </w:r>
          </w:p>
        </w:tc>
        <w:tc>
          <w:tcPr>
            <w:tcW w:w="1800" w:type="dxa"/>
            <w:tcMar>
              <w:top w:w="90" w:type="dxa"/>
              <w:left w:w="100" w:type="dxa"/>
              <w:bottom w:w="90" w:type="dxa"/>
              <w:right w:w="100" w:type="dxa"/>
            </w:tcMar>
            <w:vAlign w:val="center"/>
          </w:tcPr>
          <w:p w14:paraId="466D5EFB" w14:textId="77777777" w:rsidR="00522DE2" w:rsidRDefault="00BF0975">
            <w:pPr>
              <w:spacing w:after="0" w:line="240" w:lineRule="auto"/>
              <w:jc w:val="center"/>
            </w:pPr>
            <w:r>
              <w:rPr>
                <w:sz w:val="16"/>
              </w:rPr>
              <w:t>0.7671 ± 0.1216</w:t>
            </w:r>
          </w:p>
        </w:tc>
      </w:tr>
      <w:tr w:rsidR="00522DE2" w14:paraId="49C0CADA" w14:textId="77777777">
        <w:tc>
          <w:tcPr>
            <w:tcW w:w="2500" w:type="dxa"/>
            <w:tcMar>
              <w:top w:w="90" w:type="dxa"/>
              <w:left w:w="100" w:type="dxa"/>
              <w:bottom w:w="90" w:type="dxa"/>
              <w:right w:w="100" w:type="dxa"/>
            </w:tcMar>
            <w:vAlign w:val="center"/>
          </w:tcPr>
          <w:p w14:paraId="25912985" w14:textId="77777777" w:rsidR="00522DE2" w:rsidRDefault="00BF0975">
            <w:pPr>
              <w:spacing w:after="0" w:line="240" w:lineRule="auto"/>
              <w:jc w:val="left"/>
            </w:pPr>
            <w:r>
              <w:rPr>
                <w:sz w:val="17"/>
              </w:rPr>
              <w:t>Row sinusoidal PE</w:t>
            </w:r>
          </w:p>
        </w:tc>
        <w:tc>
          <w:tcPr>
            <w:tcW w:w="1500" w:type="dxa"/>
            <w:tcMar>
              <w:top w:w="90" w:type="dxa"/>
              <w:left w:w="100" w:type="dxa"/>
              <w:bottom w:w="90" w:type="dxa"/>
              <w:right w:w="100" w:type="dxa"/>
            </w:tcMar>
            <w:vAlign w:val="center"/>
          </w:tcPr>
          <w:p w14:paraId="4CF28DFC"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103DDF02"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30A0F6C4" w14:textId="77777777" w:rsidR="00522DE2" w:rsidRDefault="00BF0975">
            <w:pPr>
              <w:spacing w:after="0" w:line="240" w:lineRule="auto"/>
              <w:jc w:val="center"/>
            </w:pPr>
            <w:r>
              <w:rPr>
                <w:sz w:val="16"/>
              </w:rPr>
              <w:t>74.93 ± 0.87%</w:t>
            </w:r>
          </w:p>
        </w:tc>
        <w:tc>
          <w:tcPr>
            <w:tcW w:w="1800" w:type="dxa"/>
            <w:tcMar>
              <w:top w:w="90" w:type="dxa"/>
              <w:left w:w="100" w:type="dxa"/>
              <w:bottom w:w="90" w:type="dxa"/>
              <w:right w:w="100" w:type="dxa"/>
            </w:tcMar>
            <w:vAlign w:val="center"/>
          </w:tcPr>
          <w:p w14:paraId="2A278908" w14:textId="77777777" w:rsidR="00522DE2" w:rsidRDefault="00BF0975">
            <w:pPr>
              <w:spacing w:after="0" w:line="240" w:lineRule="auto"/>
              <w:jc w:val="center"/>
            </w:pPr>
            <w:r>
              <w:rPr>
                <w:sz w:val="16"/>
              </w:rPr>
              <w:t>0.8852 ± 0.0883</w:t>
            </w:r>
          </w:p>
        </w:tc>
      </w:tr>
      <w:tr w:rsidR="00522DE2" w14:paraId="7AD8A5AF" w14:textId="77777777">
        <w:tc>
          <w:tcPr>
            <w:tcW w:w="2500" w:type="dxa"/>
            <w:tcMar>
              <w:top w:w="90" w:type="dxa"/>
              <w:left w:w="100" w:type="dxa"/>
              <w:bottom w:w="90" w:type="dxa"/>
              <w:right w:w="100" w:type="dxa"/>
            </w:tcMar>
            <w:vAlign w:val="center"/>
          </w:tcPr>
          <w:p w14:paraId="0432E9F6" w14:textId="77777777" w:rsidR="00522DE2" w:rsidRDefault="00BF0975">
            <w:pPr>
              <w:spacing w:after="0" w:line="240" w:lineRule="auto"/>
              <w:jc w:val="left"/>
            </w:pPr>
            <w:r>
              <w:rPr>
                <w:sz w:val="17"/>
              </w:rPr>
              <w:t>Column sinusoidal PE</w:t>
            </w:r>
          </w:p>
        </w:tc>
        <w:tc>
          <w:tcPr>
            <w:tcW w:w="1500" w:type="dxa"/>
            <w:tcMar>
              <w:top w:w="90" w:type="dxa"/>
              <w:left w:w="100" w:type="dxa"/>
              <w:bottom w:w="90" w:type="dxa"/>
              <w:right w:w="100" w:type="dxa"/>
            </w:tcMar>
            <w:vAlign w:val="center"/>
          </w:tcPr>
          <w:p w14:paraId="304630E6"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0FCEB9AE"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08B5FEB0" w14:textId="77777777" w:rsidR="00522DE2" w:rsidRDefault="00BF0975">
            <w:pPr>
              <w:spacing w:after="0" w:line="240" w:lineRule="auto"/>
              <w:jc w:val="center"/>
            </w:pPr>
            <w:r>
              <w:rPr>
                <w:sz w:val="16"/>
              </w:rPr>
              <w:t>74.24 ± 0.70%</w:t>
            </w:r>
          </w:p>
        </w:tc>
        <w:tc>
          <w:tcPr>
            <w:tcW w:w="1800" w:type="dxa"/>
            <w:tcMar>
              <w:top w:w="90" w:type="dxa"/>
              <w:left w:w="100" w:type="dxa"/>
              <w:bottom w:w="90" w:type="dxa"/>
              <w:right w:w="100" w:type="dxa"/>
            </w:tcMar>
            <w:vAlign w:val="center"/>
          </w:tcPr>
          <w:p w14:paraId="48F85B70" w14:textId="77777777" w:rsidR="00522DE2" w:rsidRDefault="00BF0975">
            <w:pPr>
              <w:spacing w:after="0" w:line="240" w:lineRule="auto"/>
              <w:jc w:val="center"/>
            </w:pPr>
            <w:r>
              <w:rPr>
                <w:sz w:val="16"/>
              </w:rPr>
              <w:t>0.8923 ± 0.0864</w:t>
            </w:r>
          </w:p>
        </w:tc>
      </w:tr>
      <w:tr w:rsidR="00522DE2" w14:paraId="138E7607" w14:textId="77777777">
        <w:tc>
          <w:tcPr>
            <w:tcW w:w="2500" w:type="dxa"/>
            <w:tcMar>
              <w:top w:w="90" w:type="dxa"/>
              <w:left w:w="100" w:type="dxa"/>
              <w:bottom w:w="90" w:type="dxa"/>
              <w:right w:w="100" w:type="dxa"/>
            </w:tcMar>
            <w:vAlign w:val="center"/>
          </w:tcPr>
          <w:p w14:paraId="64592E25" w14:textId="77777777" w:rsidR="00522DE2" w:rsidRDefault="00BF0975">
            <w:pPr>
              <w:spacing w:after="0" w:line="240" w:lineRule="auto"/>
              <w:jc w:val="left"/>
            </w:pPr>
            <w:r>
              <w:rPr>
                <w:sz w:val="17"/>
              </w:rPr>
              <w:t>Additive sinusoidal PE</w:t>
            </w:r>
          </w:p>
        </w:tc>
        <w:tc>
          <w:tcPr>
            <w:tcW w:w="1500" w:type="dxa"/>
            <w:tcMar>
              <w:top w:w="90" w:type="dxa"/>
              <w:left w:w="100" w:type="dxa"/>
              <w:bottom w:w="90" w:type="dxa"/>
              <w:right w:w="100" w:type="dxa"/>
            </w:tcMar>
            <w:vAlign w:val="center"/>
          </w:tcPr>
          <w:p w14:paraId="4C4C4025"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2445AB34"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1FC5A29D" w14:textId="77777777" w:rsidR="00522DE2" w:rsidRDefault="00BF0975">
            <w:pPr>
              <w:spacing w:after="0" w:line="240" w:lineRule="auto"/>
              <w:jc w:val="center"/>
            </w:pPr>
            <w:r>
              <w:rPr>
                <w:sz w:val="16"/>
              </w:rPr>
              <w:t>76.98 ± 0.76%</w:t>
            </w:r>
          </w:p>
        </w:tc>
        <w:tc>
          <w:tcPr>
            <w:tcW w:w="1800" w:type="dxa"/>
            <w:tcMar>
              <w:top w:w="90" w:type="dxa"/>
              <w:left w:w="100" w:type="dxa"/>
              <w:bottom w:w="90" w:type="dxa"/>
              <w:right w:w="100" w:type="dxa"/>
            </w:tcMar>
            <w:vAlign w:val="center"/>
          </w:tcPr>
          <w:p w14:paraId="7BFC27C4" w14:textId="77777777" w:rsidR="00522DE2" w:rsidRDefault="00BF0975">
            <w:pPr>
              <w:spacing w:after="0" w:line="240" w:lineRule="auto"/>
              <w:jc w:val="center"/>
            </w:pPr>
            <w:r>
              <w:rPr>
                <w:sz w:val="16"/>
              </w:rPr>
              <w:t>0.7699 ± 0.0563</w:t>
            </w:r>
          </w:p>
        </w:tc>
      </w:tr>
      <w:tr w:rsidR="00522DE2" w14:paraId="2F95254C" w14:textId="77777777">
        <w:tc>
          <w:tcPr>
            <w:tcW w:w="2500" w:type="dxa"/>
            <w:tcMar>
              <w:top w:w="90" w:type="dxa"/>
              <w:left w:w="100" w:type="dxa"/>
              <w:bottom w:w="90" w:type="dxa"/>
              <w:right w:w="100" w:type="dxa"/>
            </w:tcMar>
            <w:vAlign w:val="center"/>
          </w:tcPr>
          <w:p w14:paraId="5B52ACB4" w14:textId="77777777" w:rsidR="00522DE2" w:rsidRDefault="00BF0975">
            <w:pPr>
              <w:spacing w:after="0" w:line="240" w:lineRule="auto"/>
              <w:jc w:val="left"/>
            </w:pPr>
            <w:r>
              <w:rPr>
                <w:sz w:val="17"/>
              </w:rPr>
              <w:t>Shifted additive PE</w:t>
            </w:r>
          </w:p>
        </w:tc>
        <w:tc>
          <w:tcPr>
            <w:tcW w:w="1500" w:type="dxa"/>
            <w:tcMar>
              <w:top w:w="90" w:type="dxa"/>
              <w:left w:w="100" w:type="dxa"/>
              <w:bottom w:w="90" w:type="dxa"/>
              <w:right w:w="100" w:type="dxa"/>
            </w:tcMar>
            <w:vAlign w:val="center"/>
          </w:tcPr>
          <w:p w14:paraId="0DB85E25"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7500625E"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2ACAA171" w14:textId="77777777" w:rsidR="00522DE2" w:rsidRDefault="00BF0975">
            <w:pPr>
              <w:spacing w:after="0" w:line="240" w:lineRule="auto"/>
              <w:jc w:val="center"/>
            </w:pPr>
            <w:r>
              <w:rPr>
                <w:sz w:val="16"/>
              </w:rPr>
              <w:t>77.15 ± 0.10%</w:t>
            </w:r>
          </w:p>
        </w:tc>
        <w:tc>
          <w:tcPr>
            <w:tcW w:w="1800" w:type="dxa"/>
            <w:tcMar>
              <w:top w:w="90" w:type="dxa"/>
              <w:left w:w="100" w:type="dxa"/>
              <w:bottom w:w="90" w:type="dxa"/>
              <w:right w:w="100" w:type="dxa"/>
            </w:tcMar>
            <w:vAlign w:val="center"/>
          </w:tcPr>
          <w:p w14:paraId="3AA0381B" w14:textId="77777777" w:rsidR="00522DE2" w:rsidRDefault="00BF0975">
            <w:pPr>
              <w:spacing w:after="0" w:line="240" w:lineRule="auto"/>
              <w:jc w:val="center"/>
            </w:pPr>
            <w:r>
              <w:rPr>
                <w:sz w:val="16"/>
              </w:rPr>
              <w:t>0.8327 ± 0.0812</w:t>
            </w:r>
          </w:p>
        </w:tc>
      </w:tr>
      <w:tr w:rsidR="00522DE2" w14:paraId="2162FB43" w14:textId="77777777">
        <w:tc>
          <w:tcPr>
            <w:tcW w:w="2500" w:type="dxa"/>
            <w:tcMar>
              <w:top w:w="90" w:type="dxa"/>
              <w:left w:w="100" w:type="dxa"/>
              <w:bottom w:w="90" w:type="dxa"/>
              <w:right w:w="100" w:type="dxa"/>
            </w:tcMar>
            <w:vAlign w:val="center"/>
          </w:tcPr>
          <w:p w14:paraId="07C4A503" w14:textId="77777777" w:rsidR="00522DE2" w:rsidRDefault="00BF0975">
            <w:pPr>
              <w:spacing w:after="0" w:line="240" w:lineRule="auto"/>
              <w:jc w:val="left"/>
            </w:pPr>
            <w:r>
              <w:rPr>
                <w:sz w:val="17"/>
              </w:rPr>
              <w:t>Multiplicative sinusoidal PE</w:t>
            </w:r>
          </w:p>
        </w:tc>
        <w:tc>
          <w:tcPr>
            <w:tcW w:w="1500" w:type="dxa"/>
            <w:tcMar>
              <w:top w:w="90" w:type="dxa"/>
              <w:left w:w="100" w:type="dxa"/>
              <w:bottom w:w="90" w:type="dxa"/>
              <w:right w:w="100" w:type="dxa"/>
            </w:tcMar>
            <w:vAlign w:val="center"/>
          </w:tcPr>
          <w:p w14:paraId="1DFB13BF"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44314DF1"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3288024C" w14:textId="77777777" w:rsidR="00522DE2" w:rsidRDefault="00BF0975">
            <w:pPr>
              <w:spacing w:after="0" w:line="240" w:lineRule="auto"/>
              <w:jc w:val="center"/>
            </w:pPr>
            <w:r>
              <w:rPr>
                <w:sz w:val="16"/>
              </w:rPr>
              <w:t>77.54 ± 0.83%</w:t>
            </w:r>
          </w:p>
        </w:tc>
        <w:tc>
          <w:tcPr>
            <w:tcW w:w="1800" w:type="dxa"/>
            <w:tcMar>
              <w:top w:w="90" w:type="dxa"/>
              <w:left w:w="100" w:type="dxa"/>
              <w:bottom w:w="90" w:type="dxa"/>
              <w:right w:w="100" w:type="dxa"/>
            </w:tcMar>
            <w:vAlign w:val="center"/>
          </w:tcPr>
          <w:p w14:paraId="26CCFF18" w14:textId="77777777" w:rsidR="00522DE2" w:rsidRDefault="00BF0975">
            <w:pPr>
              <w:spacing w:after="0" w:line="240" w:lineRule="auto"/>
              <w:jc w:val="center"/>
            </w:pPr>
            <w:r>
              <w:rPr>
                <w:sz w:val="16"/>
              </w:rPr>
              <w:t>0.7906 ± 0.0735</w:t>
            </w:r>
          </w:p>
        </w:tc>
      </w:tr>
      <w:tr w:rsidR="00522DE2" w14:paraId="5C747D66" w14:textId="77777777">
        <w:tc>
          <w:tcPr>
            <w:tcW w:w="2500" w:type="dxa"/>
            <w:tcMar>
              <w:top w:w="90" w:type="dxa"/>
              <w:left w:w="100" w:type="dxa"/>
              <w:bottom w:w="90" w:type="dxa"/>
              <w:right w:w="100" w:type="dxa"/>
            </w:tcMar>
            <w:vAlign w:val="center"/>
          </w:tcPr>
          <w:p w14:paraId="6D4DEE03" w14:textId="77777777" w:rsidR="00522DE2" w:rsidRDefault="00BF0975">
            <w:pPr>
              <w:spacing w:after="0" w:line="240" w:lineRule="auto"/>
              <w:jc w:val="left"/>
            </w:pPr>
            <w:r>
              <w:rPr>
                <w:sz w:val="17"/>
              </w:rPr>
              <w:t>Shifted multiplicative PE</w:t>
            </w:r>
          </w:p>
        </w:tc>
        <w:tc>
          <w:tcPr>
            <w:tcW w:w="1500" w:type="dxa"/>
            <w:tcMar>
              <w:top w:w="90" w:type="dxa"/>
              <w:left w:w="100" w:type="dxa"/>
              <w:bottom w:w="90" w:type="dxa"/>
              <w:right w:w="100" w:type="dxa"/>
            </w:tcMar>
            <w:vAlign w:val="center"/>
          </w:tcPr>
          <w:p w14:paraId="61B0DD87"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592F685F"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0AC3E6AC" w14:textId="77777777" w:rsidR="00522DE2" w:rsidRDefault="00BF0975">
            <w:pPr>
              <w:spacing w:after="0" w:line="240" w:lineRule="auto"/>
              <w:jc w:val="center"/>
            </w:pPr>
            <w:r>
              <w:rPr>
                <w:sz w:val="16"/>
              </w:rPr>
              <w:t>78.08 ± 0.09%</w:t>
            </w:r>
          </w:p>
        </w:tc>
        <w:tc>
          <w:tcPr>
            <w:tcW w:w="1800" w:type="dxa"/>
            <w:tcMar>
              <w:top w:w="90" w:type="dxa"/>
              <w:left w:w="100" w:type="dxa"/>
              <w:bottom w:w="90" w:type="dxa"/>
              <w:right w:w="100" w:type="dxa"/>
            </w:tcMar>
            <w:vAlign w:val="center"/>
          </w:tcPr>
          <w:p w14:paraId="18750604" w14:textId="77777777" w:rsidR="00522DE2" w:rsidRDefault="00BF0975">
            <w:pPr>
              <w:spacing w:after="0" w:line="240" w:lineRule="auto"/>
              <w:jc w:val="center"/>
            </w:pPr>
            <w:r>
              <w:rPr>
                <w:b/>
                <w:sz w:val="16"/>
              </w:rPr>
              <w:t>0.7535 ± 0.0727</w:t>
            </w:r>
          </w:p>
        </w:tc>
      </w:tr>
      <w:tr w:rsidR="00522DE2" w14:paraId="42B90B40" w14:textId="77777777">
        <w:tc>
          <w:tcPr>
            <w:tcW w:w="2500" w:type="dxa"/>
            <w:tcMar>
              <w:top w:w="90" w:type="dxa"/>
              <w:left w:w="100" w:type="dxa"/>
              <w:bottom w:w="90" w:type="dxa"/>
              <w:right w:w="100" w:type="dxa"/>
            </w:tcMar>
            <w:vAlign w:val="center"/>
          </w:tcPr>
          <w:p w14:paraId="7BFBA9DD" w14:textId="77777777" w:rsidR="00522DE2" w:rsidRDefault="00BF0975">
            <w:pPr>
              <w:spacing w:after="0" w:line="240" w:lineRule="auto"/>
              <w:jc w:val="left"/>
            </w:pPr>
            <w:r>
              <w:rPr>
                <w:sz w:val="17"/>
              </w:rPr>
              <w:t>Radial sinusoidal PE</w:t>
            </w:r>
          </w:p>
        </w:tc>
        <w:tc>
          <w:tcPr>
            <w:tcW w:w="1500" w:type="dxa"/>
            <w:tcMar>
              <w:top w:w="90" w:type="dxa"/>
              <w:left w:w="100" w:type="dxa"/>
              <w:bottom w:w="90" w:type="dxa"/>
              <w:right w:w="100" w:type="dxa"/>
            </w:tcMar>
            <w:vAlign w:val="center"/>
          </w:tcPr>
          <w:p w14:paraId="00B06E23" w14:textId="77777777" w:rsidR="00522DE2" w:rsidRDefault="00BF0975">
            <w:pPr>
              <w:spacing w:after="0" w:line="240" w:lineRule="auto"/>
              <w:jc w:val="left"/>
            </w:pPr>
            <w:r>
              <w:rPr>
                <w:sz w:val="17"/>
              </w:rPr>
              <w:t>Fixed extension</w:t>
            </w:r>
          </w:p>
        </w:tc>
        <w:tc>
          <w:tcPr>
            <w:tcW w:w="1400" w:type="dxa"/>
            <w:tcMar>
              <w:top w:w="90" w:type="dxa"/>
              <w:left w:w="100" w:type="dxa"/>
              <w:bottom w:w="90" w:type="dxa"/>
              <w:right w:w="100" w:type="dxa"/>
            </w:tcMar>
            <w:vAlign w:val="center"/>
          </w:tcPr>
          <w:p w14:paraId="0B7DE918"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7863EFEB" w14:textId="77777777" w:rsidR="00522DE2" w:rsidRDefault="00BF0975">
            <w:pPr>
              <w:spacing w:after="0" w:line="240" w:lineRule="auto"/>
              <w:jc w:val="center"/>
            </w:pPr>
            <w:r>
              <w:rPr>
                <w:sz w:val="16"/>
              </w:rPr>
              <w:t>75.64 ± 0.60%</w:t>
            </w:r>
          </w:p>
        </w:tc>
        <w:tc>
          <w:tcPr>
            <w:tcW w:w="1800" w:type="dxa"/>
            <w:tcMar>
              <w:top w:w="90" w:type="dxa"/>
              <w:left w:w="100" w:type="dxa"/>
              <w:bottom w:w="90" w:type="dxa"/>
              <w:right w:w="100" w:type="dxa"/>
            </w:tcMar>
            <w:vAlign w:val="center"/>
          </w:tcPr>
          <w:p w14:paraId="2CF80A8A" w14:textId="77777777" w:rsidR="00522DE2" w:rsidRDefault="00BF0975">
            <w:pPr>
              <w:spacing w:after="0" w:line="240" w:lineRule="auto"/>
              <w:jc w:val="center"/>
            </w:pPr>
            <w:r>
              <w:rPr>
                <w:sz w:val="16"/>
              </w:rPr>
              <w:t>0.8296 ± 0.0758</w:t>
            </w:r>
          </w:p>
        </w:tc>
      </w:tr>
    </w:tbl>
    <w:p w14:paraId="4FF17C27" w14:textId="4EA7E719" w:rsidR="00522DE2" w:rsidRDefault="00BF0975">
      <w:r>
        <w:t>Table 6 shows a clear separation between the no-position control and the leading positional models. Learnable absolute PE had the highest mean test accuracy at 78.60 ± 0.42%. Shifted multiplicative PE was the strongest fixed design at 78.08 ± 0.09%, while no PE reached 71.29 ± 0.83% and was below every positional variant in the table. The uncertainty widths differed across fixed designs; the two shifted variants had the narrowest intervals in these five runs. Figure 4 compares validation accuracy and loss for the six basic configurations. Figure 5 gives the shifted pairs more space, while radial PE remains in Table 6.</w:t>
      </w:r>
    </w:p>
    <w:p w14:paraId="7E34BF34" w14:textId="77777777" w:rsidR="00D45184" w:rsidRDefault="00000000">
      <w:pPr>
        <w:keepNext/>
        <w:keepLines/>
        <w:spacing w:before="120" w:after="60"/>
        <w:jc w:val="center"/>
      </w:pPr>
      <w:r>
        <w:rPr>
          <w:noProof/>
        </w:rPr>
        <w:drawing>
          <wp:inline distT="0" distB="0" distL="0" distR="0" wp14:anchorId="2167A81F" wp14:editId="20A96D2E">
            <wp:extent cx="5623560" cy="2780787"/>
            <wp:effectExtent l="0" t="0" r="0" b="0"/>
            <wp:docPr id="1452386631" name="Picture 1452386631" descr="Line charts of CIFAR-10 validation accuracy and validation loss over epochs for the core positional-encoding models, averaged over seeds 42 to 46 with sample-standard-deviation band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23560" cy="2780787"/>
                    </a:xfrm>
                    <a:prstGeom prst="rect">
                      <a:avLst/>
                    </a:prstGeom>
                  </pic:spPr>
                </pic:pic>
              </a:graphicData>
            </a:graphic>
          </wp:inline>
        </w:drawing>
      </w:r>
    </w:p>
    <w:p w14:paraId="48982254" w14:textId="4947F61F" w:rsidR="00D45184" w:rsidRDefault="00000000">
      <w:pPr>
        <w:pStyle w:val="Caption"/>
        <w:keepLines/>
        <w:jc w:val="center"/>
      </w:pPr>
      <w:r>
        <w:rPr>
          <w:sz w:val="20"/>
        </w:rPr>
        <w:t xml:space="preserve">Figure </w:t>
      </w:r>
      <w:bookmarkStart w:id="18" w:name="fig4"/>
      <w:r>
        <w:rPr>
          <w:sz w:val="20"/>
        </w:rPr>
        <w:fldChar w:fldCharType="begin"/>
      </w:r>
      <w:r>
        <w:rPr>
          <w:sz w:val="20"/>
        </w:rPr>
        <w:instrText xml:space="preserve"> SEQ Figure \r 4 </w:instrText>
      </w:r>
      <w:r>
        <w:rPr>
          <w:sz w:val="20"/>
        </w:rPr>
        <w:fldChar w:fldCharType="separate"/>
      </w:r>
      <w:r w:rsidR="004E69DC">
        <w:rPr>
          <w:noProof/>
          <w:sz w:val="20"/>
        </w:rPr>
        <w:t>4</w:t>
      </w:r>
      <w:r>
        <w:rPr>
          <w:sz w:val="20"/>
        </w:rPr>
        <w:fldChar w:fldCharType="end"/>
      </w:r>
      <w:bookmarkEnd w:id="18"/>
      <w:r>
        <w:rPr>
          <w:sz w:val="20"/>
        </w:rPr>
        <w:t>: Validation dynamics for six basic PE configurations on CIFAR-10.</w:t>
      </w:r>
    </w:p>
    <w:p w14:paraId="0F69D4D9" w14:textId="77777777" w:rsidR="00522DE2" w:rsidRDefault="00BF0975">
      <w:pPr>
        <w:pStyle w:val="Heading2"/>
      </w:pPr>
      <w:r>
        <w:t>4.3 Effect of the Shifted Frequency Schedule</w:t>
      </w:r>
    </w:p>
    <w:p w14:paraId="6A17449F" w14:textId="77777777" w:rsidR="00522DE2" w:rsidRDefault="00BF0975">
      <w:r>
        <w:t>The shifted models differ from their base versions only in the frequency-exponent schedule assigned to the row and column axes. Table 7 compares additive with shifted additive and multiplicative with shifted multiplicative. Analysing the pairs separately avoids turning a small design change into a general claim about all shifted encodings. The main evidence is the same-seed change in test accuracy and loss.</w:t>
      </w:r>
    </w:p>
    <w:p w14:paraId="19B08605" w14:textId="4805C2B6" w:rsidR="00522DE2" w:rsidRDefault="00BF0975">
      <w:pPr>
        <w:pStyle w:val="Caption"/>
        <w:keepNext/>
        <w:spacing w:before="120" w:after="60"/>
      </w:pPr>
      <w:r>
        <w:rPr>
          <w:b w:val="0"/>
          <w:i w:val="0"/>
          <w:sz w:val="20"/>
        </w:rPr>
        <w:lastRenderedPageBreak/>
        <w:t xml:space="preserve">Table </w:t>
      </w:r>
      <w:r>
        <w:rPr>
          <w:sz w:val="20"/>
        </w:rPr>
        <w:fldChar w:fldCharType="begin"/>
      </w:r>
      <w:r>
        <w:rPr>
          <w:sz w:val="20"/>
        </w:rPr>
        <w:instrText xml:space="preserve"> SEQ Table \* ARABIC </w:instrText>
      </w:r>
      <w:r>
        <w:rPr>
          <w:sz w:val="20"/>
        </w:rPr>
        <w:fldChar w:fldCharType="separate"/>
      </w:r>
      <w:r w:rsidR="004E69DC">
        <w:rPr>
          <w:noProof/>
          <w:sz w:val="20"/>
        </w:rPr>
        <w:t>7</w:t>
      </w:r>
      <w:r>
        <w:rPr>
          <w:sz w:val="20"/>
        </w:rPr>
        <w:fldChar w:fldCharType="end"/>
      </w:r>
      <w:r>
        <w:rPr>
          <w:sz w:val="20"/>
        </w:rPr>
        <w:t>. Base and shifted PE comparison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700"/>
        <w:gridCol w:w="1800"/>
        <w:gridCol w:w="1500"/>
        <w:gridCol w:w="1500"/>
      </w:tblGrid>
      <w:tr w:rsidR="00522DE2" w14:paraId="13C07B5B" w14:textId="77777777">
        <w:trPr>
          <w:tblHeader/>
        </w:trPr>
        <w:tc>
          <w:tcPr>
            <w:tcW w:w="2500" w:type="dxa"/>
            <w:tcBorders>
              <w:bottom w:val="single" w:sz="6" w:space="0" w:color="000000"/>
            </w:tcBorders>
            <w:tcMar>
              <w:top w:w="90" w:type="dxa"/>
              <w:left w:w="100" w:type="dxa"/>
              <w:bottom w:w="90" w:type="dxa"/>
              <w:right w:w="100" w:type="dxa"/>
            </w:tcMar>
            <w:vAlign w:val="center"/>
          </w:tcPr>
          <w:p w14:paraId="241223C4" w14:textId="77777777" w:rsidR="00522DE2" w:rsidRDefault="00BF0975">
            <w:pPr>
              <w:spacing w:after="0"/>
              <w:jc w:val="left"/>
            </w:pPr>
            <w:r>
              <w:rPr>
                <w:b/>
                <w:sz w:val="17"/>
              </w:rPr>
              <w:t>Comparison</w:t>
            </w:r>
          </w:p>
        </w:tc>
        <w:tc>
          <w:tcPr>
            <w:tcW w:w="1700" w:type="dxa"/>
            <w:tcBorders>
              <w:bottom w:val="single" w:sz="6" w:space="0" w:color="000000"/>
            </w:tcBorders>
            <w:tcMar>
              <w:top w:w="90" w:type="dxa"/>
              <w:left w:w="100" w:type="dxa"/>
              <w:bottom w:w="90" w:type="dxa"/>
              <w:right w:w="100" w:type="dxa"/>
            </w:tcMar>
            <w:vAlign w:val="center"/>
          </w:tcPr>
          <w:p w14:paraId="66F2E7A6" w14:textId="77777777" w:rsidR="00522DE2" w:rsidRDefault="00BF0975">
            <w:pPr>
              <w:spacing w:after="0"/>
              <w:jc w:val="center"/>
            </w:pPr>
            <w:r>
              <w:rPr>
                <w:b/>
                <w:sz w:val="17"/>
              </w:rPr>
              <w:t>Base test accuracy</w:t>
            </w:r>
          </w:p>
        </w:tc>
        <w:tc>
          <w:tcPr>
            <w:tcW w:w="1800" w:type="dxa"/>
            <w:tcBorders>
              <w:bottom w:val="single" w:sz="6" w:space="0" w:color="000000"/>
            </w:tcBorders>
            <w:tcMar>
              <w:top w:w="90" w:type="dxa"/>
              <w:left w:w="100" w:type="dxa"/>
              <w:bottom w:w="90" w:type="dxa"/>
              <w:right w:w="100" w:type="dxa"/>
            </w:tcMar>
            <w:vAlign w:val="center"/>
          </w:tcPr>
          <w:p w14:paraId="0FADB628" w14:textId="77777777" w:rsidR="00522DE2" w:rsidRDefault="00BF0975">
            <w:pPr>
              <w:spacing w:after="0"/>
              <w:jc w:val="center"/>
            </w:pPr>
            <w:r>
              <w:rPr>
                <w:b/>
                <w:sz w:val="17"/>
              </w:rPr>
              <w:t>Shifted test accuracy</w:t>
            </w:r>
          </w:p>
        </w:tc>
        <w:tc>
          <w:tcPr>
            <w:tcW w:w="1500" w:type="dxa"/>
            <w:tcBorders>
              <w:bottom w:val="single" w:sz="6" w:space="0" w:color="000000"/>
            </w:tcBorders>
            <w:tcMar>
              <w:top w:w="90" w:type="dxa"/>
              <w:left w:w="100" w:type="dxa"/>
              <w:bottom w:w="90" w:type="dxa"/>
              <w:right w:w="100" w:type="dxa"/>
            </w:tcMar>
            <w:vAlign w:val="center"/>
          </w:tcPr>
          <w:p w14:paraId="1631D0C2" w14:textId="77777777" w:rsidR="00522DE2" w:rsidRDefault="00BF0975">
            <w:pPr>
              <w:spacing w:after="0"/>
              <w:jc w:val="center"/>
            </w:pPr>
            <w:r>
              <w:rPr>
                <w:b/>
                <w:sz w:val="17"/>
              </w:rPr>
              <w:t>Paired difference</w:t>
            </w:r>
          </w:p>
        </w:tc>
        <w:tc>
          <w:tcPr>
            <w:tcW w:w="1500" w:type="dxa"/>
            <w:tcBorders>
              <w:bottom w:val="single" w:sz="6" w:space="0" w:color="000000"/>
            </w:tcBorders>
            <w:tcMar>
              <w:top w:w="90" w:type="dxa"/>
              <w:left w:w="100" w:type="dxa"/>
              <w:bottom w:w="90" w:type="dxa"/>
              <w:right w:w="100" w:type="dxa"/>
            </w:tcMar>
            <w:vAlign w:val="center"/>
          </w:tcPr>
          <w:p w14:paraId="10226D1C" w14:textId="77777777" w:rsidR="00522DE2" w:rsidRDefault="00BF0975">
            <w:pPr>
              <w:spacing w:after="0"/>
              <w:jc w:val="center"/>
            </w:pPr>
            <w:r>
              <w:rPr>
                <w:b/>
                <w:sz w:val="17"/>
              </w:rPr>
              <w:t>Paired 95% CI</w:t>
            </w:r>
          </w:p>
        </w:tc>
      </w:tr>
      <w:tr w:rsidR="00522DE2" w14:paraId="6D333FA8" w14:textId="77777777">
        <w:tc>
          <w:tcPr>
            <w:tcW w:w="2500" w:type="dxa"/>
            <w:tcMar>
              <w:top w:w="90" w:type="dxa"/>
              <w:left w:w="100" w:type="dxa"/>
              <w:bottom w:w="90" w:type="dxa"/>
              <w:right w:w="100" w:type="dxa"/>
            </w:tcMar>
            <w:vAlign w:val="center"/>
          </w:tcPr>
          <w:p w14:paraId="5A48FDAA" w14:textId="77777777" w:rsidR="00522DE2" w:rsidRDefault="00BF0975">
            <w:pPr>
              <w:spacing w:after="0" w:line="240" w:lineRule="auto"/>
              <w:jc w:val="left"/>
            </w:pPr>
            <w:r>
              <w:rPr>
                <w:sz w:val="17"/>
              </w:rPr>
              <w:t>Additive → shifted additive</w:t>
            </w:r>
          </w:p>
        </w:tc>
        <w:tc>
          <w:tcPr>
            <w:tcW w:w="1700" w:type="dxa"/>
            <w:tcMar>
              <w:top w:w="90" w:type="dxa"/>
              <w:left w:w="100" w:type="dxa"/>
              <w:bottom w:w="90" w:type="dxa"/>
              <w:right w:w="100" w:type="dxa"/>
            </w:tcMar>
            <w:vAlign w:val="center"/>
          </w:tcPr>
          <w:p w14:paraId="3D385805" w14:textId="77777777" w:rsidR="00522DE2" w:rsidRDefault="00BF0975">
            <w:pPr>
              <w:spacing w:after="0" w:line="240" w:lineRule="auto"/>
              <w:jc w:val="left"/>
            </w:pPr>
            <w:r>
              <w:rPr>
                <w:sz w:val="16"/>
              </w:rPr>
              <w:t>76.98 ± 0.76%</w:t>
            </w:r>
          </w:p>
        </w:tc>
        <w:tc>
          <w:tcPr>
            <w:tcW w:w="1800" w:type="dxa"/>
            <w:tcMar>
              <w:top w:w="90" w:type="dxa"/>
              <w:left w:w="100" w:type="dxa"/>
              <w:bottom w:w="90" w:type="dxa"/>
              <w:right w:w="100" w:type="dxa"/>
            </w:tcMar>
            <w:vAlign w:val="center"/>
          </w:tcPr>
          <w:p w14:paraId="35959BEC" w14:textId="77777777" w:rsidR="00522DE2" w:rsidRDefault="00BF0975">
            <w:pPr>
              <w:spacing w:after="0" w:line="240" w:lineRule="auto"/>
              <w:jc w:val="center"/>
            </w:pPr>
            <w:r>
              <w:rPr>
                <w:b/>
                <w:sz w:val="16"/>
              </w:rPr>
              <w:t>77.15 ± 0.10%</w:t>
            </w:r>
          </w:p>
        </w:tc>
        <w:tc>
          <w:tcPr>
            <w:tcW w:w="1500" w:type="dxa"/>
            <w:tcMar>
              <w:top w:w="90" w:type="dxa"/>
              <w:left w:w="100" w:type="dxa"/>
              <w:bottom w:w="90" w:type="dxa"/>
              <w:right w:w="100" w:type="dxa"/>
            </w:tcMar>
            <w:vAlign w:val="center"/>
          </w:tcPr>
          <w:p w14:paraId="478B79FC" w14:textId="77777777" w:rsidR="00522DE2" w:rsidRDefault="00BF0975">
            <w:pPr>
              <w:spacing w:after="0" w:line="240" w:lineRule="auto"/>
              <w:jc w:val="center"/>
            </w:pPr>
            <w:r>
              <w:rPr>
                <w:sz w:val="16"/>
              </w:rPr>
              <w:t>+0.17 pp</w:t>
            </w:r>
          </w:p>
        </w:tc>
        <w:tc>
          <w:tcPr>
            <w:tcW w:w="1500" w:type="dxa"/>
            <w:tcMar>
              <w:top w:w="90" w:type="dxa"/>
              <w:left w:w="100" w:type="dxa"/>
              <w:bottom w:w="90" w:type="dxa"/>
              <w:right w:w="100" w:type="dxa"/>
            </w:tcMar>
            <w:vAlign w:val="center"/>
          </w:tcPr>
          <w:p w14:paraId="4CD39CCD" w14:textId="77777777" w:rsidR="00522DE2" w:rsidRDefault="00BF0975">
            <w:pPr>
              <w:spacing w:after="0" w:line="240" w:lineRule="auto"/>
              <w:jc w:val="center"/>
            </w:pPr>
            <w:r>
              <w:rPr>
                <w:sz w:val="16"/>
              </w:rPr>
              <w:t>[-0.57, +0.91] pp</w:t>
            </w:r>
          </w:p>
        </w:tc>
      </w:tr>
      <w:tr w:rsidR="00522DE2" w14:paraId="3F7AA0D7" w14:textId="77777777">
        <w:tc>
          <w:tcPr>
            <w:tcW w:w="2500" w:type="dxa"/>
            <w:tcMar>
              <w:top w:w="90" w:type="dxa"/>
              <w:left w:w="100" w:type="dxa"/>
              <w:bottom w:w="90" w:type="dxa"/>
              <w:right w:w="100" w:type="dxa"/>
            </w:tcMar>
            <w:vAlign w:val="center"/>
          </w:tcPr>
          <w:p w14:paraId="621E1268" w14:textId="77777777" w:rsidR="00522DE2" w:rsidRDefault="00BF0975">
            <w:pPr>
              <w:spacing w:after="0" w:line="240" w:lineRule="auto"/>
              <w:jc w:val="left"/>
            </w:pPr>
            <w:r>
              <w:rPr>
                <w:sz w:val="17"/>
              </w:rPr>
              <w:t>Multiplicative → shifted multiplicative</w:t>
            </w:r>
          </w:p>
        </w:tc>
        <w:tc>
          <w:tcPr>
            <w:tcW w:w="1700" w:type="dxa"/>
            <w:tcMar>
              <w:top w:w="90" w:type="dxa"/>
              <w:left w:w="100" w:type="dxa"/>
              <w:bottom w:w="90" w:type="dxa"/>
              <w:right w:w="100" w:type="dxa"/>
            </w:tcMar>
            <w:vAlign w:val="center"/>
          </w:tcPr>
          <w:p w14:paraId="36B4FBB8" w14:textId="77777777" w:rsidR="00522DE2" w:rsidRDefault="00BF0975">
            <w:pPr>
              <w:spacing w:after="0" w:line="240" w:lineRule="auto"/>
              <w:jc w:val="left"/>
            </w:pPr>
            <w:r>
              <w:rPr>
                <w:sz w:val="16"/>
              </w:rPr>
              <w:t>77.54 ± 0.83%</w:t>
            </w:r>
          </w:p>
        </w:tc>
        <w:tc>
          <w:tcPr>
            <w:tcW w:w="1800" w:type="dxa"/>
            <w:tcMar>
              <w:top w:w="90" w:type="dxa"/>
              <w:left w:w="100" w:type="dxa"/>
              <w:bottom w:w="90" w:type="dxa"/>
              <w:right w:w="100" w:type="dxa"/>
            </w:tcMar>
            <w:vAlign w:val="center"/>
          </w:tcPr>
          <w:p w14:paraId="582996D0" w14:textId="77777777" w:rsidR="00522DE2" w:rsidRDefault="00BF0975">
            <w:pPr>
              <w:spacing w:after="0" w:line="240" w:lineRule="auto"/>
              <w:jc w:val="center"/>
            </w:pPr>
            <w:r>
              <w:rPr>
                <w:b/>
                <w:sz w:val="16"/>
              </w:rPr>
              <w:t>78.08 ± 0.09%</w:t>
            </w:r>
          </w:p>
        </w:tc>
        <w:tc>
          <w:tcPr>
            <w:tcW w:w="1500" w:type="dxa"/>
            <w:tcMar>
              <w:top w:w="90" w:type="dxa"/>
              <w:left w:w="100" w:type="dxa"/>
              <w:bottom w:w="90" w:type="dxa"/>
              <w:right w:w="100" w:type="dxa"/>
            </w:tcMar>
            <w:vAlign w:val="center"/>
          </w:tcPr>
          <w:p w14:paraId="4E8B82A7" w14:textId="77777777" w:rsidR="00522DE2" w:rsidRDefault="00BF0975">
            <w:pPr>
              <w:spacing w:after="0" w:line="240" w:lineRule="auto"/>
              <w:jc w:val="center"/>
            </w:pPr>
            <w:r>
              <w:rPr>
                <w:sz w:val="16"/>
              </w:rPr>
              <w:t>+0.55 pp</w:t>
            </w:r>
          </w:p>
        </w:tc>
        <w:tc>
          <w:tcPr>
            <w:tcW w:w="1500" w:type="dxa"/>
            <w:tcMar>
              <w:top w:w="90" w:type="dxa"/>
              <w:left w:w="100" w:type="dxa"/>
              <w:bottom w:w="90" w:type="dxa"/>
              <w:right w:w="100" w:type="dxa"/>
            </w:tcMar>
            <w:vAlign w:val="center"/>
          </w:tcPr>
          <w:p w14:paraId="59201962" w14:textId="77777777" w:rsidR="00522DE2" w:rsidRDefault="00BF0975">
            <w:pPr>
              <w:spacing w:after="0" w:line="240" w:lineRule="auto"/>
              <w:jc w:val="center"/>
            </w:pPr>
            <w:r>
              <w:rPr>
                <w:sz w:val="16"/>
              </w:rPr>
              <w:t>[-0.23, +1.32] pp</w:t>
            </w:r>
          </w:p>
        </w:tc>
      </w:tr>
    </w:tbl>
    <w:p w14:paraId="5E792295" w14:textId="5CD1C663" w:rsidR="00522DE2" w:rsidRDefault="00BF0975">
      <w:r>
        <w:t>Shifted additive changed mean test accuracy by +0.17 percentage points (95% CI [−0.57, +0.91]) and was higher in three of five paired seeds. Shifted multiplicative changed accuracy by +0.55 points (95% CI [−0.23, +1.32]) and was higher in all five pairs. Both intervals include zero, meaning these runs remain compatible with no average change in either direction. The experiment therefore records a small positive mean shift, especially for multiplication, but not a clear or consistently substantial improvement under the five-seed protocol. Figure 5 shows the corresponding validation trajectories.</w:t>
      </w:r>
    </w:p>
    <w:p w14:paraId="68309D18" w14:textId="77777777" w:rsidR="00D45184" w:rsidRDefault="00000000">
      <w:pPr>
        <w:keepNext/>
        <w:keepLines/>
        <w:spacing w:before="120" w:after="60"/>
        <w:jc w:val="center"/>
      </w:pPr>
      <w:r>
        <w:rPr>
          <w:noProof/>
        </w:rPr>
        <w:drawing>
          <wp:inline distT="0" distB="0" distL="0" distR="0" wp14:anchorId="1ECE2EDE" wp14:editId="66E8B41E">
            <wp:extent cx="5623560" cy="2780787"/>
            <wp:effectExtent l="0" t="0" r="0" b="0"/>
            <wp:docPr id="1452386632" name="Picture 1452386632" descr="Line charts comparing validation accuracy and validation loss for base and shifted additive and multiplicative positional encodings over five CIFAR-10 seed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23560" cy="2780787"/>
                    </a:xfrm>
                    <a:prstGeom prst="rect">
                      <a:avLst/>
                    </a:prstGeom>
                  </pic:spPr>
                </pic:pic>
              </a:graphicData>
            </a:graphic>
          </wp:inline>
        </w:drawing>
      </w:r>
    </w:p>
    <w:p w14:paraId="2C07A24C" w14:textId="28C78850" w:rsidR="00D45184" w:rsidRDefault="00000000">
      <w:pPr>
        <w:pStyle w:val="Caption"/>
        <w:keepLines/>
        <w:jc w:val="center"/>
      </w:pPr>
      <w:r>
        <w:rPr>
          <w:sz w:val="20"/>
        </w:rPr>
        <w:t xml:space="preserve">Figure </w:t>
      </w:r>
      <w:bookmarkStart w:id="19" w:name="fig5"/>
      <w:r>
        <w:rPr>
          <w:sz w:val="20"/>
        </w:rPr>
        <w:fldChar w:fldCharType="begin"/>
      </w:r>
      <w:r>
        <w:rPr>
          <w:sz w:val="20"/>
        </w:rPr>
        <w:instrText xml:space="preserve"> SEQ Figure </w:instrText>
      </w:r>
      <w:r>
        <w:rPr>
          <w:sz w:val="20"/>
        </w:rPr>
        <w:fldChar w:fldCharType="separate"/>
      </w:r>
      <w:r w:rsidR="004E69DC">
        <w:rPr>
          <w:noProof/>
          <w:sz w:val="20"/>
        </w:rPr>
        <w:t>5</w:t>
      </w:r>
      <w:r>
        <w:rPr>
          <w:sz w:val="20"/>
        </w:rPr>
        <w:fldChar w:fldCharType="end"/>
      </w:r>
      <w:bookmarkEnd w:id="19"/>
      <w:r>
        <w:rPr>
          <w:sz w:val="20"/>
        </w:rPr>
        <w:t>: Validation dynamics for base and shifted additive and multiplicative PE on CIFAR-10.</w:t>
      </w:r>
    </w:p>
    <w:p w14:paraId="3BEA0BC3" w14:textId="77777777" w:rsidR="00522DE2" w:rsidRDefault="00BF0975">
      <w:pPr>
        <w:pStyle w:val="Heading2"/>
      </w:pPr>
      <w:r>
        <w:t>4.4 Patch Ordering and Position Assignment</w:t>
      </w:r>
    </w:p>
    <w:p w14:paraId="1CD1FCA0" w14:textId="77777777" w:rsidR="00522DE2" w:rsidRDefault="00BF0975">
      <w:r>
        <w:t>The assignment study changes which positional coordinate is attached to each physical patch while keeping the encoder fixed. Table 8 reports the four mappings defined in Section 3.5 only after their 64-slot index maps passed deterministic tests. No PE and learnable PE remain in the comparison as controls: if their results barely change while fixed PE changes more, the interaction is specific to the fixed patch-coordinate mapping rather than a general consequence of sequence storage.</w:t>
      </w:r>
    </w:p>
    <w:p w14:paraId="3ED55639" w14:textId="50C0A2C7"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8</w:t>
      </w:r>
      <w:r>
        <w:rPr>
          <w:sz w:val="20"/>
        </w:rPr>
        <w:fldChar w:fldCharType="end"/>
      </w:r>
      <w:r>
        <w:rPr>
          <w:sz w:val="20"/>
        </w:rPr>
        <w:t>. Patch-to-position assignment results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000"/>
        <w:gridCol w:w="1900"/>
        <w:gridCol w:w="2050"/>
        <w:gridCol w:w="2050"/>
      </w:tblGrid>
      <w:tr w:rsidR="00522DE2" w14:paraId="685336D5" w14:textId="77777777">
        <w:trPr>
          <w:tblHeader/>
        </w:trPr>
        <w:tc>
          <w:tcPr>
            <w:tcW w:w="3000" w:type="dxa"/>
            <w:tcBorders>
              <w:bottom w:val="single" w:sz="6" w:space="0" w:color="000000"/>
            </w:tcBorders>
            <w:tcMar>
              <w:top w:w="90" w:type="dxa"/>
              <w:left w:w="100" w:type="dxa"/>
              <w:bottom w:w="90" w:type="dxa"/>
              <w:right w:w="100" w:type="dxa"/>
            </w:tcMar>
            <w:vAlign w:val="center"/>
          </w:tcPr>
          <w:p w14:paraId="1959A938" w14:textId="77777777" w:rsidR="00522DE2" w:rsidRDefault="00BF0975">
            <w:pPr>
              <w:spacing w:after="0"/>
              <w:jc w:val="left"/>
            </w:pPr>
            <w:r>
              <w:rPr>
                <w:b/>
                <w:sz w:val="16"/>
              </w:rPr>
              <w:t>PE family</w:t>
            </w:r>
          </w:p>
        </w:tc>
        <w:tc>
          <w:tcPr>
            <w:tcW w:w="1900" w:type="dxa"/>
            <w:tcBorders>
              <w:bottom w:val="single" w:sz="6" w:space="0" w:color="000000"/>
            </w:tcBorders>
            <w:tcMar>
              <w:top w:w="90" w:type="dxa"/>
              <w:left w:w="100" w:type="dxa"/>
              <w:bottom w:w="90" w:type="dxa"/>
              <w:right w:w="100" w:type="dxa"/>
            </w:tcMar>
            <w:vAlign w:val="center"/>
          </w:tcPr>
          <w:p w14:paraId="1FBD7B06" w14:textId="77777777" w:rsidR="00522DE2" w:rsidRDefault="00BF0975">
            <w:pPr>
              <w:spacing w:after="0"/>
              <w:jc w:val="center"/>
            </w:pPr>
            <w:r>
              <w:rPr>
                <w:b/>
                <w:sz w:val="16"/>
              </w:rPr>
              <w:t>Assignment</w:t>
            </w:r>
          </w:p>
        </w:tc>
        <w:tc>
          <w:tcPr>
            <w:tcW w:w="2050" w:type="dxa"/>
            <w:tcBorders>
              <w:bottom w:val="single" w:sz="6" w:space="0" w:color="000000"/>
            </w:tcBorders>
            <w:tcMar>
              <w:top w:w="90" w:type="dxa"/>
              <w:left w:w="100" w:type="dxa"/>
              <w:bottom w:w="90" w:type="dxa"/>
              <w:right w:w="100" w:type="dxa"/>
            </w:tcMar>
            <w:vAlign w:val="center"/>
          </w:tcPr>
          <w:p w14:paraId="43255911" w14:textId="77777777" w:rsidR="00522DE2" w:rsidRDefault="00BF0975">
            <w:pPr>
              <w:spacing w:after="0"/>
              <w:jc w:val="center"/>
            </w:pPr>
            <w:r>
              <w:rPr>
                <w:b/>
                <w:sz w:val="16"/>
              </w:rPr>
              <w:t>Test accuracy</w:t>
            </w:r>
          </w:p>
        </w:tc>
        <w:tc>
          <w:tcPr>
            <w:tcW w:w="2050" w:type="dxa"/>
            <w:tcBorders>
              <w:bottom w:val="single" w:sz="6" w:space="0" w:color="000000"/>
            </w:tcBorders>
            <w:tcMar>
              <w:top w:w="90" w:type="dxa"/>
              <w:left w:w="100" w:type="dxa"/>
              <w:bottom w:w="90" w:type="dxa"/>
              <w:right w:w="100" w:type="dxa"/>
            </w:tcMar>
            <w:vAlign w:val="center"/>
          </w:tcPr>
          <w:p w14:paraId="0AD6AA62" w14:textId="77777777" w:rsidR="00522DE2" w:rsidRDefault="00BF0975">
            <w:pPr>
              <w:spacing w:after="0"/>
              <w:jc w:val="center"/>
            </w:pPr>
            <w:r>
              <w:rPr>
                <w:b/>
                <w:sz w:val="16"/>
              </w:rPr>
              <w:t>Test loss</w:t>
            </w:r>
          </w:p>
        </w:tc>
      </w:tr>
      <w:tr w:rsidR="00522DE2" w14:paraId="4FD3E959" w14:textId="77777777">
        <w:tc>
          <w:tcPr>
            <w:tcW w:w="3000" w:type="dxa"/>
            <w:tcMar>
              <w:top w:w="90" w:type="dxa"/>
              <w:left w:w="100" w:type="dxa"/>
              <w:bottom w:w="90" w:type="dxa"/>
              <w:right w:w="100" w:type="dxa"/>
            </w:tcMar>
            <w:vAlign w:val="center"/>
          </w:tcPr>
          <w:p w14:paraId="5B6B8349"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469875AA"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61E6D50B" w14:textId="77777777" w:rsidR="00522DE2" w:rsidRDefault="00BF0975">
            <w:pPr>
              <w:spacing w:after="0" w:line="240" w:lineRule="auto"/>
              <w:jc w:val="center"/>
            </w:pPr>
            <w:r>
              <w:rPr>
                <w:sz w:val="16"/>
              </w:rPr>
              <w:t>71.29 ± 0.83%</w:t>
            </w:r>
          </w:p>
        </w:tc>
        <w:tc>
          <w:tcPr>
            <w:tcW w:w="2050" w:type="dxa"/>
            <w:tcMar>
              <w:top w:w="90" w:type="dxa"/>
              <w:left w:w="100" w:type="dxa"/>
              <w:bottom w:w="90" w:type="dxa"/>
              <w:right w:w="100" w:type="dxa"/>
            </w:tcMar>
            <w:vAlign w:val="center"/>
          </w:tcPr>
          <w:p w14:paraId="6F88027A" w14:textId="77777777" w:rsidR="00522DE2" w:rsidRDefault="00BF0975">
            <w:pPr>
              <w:spacing w:after="0" w:line="240" w:lineRule="auto"/>
              <w:jc w:val="center"/>
            </w:pPr>
            <w:r>
              <w:rPr>
                <w:sz w:val="16"/>
                <w:b w:val="1"/>
                <w:bCs w:val="1"/>
              </w:rPr>
              <w:t>0.9992 ± 0.0991</w:t>
            </w:r>
          </w:p>
        </w:tc>
      </w:tr>
      <w:tr w:rsidR="00522DE2" w14:paraId="33F9B9DE" w14:textId="77777777">
        <w:tc>
          <w:tcPr>
            <w:tcW w:w="3000" w:type="dxa"/>
            <w:tcMar>
              <w:top w:w="90" w:type="dxa"/>
              <w:left w:w="100" w:type="dxa"/>
              <w:bottom w:w="90" w:type="dxa"/>
              <w:right w:w="100" w:type="dxa"/>
            </w:tcMar>
            <w:vAlign w:val="center"/>
          </w:tcPr>
          <w:p w14:paraId="0FABCBE2"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4CB95AB1"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7DD91DFA" w14:textId="77777777" w:rsidR="00522DE2" w:rsidRDefault="00BF0975">
            <w:pPr>
              <w:spacing w:after="0" w:line="240" w:lineRule="auto"/>
              <w:jc w:val="center"/>
            </w:pPr>
            <w:r>
              <w:rPr>
                <w:sz w:val="16"/>
              </w:rPr>
              <w:t>71.40 ± 0.55%</w:t>
            </w:r>
          </w:p>
        </w:tc>
        <w:tc>
          <w:tcPr>
            <w:tcW w:w="2050" w:type="dxa"/>
            <w:tcMar>
              <w:top w:w="90" w:type="dxa"/>
              <w:left w:w="100" w:type="dxa"/>
              <w:bottom w:w="90" w:type="dxa"/>
              <w:right w:w="100" w:type="dxa"/>
            </w:tcMar>
            <w:vAlign w:val="center"/>
          </w:tcPr>
          <w:p w14:paraId="0D5FEC52" w14:textId="77777777" w:rsidR="00522DE2" w:rsidRDefault="00BF0975">
            <w:pPr>
              <w:spacing w:after="0" w:line="240" w:lineRule="auto"/>
              <w:jc w:val="center"/>
            </w:pPr>
            <w:r>
              <w:rPr>
                <w:sz w:val="16"/>
              </w:rPr>
              <w:t>1.0155 ± 0.0843</w:t>
            </w:r>
          </w:p>
        </w:tc>
      </w:tr>
      <w:tr w:rsidR="00522DE2" w14:paraId="53049736" w14:textId="77777777">
        <w:tc>
          <w:tcPr>
            <w:tcW w:w="3000" w:type="dxa"/>
            <w:tcMar>
              <w:top w:w="90" w:type="dxa"/>
              <w:left w:w="100" w:type="dxa"/>
              <w:bottom w:w="90" w:type="dxa"/>
              <w:right w:w="100" w:type="dxa"/>
            </w:tcMar>
            <w:vAlign w:val="center"/>
          </w:tcPr>
          <w:p w14:paraId="0E5C3658"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029D8665"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70397B8C" w14:textId="77777777" w:rsidR="00522DE2" w:rsidRDefault="00BF0975">
            <w:pPr>
              <w:spacing w:after="0" w:line="240" w:lineRule="auto"/>
              <w:jc w:val="center"/>
            </w:pPr>
            <w:r>
              <w:rPr>
                <w:sz w:val="16"/>
              </w:rPr>
              <w:t>71.40 ± 0.47%</w:t>
            </w:r>
          </w:p>
        </w:tc>
        <w:tc>
          <w:tcPr>
            <w:tcW w:w="2050" w:type="dxa"/>
            <w:tcMar>
              <w:top w:w="90" w:type="dxa"/>
              <w:left w:w="100" w:type="dxa"/>
              <w:bottom w:w="90" w:type="dxa"/>
              <w:right w:w="100" w:type="dxa"/>
            </w:tcMar>
            <w:vAlign w:val="center"/>
          </w:tcPr>
          <w:p w14:paraId="6845A62A" w14:textId="77777777" w:rsidR="00522DE2" w:rsidRDefault="00BF0975">
            <w:pPr>
              <w:spacing w:after="0" w:line="240" w:lineRule="auto"/>
              <w:jc w:val="center"/>
            </w:pPr>
            <w:r>
              <w:rPr>
                <w:sz w:val="16"/>
              </w:rPr>
              <w:t>1.0363 ± 0.1033</w:t>
            </w:r>
          </w:p>
        </w:tc>
      </w:tr>
      <w:tr w:rsidR="00522DE2" w14:paraId="4FCF41F2" w14:textId="77777777">
        <w:tc>
          <w:tcPr>
            <w:tcW w:w="3000" w:type="dxa"/>
            <w:tcMar>
              <w:top w:w="90" w:type="dxa"/>
              <w:left w:w="100" w:type="dxa"/>
              <w:bottom w:w="90" w:type="dxa"/>
              <w:right w:w="100" w:type="dxa"/>
            </w:tcMar>
            <w:vAlign w:val="center"/>
          </w:tcPr>
          <w:p w14:paraId="7229D96B" w14:textId="77777777" w:rsidR="00522DE2" w:rsidRDefault="00BF0975">
            <w:pPr>
              <w:spacing w:after="0" w:line="240" w:lineRule="auto"/>
              <w:jc w:val="left"/>
            </w:pPr>
            <w:r>
              <w:rPr>
                <w:sz w:val="16"/>
              </w:rPr>
              <w:lastRenderedPageBreak/>
              <w:t>No PE</w:t>
            </w:r>
          </w:p>
        </w:tc>
        <w:tc>
          <w:tcPr>
            <w:tcW w:w="1900" w:type="dxa"/>
            <w:tcMar>
              <w:top w:w="90" w:type="dxa"/>
              <w:left w:w="100" w:type="dxa"/>
              <w:bottom w:w="90" w:type="dxa"/>
              <w:right w:w="100" w:type="dxa"/>
            </w:tcMar>
            <w:vAlign w:val="center"/>
          </w:tcPr>
          <w:p w14:paraId="4A86BFCD"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2E7904E6" w14:textId="77777777" w:rsidR="00522DE2" w:rsidRDefault="00BF0975">
            <w:pPr>
              <w:spacing w:after="0" w:line="240" w:lineRule="auto"/>
              <w:jc w:val="center"/>
            </w:pPr>
            <w:r>
              <w:rPr>
                <w:sz w:val="16"/>
                <w:b w:val="1"/>
                <w:bCs w:val="1"/>
              </w:rPr>
              <w:t>71.51 ± 0.53%</w:t>
            </w:r>
          </w:p>
        </w:tc>
        <w:tc>
          <w:tcPr>
            <w:tcW w:w="2050" w:type="dxa"/>
            <w:tcMar>
              <w:top w:w="90" w:type="dxa"/>
              <w:left w:w="100" w:type="dxa"/>
              <w:bottom w:w="90" w:type="dxa"/>
              <w:right w:w="100" w:type="dxa"/>
            </w:tcMar>
            <w:vAlign w:val="center"/>
          </w:tcPr>
          <w:p w14:paraId="73BDB4D5" w14:textId="77777777" w:rsidR="00522DE2" w:rsidRDefault="00BF0975">
            <w:pPr>
              <w:spacing w:after="0" w:line="240" w:lineRule="auto"/>
              <w:jc w:val="center"/>
            </w:pPr>
            <w:r>
              <w:rPr>
                <w:sz w:val="16"/>
              </w:rPr>
              <w:t>1.0134 ± 0.0735</w:t>
            </w:r>
          </w:p>
        </w:tc>
      </w:tr>
      <w:tr w:rsidR="00522DE2" w14:paraId="78F03436" w14:textId="77777777">
        <w:tc>
          <w:tcPr>
            <w:tcW w:w="3000" w:type="dxa"/>
            <w:tcMar>
              <w:top w:w="90" w:type="dxa"/>
              <w:left w:w="100" w:type="dxa"/>
              <w:bottom w:w="90" w:type="dxa"/>
              <w:right w:w="100" w:type="dxa"/>
            </w:tcMar>
            <w:vAlign w:val="center"/>
          </w:tcPr>
          <w:p w14:paraId="5D21B069"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7079A1A1"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053A9680" w14:textId="77777777" w:rsidR="00522DE2" w:rsidRDefault="00BF0975">
            <w:pPr>
              <w:spacing w:after="0" w:line="240" w:lineRule="auto"/>
              <w:jc w:val="center"/>
            </w:pPr>
            <w:r>
              <w:rPr>
                <w:sz w:val="16"/>
              </w:rPr>
              <w:t>78.60 ± 0.42%</w:t>
            </w:r>
          </w:p>
        </w:tc>
        <w:tc>
          <w:tcPr>
            <w:tcW w:w="2050" w:type="dxa"/>
            <w:tcMar>
              <w:top w:w="90" w:type="dxa"/>
              <w:left w:w="100" w:type="dxa"/>
              <w:bottom w:w="90" w:type="dxa"/>
              <w:right w:w="100" w:type="dxa"/>
            </w:tcMar>
            <w:vAlign w:val="center"/>
          </w:tcPr>
          <w:p w14:paraId="33AC6D77" w14:textId="77777777" w:rsidR="00522DE2" w:rsidRDefault="00BF0975">
            <w:pPr>
              <w:spacing w:after="0" w:line="240" w:lineRule="auto"/>
              <w:jc w:val="center"/>
            </w:pPr>
            <w:r>
              <w:rPr>
                <w:sz w:val="16"/>
                <w:b w:val="1"/>
                <w:bCs w:val="1"/>
              </w:rPr>
              <w:t>0.7671 ± 0.1216</w:t>
            </w:r>
          </w:p>
        </w:tc>
      </w:tr>
      <w:tr w:rsidR="00522DE2" w14:paraId="6868F3AA" w14:textId="77777777">
        <w:tc>
          <w:tcPr>
            <w:tcW w:w="3000" w:type="dxa"/>
            <w:tcMar>
              <w:top w:w="90" w:type="dxa"/>
              <w:left w:w="100" w:type="dxa"/>
              <w:bottom w:w="90" w:type="dxa"/>
              <w:right w:w="100" w:type="dxa"/>
            </w:tcMar>
            <w:vAlign w:val="center"/>
          </w:tcPr>
          <w:p w14:paraId="320FEE7C"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283CD00F"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40068E17" w14:textId="77777777" w:rsidR="00522DE2" w:rsidRDefault="00BF0975">
            <w:pPr>
              <w:spacing w:after="0" w:line="240" w:lineRule="auto"/>
              <w:jc w:val="center"/>
            </w:pPr>
            <w:r>
              <w:rPr>
                <w:sz w:val="16"/>
              </w:rPr>
              <w:t>78.58 ± 0.43%</w:t>
            </w:r>
          </w:p>
        </w:tc>
        <w:tc>
          <w:tcPr>
            <w:tcW w:w="2050" w:type="dxa"/>
            <w:tcMar>
              <w:top w:w="90" w:type="dxa"/>
              <w:left w:w="100" w:type="dxa"/>
              <w:bottom w:w="90" w:type="dxa"/>
              <w:right w:w="100" w:type="dxa"/>
            </w:tcMar>
            <w:vAlign w:val="center"/>
          </w:tcPr>
          <w:p w14:paraId="5685DC80" w14:textId="77777777" w:rsidR="00522DE2" w:rsidRDefault="00BF0975">
            <w:pPr>
              <w:spacing w:after="0" w:line="240" w:lineRule="auto"/>
              <w:jc w:val="center"/>
            </w:pPr>
            <w:r>
              <w:rPr>
                <w:sz w:val="16"/>
                <w:b w:val="1"/>
                <w:bCs w:val="1"/>
              </w:rPr>
              <w:t>0.7671 ± 0.1216</w:t>
            </w:r>
          </w:p>
        </w:tc>
      </w:tr>
      <w:tr w:rsidR="00522DE2" w14:paraId="38829343" w14:textId="77777777">
        <w:tc>
          <w:tcPr>
            <w:tcW w:w="3000" w:type="dxa"/>
            <w:tcMar>
              <w:top w:w="90" w:type="dxa"/>
              <w:left w:w="100" w:type="dxa"/>
              <w:bottom w:w="90" w:type="dxa"/>
              <w:right w:w="100" w:type="dxa"/>
            </w:tcMar>
            <w:vAlign w:val="center"/>
          </w:tcPr>
          <w:p w14:paraId="1D58A072"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6C0FE72A"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3924277A" w14:textId="77777777" w:rsidR="00522DE2" w:rsidRDefault="00BF0975">
            <w:pPr>
              <w:spacing w:after="0" w:line="240" w:lineRule="auto"/>
              <w:jc w:val="center"/>
            </w:pPr>
            <w:r>
              <w:rPr>
                <w:sz w:val="16"/>
              </w:rPr>
              <w:t>78.59 ± 0.40%</w:t>
            </w:r>
          </w:p>
        </w:tc>
        <w:tc>
          <w:tcPr>
            <w:tcW w:w="2050" w:type="dxa"/>
            <w:tcMar>
              <w:top w:w="90" w:type="dxa"/>
              <w:left w:w="100" w:type="dxa"/>
              <w:bottom w:w="90" w:type="dxa"/>
              <w:right w:w="100" w:type="dxa"/>
            </w:tcMar>
            <w:vAlign w:val="center"/>
          </w:tcPr>
          <w:p w14:paraId="3B0B387B" w14:textId="77777777" w:rsidR="00522DE2" w:rsidRDefault="00BF0975">
            <w:pPr>
              <w:spacing w:after="0" w:line="240" w:lineRule="auto"/>
              <w:jc w:val="center"/>
            </w:pPr>
            <w:r>
              <w:rPr>
                <w:sz w:val="16"/>
                <w:b w:val="1"/>
                <w:bCs w:val="1"/>
              </w:rPr>
              <w:t>0.7671 ± 0.1216</w:t>
            </w:r>
          </w:p>
        </w:tc>
      </w:tr>
      <w:tr w:rsidR="00522DE2" w14:paraId="2E8CB69F" w14:textId="77777777">
        <w:tc>
          <w:tcPr>
            <w:tcW w:w="3000" w:type="dxa"/>
            <w:tcMar>
              <w:top w:w="90" w:type="dxa"/>
              <w:left w:w="100" w:type="dxa"/>
              <w:bottom w:w="90" w:type="dxa"/>
              <w:right w:w="100" w:type="dxa"/>
            </w:tcMar>
            <w:vAlign w:val="center"/>
          </w:tcPr>
          <w:p w14:paraId="04583D3F"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48324D70"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4CD19A54" w14:textId="77777777" w:rsidR="00522DE2" w:rsidRDefault="00BF0975">
            <w:pPr>
              <w:spacing w:after="0" w:line="240" w:lineRule="auto"/>
              <w:jc w:val="center"/>
            </w:pPr>
            <w:r>
              <w:rPr>
                <w:sz w:val="16"/>
                <w:b w:val="1"/>
                <w:bCs w:val="1"/>
              </w:rPr>
              <w:t>78.64 ± 0.34%</w:t>
            </w:r>
          </w:p>
        </w:tc>
        <w:tc>
          <w:tcPr>
            <w:tcW w:w="2050" w:type="dxa"/>
            <w:tcMar>
              <w:top w:w="90" w:type="dxa"/>
              <w:left w:w="100" w:type="dxa"/>
              <w:bottom w:w="90" w:type="dxa"/>
              <w:right w:w="100" w:type="dxa"/>
            </w:tcMar>
            <w:vAlign w:val="center"/>
          </w:tcPr>
          <w:p w14:paraId="201A5DC9" w14:textId="77777777" w:rsidR="00522DE2" w:rsidRDefault="00BF0975">
            <w:pPr>
              <w:spacing w:after="0" w:line="240" w:lineRule="auto"/>
              <w:jc w:val="center"/>
            </w:pPr>
            <w:r>
              <w:rPr>
                <w:sz w:val="16"/>
              </w:rPr>
              <w:t>0.7882 ± 0.1749</w:t>
            </w:r>
          </w:p>
        </w:tc>
      </w:tr>
      <w:tr w:rsidR="00522DE2" w14:paraId="07A5C9B7" w14:textId="77777777">
        <w:tc>
          <w:tcPr>
            <w:tcW w:w="3000" w:type="dxa"/>
            <w:tcMar>
              <w:top w:w="90" w:type="dxa"/>
              <w:left w:w="100" w:type="dxa"/>
              <w:bottom w:w="90" w:type="dxa"/>
              <w:right w:w="100" w:type="dxa"/>
            </w:tcMar>
            <w:vAlign w:val="center"/>
          </w:tcPr>
          <w:p w14:paraId="6746B9FE"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1F5A2303"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5FFDE67B" w14:textId="77777777" w:rsidR="00522DE2" w:rsidRDefault="00BF0975">
            <w:pPr>
              <w:spacing w:after="0" w:line="240" w:lineRule="auto"/>
              <w:jc w:val="center"/>
            </w:pPr>
            <w:r>
              <w:rPr>
                <w:sz w:val="16"/>
                <w:b w:val="1"/>
                <w:bCs w:val="1"/>
              </w:rPr>
              <w:t>74.93 ± 0.87%</w:t>
            </w:r>
          </w:p>
        </w:tc>
        <w:tc>
          <w:tcPr>
            <w:tcW w:w="2050" w:type="dxa"/>
            <w:tcMar>
              <w:top w:w="90" w:type="dxa"/>
              <w:left w:w="100" w:type="dxa"/>
              <w:bottom w:w="90" w:type="dxa"/>
              <w:right w:w="100" w:type="dxa"/>
            </w:tcMar>
            <w:vAlign w:val="center"/>
          </w:tcPr>
          <w:p w14:paraId="2A7FE5F6" w14:textId="77777777" w:rsidR="00522DE2" w:rsidRDefault="00BF0975">
            <w:pPr>
              <w:spacing w:after="0" w:line="240" w:lineRule="auto"/>
              <w:jc w:val="center"/>
            </w:pPr>
            <w:r>
              <w:rPr>
                <w:sz w:val="16"/>
              </w:rPr>
              <w:t>0.8852 ± 0.0883</w:t>
            </w:r>
          </w:p>
        </w:tc>
      </w:tr>
      <w:tr w:rsidR="00522DE2" w14:paraId="53794EEE" w14:textId="77777777">
        <w:tc>
          <w:tcPr>
            <w:tcW w:w="3000" w:type="dxa"/>
            <w:tcMar>
              <w:top w:w="90" w:type="dxa"/>
              <w:left w:w="100" w:type="dxa"/>
              <w:bottom w:w="90" w:type="dxa"/>
              <w:right w:w="100" w:type="dxa"/>
            </w:tcMar>
            <w:vAlign w:val="center"/>
          </w:tcPr>
          <w:p w14:paraId="7E381F8F"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4A1FA5FD"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3B2FAA43" w14:textId="77777777" w:rsidR="00522DE2" w:rsidRDefault="00BF0975">
            <w:pPr>
              <w:spacing w:after="0" w:line="240" w:lineRule="auto"/>
              <w:jc w:val="center"/>
            </w:pPr>
            <w:r>
              <w:rPr>
                <w:sz w:val="16"/>
              </w:rPr>
              <w:t>74.23 ± 0.72%</w:t>
            </w:r>
          </w:p>
        </w:tc>
        <w:tc>
          <w:tcPr>
            <w:tcW w:w="2050" w:type="dxa"/>
            <w:tcMar>
              <w:top w:w="90" w:type="dxa"/>
              <w:left w:w="100" w:type="dxa"/>
              <w:bottom w:w="90" w:type="dxa"/>
              <w:right w:w="100" w:type="dxa"/>
            </w:tcMar>
            <w:vAlign w:val="center"/>
          </w:tcPr>
          <w:p w14:paraId="2EA38D87" w14:textId="77777777" w:rsidR="00522DE2" w:rsidRDefault="00BF0975">
            <w:pPr>
              <w:spacing w:after="0" w:line="240" w:lineRule="auto"/>
              <w:jc w:val="center"/>
            </w:pPr>
            <w:r>
              <w:rPr>
                <w:sz w:val="16"/>
              </w:rPr>
              <w:t>0.8923 ± 0.0864</w:t>
            </w:r>
          </w:p>
        </w:tc>
      </w:tr>
      <w:tr w:rsidR="00522DE2" w14:paraId="6F57F9AE" w14:textId="77777777">
        <w:tc>
          <w:tcPr>
            <w:tcW w:w="3000" w:type="dxa"/>
            <w:tcMar>
              <w:top w:w="90" w:type="dxa"/>
              <w:left w:w="100" w:type="dxa"/>
              <w:bottom w:w="90" w:type="dxa"/>
              <w:right w:w="100" w:type="dxa"/>
            </w:tcMar>
            <w:vAlign w:val="center"/>
          </w:tcPr>
          <w:p w14:paraId="6FD5E6F6"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7C0A57C9"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33D6B3EE" w14:textId="77777777" w:rsidR="00522DE2" w:rsidRDefault="00BF0975">
            <w:pPr>
              <w:spacing w:after="0" w:line="240" w:lineRule="auto"/>
              <w:jc w:val="center"/>
            </w:pPr>
            <w:r>
              <w:rPr>
                <w:sz w:val="16"/>
              </w:rPr>
              <w:t>74.83 ± 0.68%</w:t>
            </w:r>
          </w:p>
        </w:tc>
        <w:tc>
          <w:tcPr>
            <w:tcW w:w="2050" w:type="dxa"/>
            <w:tcMar>
              <w:top w:w="90" w:type="dxa"/>
              <w:left w:w="100" w:type="dxa"/>
              <w:bottom w:w="90" w:type="dxa"/>
              <w:right w:w="100" w:type="dxa"/>
            </w:tcMar>
            <w:vAlign w:val="center"/>
          </w:tcPr>
          <w:p w14:paraId="4EC17951" w14:textId="77777777" w:rsidR="00522DE2" w:rsidRDefault="00BF0975">
            <w:pPr>
              <w:spacing w:after="0" w:line="240" w:lineRule="auto"/>
              <w:jc w:val="center"/>
            </w:pPr>
            <w:r>
              <w:rPr>
                <w:sz w:val="16"/>
                <w:b w:val="1"/>
                <w:bCs w:val="1"/>
              </w:rPr>
              <w:t>0.8638 ± 0.0525</w:t>
            </w:r>
          </w:p>
        </w:tc>
      </w:tr>
      <w:tr w:rsidR="00522DE2" w14:paraId="78C15DE5" w14:textId="77777777">
        <w:tc>
          <w:tcPr>
            <w:tcW w:w="3000" w:type="dxa"/>
            <w:tcMar>
              <w:top w:w="90" w:type="dxa"/>
              <w:left w:w="100" w:type="dxa"/>
              <w:bottom w:w="90" w:type="dxa"/>
              <w:right w:w="100" w:type="dxa"/>
            </w:tcMar>
            <w:vAlign w:val="center"/>
          </w:tcPr>
          <w:p w14:paraId="1D127F93"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69B4EB83"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5CBBFADF" w14:textId="77777777" w:rsidR="00522DE2" w:rsidRDefault="00BF0975">
            <w:pPr>
              <w:spacing w:after="0" w:line="240" w:lineRule="auto"/>
              <w:jc w:val="center"/>
            </w:pPr>
            <w:r>
              <w:rPr>
                <w:sz w:val="16"/>
              </w:rPr>
              <w:t>74.23 ± 0.69%</w:t>
            </w:r>
          </w:p>
        </w:tc>
        <w:tc>
          <w:tcPr>
            <w:tcW w:w="2050" w:type="dxa"/>
            <w:tcMar>
              <w:top w:w="90" w:type="dxa"/>
              <w:left w:w="100" w:type="dxa"/>
              <w:bottom w:w="90" w:type="dxa"/>
              <w:right w:w="100" w:type="dxa"/>
            </w:tcMar>
            <w:vAlign w:val="center"/>
          </w:tcPr>
          <w:p w14:paraId="329427A3" w14:textId="77777777" w:rsidR="00522DE2" w:rsidRDefault="00BF0975">
            <w:pPr>
              <w:spacing w:after="0" w:line="240" w:lineRule="auto"/>
              <w:jc w:val="center"/>
            </w:pPr>
            <w:r>
              <w:rPr>
                <w:sz w:val="16"/>
              </w:rPr>
              <w:t>0.8923 ± 0.0864</w:t>
            </w:r>
          </w:p>
        </w:tc>
      </w:tr>
      <w:tr w:rsidR="00522DE2" w14:paraId="3B90D656" w14:textId="77777777">
        <w:tc>
          <w:tcPr>
            <w:tcW w:w="3000" w:type="dxa"/>
            <w:tcMar>
              <w:top w:w="90" w:type="dxa"/>
              <w:left w:w="100" w:type="dxa"/>
              <w:bottom w:w="90" w:type="dxa"/>
              <w:right w:w="100" w:type="dxa"/>
            </w:tcMar>
            <w:vAlign w:val="center"/>
          </w:tcPr>
          <w:p w14:paraId="2D3C178C"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75602B5A"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056BFF34" w14:textId="77777777" w:rsidR="00522DE2" w:rsidRDefault="00BF0975">
            <w:pPr>
              <w:spacing w:after="0" w:line="240" w:lineRule="auto"/>
              <w:jc w:val="center"/>
            </w:pPr>
            <w:r>
              <w:rPr>
                <w:sz w:val="16"/>
              </w:rPr>
              <w:t>74.24 ± 0.70%</w:t>
            </w:r>
          </w:p>
        </w:tc>
        <w:tc>
          <w:tcPr>
            <w:tcW w:w="2050" w:type="dxa"/>
            <w:tcMar>
              <w:top w:w="90" w:type="dxa"/>
              <w:left w:w="100" w:type="dxa"/>
              <w:bottom w:w="90" w:type="dxa"/>
              <w:right w:w="100" w:type="dxa"/>
            </w:tcMar>
            <w:vAlign w:val="center"/>
          </w:tcPr>
          <w:p w14:paraId="1B2A29C3" w14:textId="77777777" w:rsidR="00522DE2" w:rsidRDefault="00BF0975">
            <w:pPr>
              <w:spacing w:after="0" w:line="240" w:lineRule="auto"/>
              <w:jc w:val="center"/>
            </w:pPr>
            <w:r>
              <w:rPr>
                <w:sz w:val="16"/>
              </w:rPr>
              <w:t>0.8923 ± 0.0864</w:t>
            </w:r>
          </w:p>
        </w:tc>
      </w:tr>
      <w:tr w:rsidR="00522DE2" w14:paraId="24F6BBBA" w14:textId="77777777">
        <w:tc>
          <w:tcPr>
            <w:tcW w:w="3000" w:type="dxa"/>
            <w:tcMar>
              <w:top w:w="90" w:type="dxa"/>
              <w:left w:w="100" w:type="dxa"/>
              <w:bottom w:w="90" w:type="dxa"/>
              <w:right w:w="100" w:type="dxa"/>
            </w:tcMar>
            <w:vAlign w:val="center"/>
          </w:tcPr>
          <w:p w14:paraId="3E7B796F"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21EE6926"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524497C4" w14:textId="77777777" w:rsidR="00522DE2" w:rsidRDefault="00BF0975">
            <w:pPr>
              <w:spacing w:after="0" w:line="240" w:lineRule="auto"/>
              <w:jc w:val="center"/>
            </w:pPr>
            <w:r>
              <w:rPr>
                <w:sz w:val="16"/>
                <w:b w:val="1"/>
                <w:bCs w:val="1"/>
              </w:rPr>
              <w:t>74.74 ± 1.13%</w:t>
            </w:r>
          </w:p>
        </w:tc>
        <w:tc>
          <w:tcPr>
            <w:tcW w:w="2050" w:type="dxa"/>
            <w:tcMar>
              <w:top w:w="90" w:type="dxa"/>
              <w:left w:w="100" w:type="dxa"/>
              <w:bottom w:w="90" w:type="dxa"/>
              <w:right w:w="100" w:type="dxa"/>
            </w:tcMar>
            <w:vAlign w:val="center"/>
          </w:tcPr>
          <w:p w14:paraId="2C7F268D" w14:textId="77777777" w:rsidR="00522DE2" w:rsidRDefault="00BF0975">
            <w:pPr>
              <w:spacing w:after="0" w:line="240" w:lineRule="auto"/>
              <w:jc w:val="center"/>
            </w:pPr>
            <w:r>
              <w:rPr>
                <w:sz w:val="16"/>
                <w:b w:val="1"/>
                <w:bCs w:val="1"/>
              </w:rPr>
              <w:t>0.8765 ± 0.0990</w:t>
            </w:r>
          </w:p>
        </w:tc>
      </w:tr>
      <w:tr w:rsidR="00522DE2" w14:paraId="33415379" w14:textId="77777777">
        <w:tc>
          <w:tcPr>
            <w:tcW w:w="3000" w:type="dxa"/>
            <w:tcMar>
              <w:top w:w="90" w:type="dxa"/>
              <w:left w:w="100" w:type="dxa"/>
              <w:bottom w:w="90" w:type="dxa"/>
              <w:right w:w="100" w:type="dxa"/>
            </w:tcMar>
            <w:vAlign w:val="center"/>
          </w:tcPr>
          <w:p w14:paraId="288C9382"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340399E6"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0933E4D3" w14:textId="77777777" w:rsidR="00522DE2" w:rsidRDefault="00BF0975">
            <w:pPr>
              <w:spacing w:after="0" w:line="240" w:lineRule="auto"/>
              <w:jc w:val="center"/>
            </w:pPr>
            <w:r>
              <w:rPr>
                <w:sz w:val="16"/>
              </w:rPr>
              <w:t>72.66 ± 1.00%</w:t>
            </w:r>
          </w:p>
        </w:tc>
        <w:tc>
          <w:tcPr>
            <w:tcW w:w="2050" w:type="dxa"/>
            <w:tcMar>
              <w:top w:w="90" w:type="dxa"/>
              <w:left w:w="100" w:type="dxa"/>
              <w:bottom w:w="90" w:type="dxa"/>
              <w:right w:w="100" w:type="dxa"/>
            </w:tcMar>
            <w:vAlign w:val="center"/>
          </w:tcPr>
          <w:p w14:paraId="26DE2515" w14:textId="77777777" w:rsidR="00522DE2" w:rsidRDefault="00BF0975">
            <w:pPr>
              <w:spacing w:after="0" w:line="240" w:lineRule="auto"/>
              <w:jc w:val="center"/>
            </w:pPr>
            <w:r>
              <w:rPr>
                <w:sz w:val="16"/>
              </w:rPr>
              <w:t>0.9000 ± 0.0459</w:t>
            </w:r>
          </w:p>
        </w:tc>
      </w:tr>
      <w:tr w:rsidR="00522DE2" w14:paraId="3311C2F5" w14:textId="77777777">
        <w:tc>
          <w:tcPr>
            <w:tcW w:w="3000" w:type="dxa"/>
            <w:tcMar>
              <w:top w:w="90" w:type="dxa"/>
              <w:left w:w="100" w:type="dxa"/>
              <w:bottom w:w="90" w:type="dxa"/>
              <w:right w:w="100" w:type="dxa"/>
            </w:tcMar>
            <w:vAlign w:val="center"/>
          </w:tcPr>
          <w:p w14:paraId="6C2C0F50"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71545F67"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4CDCEF9F" w14:textId="77777777" w:rsidR="00522DE2" w:rsidRDefault="00BF0975">
            <w:pPr>
              <w:spacing w:after="0" w:line="240" w:lineRule="auto"/>
              <w:jc w:val="center"/>
            </w:pPr>
            <w:r>
              <w:rPr>
                <w:sz w:val="16"/>
              </w:rPr>
              <w:t>72.94 ± 0.94%</w:t>
            </w:r>
          </w:p>
        </w:tc>
        <w:tc>
          <w:tcPr>
            <w:tcW w:w="2050" w:type="dxa"/>
            <w:tcMar>
              <w:top w:w="90" w:type="dxa"/>
              <w:left w:w="100" w:type="dxa"/>
              <w:bottom w:w="90" w:type="dxa"/>
              <w:right w:w="100" w:type="dxa"/>
            </w:tcMar>
            <w:vAlign w:val="center"/>
          </w:tcPr>
          <w:p w14:paraId="52E194AE" w14:textId="77777777" w:rsidR="00522DE2" w:rsidRDefault="00BF0975">
            <w:pPr>
              <w:spacing w:after="0" w:line="240" w:lineRule="auto"/>
              <w:jc w:val="center"/>
            </w:pPr>
            <w:r>
              <w:rPr>
                <w:sz w:val="16"/>
              </w:rPr>
              <w:t>0.9726 ± 0.1304</w:t>
            </w:r>
          </w:p>
        </w:tc>
      </w:tr>
      <w:tr w:rsidR="00522DE2" w14:paraId="5E10E0AD" w14:textId="77777777">
        <w:tc>
          <w:tcPr>
            <w:tcW w:w="3000" w:type="dxa"/>
            <w:tcMar>
              <w:top w:w="90" w:type="dxa"/>
              <w:left w:w="100" w:type="dxa"/>
              <w:bottom w:w="90" w:type="dxa"/>
              <w:right w:w="100" w:type="dxa"/>
            </w:tcMar>
            <w:vAlign w:val="center"/>
          </w:tcPr>
          <w:p w14:paraId="4B71127C"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4BDF04F3"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45CDB951" w14:textId="77777777" w:rsidR="00522DE2" w:rsidRDefault="00BF0975">
            <w:pPr>
              <w:spacing w:after="0" w:line="240" w:lineRule="auto"/>
              <w:jc w:val="center"/>
            </w:pPr>
            <w:r>
              <w:rPr>
                <w:sz w:val="16"/>
                <w:b w:val="1"/>
                <w:bCs w:val="1"/>
              </w:rPr>
              <w:t>77.54 ± 0.83%</w:t>
            </w:r>
          </w:p>
        </w:tc>
        <w:tc>
          <w:tcPr>
            <w:tcW w:w="2050" w:type="dxa"/>
            <w:tcMar>
              <w:top w:w="90" w:type="dxa"/>
              <w:left w:w="100" w:type="dxa"/>
              <w:bottom w:w="90" w:type="dxa"/>
              <w:right w:w="100" w:type="dxa"/>
            </w:tcMar>
            <w:vAlign w:val="center"/>
          </w:tcPr>
          <w:p w14:paraId="004B2681" w14:textId="77777777" w:rsidR="00522DE2" w:rsidRDefault="00BF0975">
            <w:pPr>
              <w:spacing w:after="0" w:line="240" w:lineRule="auto"/>
              <w:jc w:val="center"/>
            </w:pPr>
            <w:r>
              <w:rPr>
                <w:sz w:val="16"/>
                <w:b w:val="1"/>
                <w:bCs w:val="1"/>
              </w:rPr>
              <w:t>0.7906 ± 0.0735</w:t>
            </w:r>
          </w:p>
        </w:tc>
      </w:tr>
      <w:tr w:rsidR="00522DE2" w14:paraId="16D87F92" w14:textId="77777777">
        <w:tc>
          <w:tcPr>
            <w:tcW w:w="3000" w:type="dxa"/>
            <w:tcMar>
              <w:top w:w="90" w:type="dxa"/>
              <w:left w:w="100" w:type="dxa"/>
              <w:bottom w:w="90" w:type="dxa"/>
              <w:right w:w="100" w:type="dxa"/>
            </w:tcMar>
            <w:vAlign w:val="center"/>
          </w:tcPr>
          <w:p w14:paraId="4888476E"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2F29357B"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5AF58673" w14:textId="77777777" w:rsidR="00522DE2" w:rsidRDefault="00BF0975">
            <w:pPr>
              <w:spacing w:after="0" w:line="240" w:lineRule="auto"/>
              <w:jc w:val="center"/>
            </w:pPr>
            <w:r>
              <w:rPr>
                <w:sz w:val="16"/>
              </w:rPr>
              <w:t>77.53 ± 0.86%</w:t>
            </w:r>
          </w:p>
        </w:tc>
        <w:tc>
          <w:tcPr>
            <w:tcW w:w="2050" w:type="dxa"/>
            <w:tcMar>
              <w:top w:w="90" w:type="dxa"/>
              <w:left w:w="100" w:type="dxa"/>
              <w:bottom w:w="90" w:type="dxa"/>
              <w:right w:w="100" w:type="dxa"/>
            </w:tcMar>
            <w:vAlign w:val="center"/>
          </w:tcPr>
          <w:p w14:paraId="1833D0A8" w14:textId="77777777" w:rsidR="00522DE2" w:rsidRDefault="00BF0975">
            <w:pPr>
              <w:spacing w:after="0" w:line="240" w:lineRule="auto"/>
              <w:jc w:val="center"/>
            </w:pPr>
            <w:r>
              <w:rPr>
                <w:sz w:val="16"/>
              </w:rPr>
              <w:t>0.7907 ± 0.0735</w:t>
            </w:r>
          </w:p>
        </w:tc>
      </w:tr>
      <w:tr w:rsidR="00522DE2" w14:paraId="49021D8D" w14:textId="77777777">
        <w:tc>
          <w:tcPr>
            <w:tcW w:w="3000" w:type="dxa"/>
            <w:tcMar>
              <w:top w:w="90" w:type="dxa"/>
              <w:left w:w="100" w:type="dxa"/>
              <w:bottom w:w="90" w:type="dxa"/>
              <w:right w:w="100" w:type="dxa"/>
            </w:tcMar>
            <w:vAlign w:val="center"/>
          </w:tcPr>
          <w:p w14:paraId="0AA2C2E8"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211C00F8"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4A5DF6E5" w14:textId="77777777" w:rsidR="00522DE2" w:rsidRDefault="00BF0975">
            <w:pPr>
              <w:spacing w:after="0" w:line="240" w:lineRule="auto"/>
              <w:jc w:val="center"/>
            </w:pPr>
            <w:r>
              <w:rPr>
                <w:sz w:val="16"/>
              </w:rPr>
              <w:t>75.66 ± 0.66%</w:t>
            </w:r>
          </w:p>
        </w:tc>
        <w:tc>
          <w:tcPr>
            <w:tcW w:w="2050" w:type="dxa"/>
            <w:tcMar>
              <w:top w:w="90" w:type="dxa"/>
              <w:left w:w="100" w:type="dxa"/>
              <w:bottom w:w="90" w:type="dxa"/>
              <w:right w:w="100" w:type="dxa"/>
            </w:tcMar>
            <w:vAlign w:val="center"/>
          </w:tcPr>
          <w:p w14:paraId="11D59000" w14:textId="77777777" w:rsidR="00522DE2" w:rsidRDefault="00BF0975">
            <w:pPr>
              <w:spacing w:after="0" w:line="240" w:lineRule="auto"/>
              <w:jc w:val="center"/>
            </w:pPr>
            <w:r>
              <w:rPr>
                <w:sz w:val="16"/>
              </w:rPr>
              <w:t>0.7973 ± 0.0643</w:t>
            </w:r>
          </w:p>
        </w:tc>
      </w:tr>
      <w:tr w:rsidR="00522DE2" w14:paraId="1EFC2249" w14:textId="77777777">
        <w:tc>
          <w:tcPr>
            <w:tcW w:w="3000" w:type="dxa"/>
            <w:tcMar>
              <w:top w:w="90" w:type="dxa"/>
              <w:left w:w="100" w:type="dxa"/>
              <w:bottom w:w="90" w:type="dxa"/>
              <w:right w:w="100" w:type="dxa"/>
            </w:tcMar>
            <w:vAlign w:val="center"/>
          </w:tcPr>
          <w:p w14:paraId="713483FC"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06B84B9E"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6739A39E" w14:textId="77777777" w:rsidR="00522DE2" w:rsidRDefault="00BF0975">
            <w:pPr>
              <w:spacing w:after="0" w:line="240" w:lineRule="auto"/>
              <w:jc w:val="center"/>
            </w:pPr>
            <w:r>
              <w:rPr>
                <w:sz w:val="16"/>
              </w:rPr>
              <w:t>74.83 ± 0.44%</w:t>
            </w:r>
          </w:p>
        </w:tc>
        <w:tc>
          <w:tcPr>
            <w:tcW w:w="2050" w:type="dxa"/>
            <w:tcMar>
              <w:top w:w="90" w:type="dxa"/>
              <w:left w:w="100" w:type="dxa"/>
              <w:bottom w:w="90" w:type="dxa"/>
              <w:right w:w="100" w:type="dxa"/>
            </w:tcMar>
            <w:vAlign w:val="center"/>
          </w:tcPr>
          <w:p w14:paraId="2946DF95" w14:textId="77777777" w:rsidR="00522DE2" w:rsidRDefault="00BF0975">
            <w:pPr>
              <w:spacing w:after="0" w:line="240" w:lineRule="auto"/>
              <w:jc w:val="center"/>
            </w:pPr>
            <w:r>
              <w:rPr>
                <w:sz w:val="16"/>
              </w:rPr>
              <w:t>0.8185 ± 0.0731</w:t>
            </w:r>
          </w:p>
        </w:tc>
      </w:tr>
    </w:tbl>
    <w:p w14:paraId="49BC051D" w14:textId="11632AA1" w:rsidR="00522DE2" w:rsidRDefault="00BF0975">
      <w:r>
        <w:t>All four assignment maps passed the deterministic audit before aggregation. Across the four modes, mean accuracy spanned only 0.22 percentage points for no PE and 0.06 points for learnable PE. The ranges were larger for row PE (0.70 points), column PE (2.08 points) and multiplicative PE (2.70 points). These are descriptive assignment effects for the fixed mappings; they are not attributed to token adjacency because the intervention changes the patch-coordinate pairing defined in Section 3.5. Figures 6 and 7 show the validation accuracy and loss trajectories.</w:t>
      </w:r>
    </w:p>
    <w:p w14:paraId="4D1D0506" w14:textId="77777777" w:rsidR="00D45184" w:rsidRDefault="00000000">
      <w:pPr>
        <w:keepNext/>
        <w:keepLines/>
        <w:spacing w:before="120" w:after="60"/>
        <w:jc w:val="center"/>
      </w:pPr>
      <w:r>
        <w:rPr>
          <w:noProof/>
        </w:rPr>
        <w:lastRenderedPageBreak/>
        <w:drawing>
          <wp:inline distT="0" distB="0" distL="0" distR="0" wp14:anchorId="0852C8F4" wp14:editId="6AF3FB40">
            <wp:extent cx="5623560" cy="3920651"/>
            <wp:effectExtent l="0" t="0" r="0" b="0"/>
            <wp:docPr id="1452386633" name="Picture 1452386633" descr="Five-panel line chart of CIFAR-10 validation accuracy for no PE, learnable PE, row PE, column PE and multiplicative PE under four patch-to-position assignment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623560" cy="3920651"/>
                    </a:xfrm>
                    <a:prstGeom prst="rect">
                      <a:avLst/>
                    </a:prstGeom>
                  </pic:spPr>
                </pic:pic>
              </a:graphicData>
            </a:graphic>
          </wp:inline>
        </w:drawing>
      </w:r>
    </w:p>
    <w:p w14:paraId="6D5688B3" w14:textId="4AA906E5" w:rsidR="00D45184" w:rsidRDefault="00000000">
      <w:pPr>
        <w:pStyle w:val="Caption"/>
        <w:keepLines/>
        <w:jc w:val="center"/>
      </w:pPr>
      <w:r>
        <w:rPr>
          <w:sz w:val="20"/>
        </w:rPr>
        <w:t xml:space="preserve">Figure </w:t>
      </w:r>
      <w:bookmarkStart w:id="20" w:name="fig6"/>
      <w:r>
        <w:rPr>
          <w:sz w:val="20"/>
        </w:rPr>
        <w:fldChar w:fldCharType="begin"/>
      </w:r>
      <w:r>
        <w:rPr>
          <w:sz w:val="20"/>
        </w:rPr>
        <w:instrText xml:space="preserve"> SEQ Figure </w:instrText>
      </w:r>
      <w:r>
        <w:rPr>
          <w:sz w:val="20"/>
        </w:rPr>
        <w:fldChar w:fldCharType="separate"/>
      </w:r>
      <w:r w:rsidR="004E69DC">
        <w:rPr>
          <w:noProof/>
          <w:sz w:val="20"/>
        </w:rPr>
        <w:t>6</w:t>
      </w:r>
      <w:r>
        <w:rPr>
          <w:sz w:val="20"/>
        </w:rPr>
        <w:fldChar w:fldCharType="end"/>
      </w:r>
      <w:bookmarkEnd w:id="20"/>
      <w:r>
        <w:rPr>
          <w:sz w:val="20"/>
        </w:rPr>
        <w:t>: Patch-assignment validation accuracy on CIFAR-10.</w:t>
      </w:r>
    </w:p>
    <w:p w14:paraId="2BC72CD8" w14:textId="77777777" w:rsidR="00D45184" w:rsidRDefault="00000000">
      <w:pPr>
        <w:keepNext/>
        <w:keepLines/>
        <w:spacing w:before="120" w:after="60"/>
        <w:jc w:val="center"/>
      </w:pPr>
      <w:r>
        <w:rPr>
          <w:noProof/>
        </w:rPr>
        <w:drawing>
          <wp:inline distT="0" distB="0" distL="0" distR="0" wp14:anchorId="2CFAB273" wp14:editId="289CA458">
            <wp:extent cx="5623560" cy="3921852"/>
            <wp:effectExtent l="0" t="0" r="0" b="0"/>
            <wp:docPr id="1452386634" name="Picture 1452386634" descr="Five-panel line chart of CIFAR-10 validation loss for no PE, learnable PE, row PE, column PE and multiplicative PE under four patch-to-position assignmen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623560" cy="3921852"/>
                    </a:xfrm>
                    <a:prstGeom prst="rect">
                      <a:avLst/>
                    </a:prstGeom>
                  </pic:spPr>
                </pic:pic>
              </a:graphicData>
            </a:graphic>
          </wp:inline>
        </w:drawing>
      </w:r>
    </w:p>
    <w:p w14:paraId="13103104" w14:textId="4413EC64" w:rsidR="00D45184" w:rsidRDefault="00000000">
      <w:pPr>
        <w:pStyle w:val="Caption"/>
        <w:keepLines/>
        <w:jc w:val="center"/>
      </w:pPr>
      <w:r>
        <w:rPr>
          <w:sz w:val="20"/>
        </w:rPr>
        <w:t xml:space="preserve">Figure </w:t>
      </w:r>
      <w:bookmarkStart w:id="21" w:name="fig7"/>
      <w:r>
        <w:rPr>
          <w:sz w:val="20"/>
        </w:rPr>
        <w:fldChar w:fldCharType="begin"/>
      </w:r>
      <w:r>
        <w:rPr>
          <w:sz w:val="20"/>
        </w:rPr>
        <w:instrText xml:space="preserve"> SEQ Figure </w:instrText>
      </w:r>
      <w:r>
        <w:rPr>
          <w:sz w:val="20"/>
        </w:rPr>
        <w:fldChar w:fldCharType="separate"/>
      </w:r>
      <w:r w:rsidR="004E69DC">
        <w:rPr>
          <w:noProof/>
          <w:sz w:val="20"/>
        </w:rPr>
        <w:t>7</w:t>
      </w:r>
      <w:r>
        <w:rPr>
          <w:sz w:val="20"/>
        </w:rPr>
        <w:fldChar w:fldCharType="end"/>
      </w:r>
      <w:bookmarkEnd w:id="21"/>
      <w:r>
        <w:rPr>
          <w:sz w:val="20"/>
        </w:rPr>
        <w:t>: Patch-assignment validation loss on CIFAR-10.</w:t>
      </w:r>
    </w:p>
    <w:p w14:paraId="6F35120F" w14:textId="77777777" w:rsidR="00522DE2" w:rsidRDefault="00BF0975">
      <w:pPr>
        <w:pStyle w:val="Heading2"/>
      </w:pPr>
      <w:r>
        <w:lastRenderedPageBreak/>
        <w:t>4.5 Performance under Limited Training Data</w:t>
      </w:r>
    </w:p>
    <w:p w14:paraId="6202BEB6" w14:textId="77777777" w:rsidR="00522DE2" w:rsidRDefault="00BF0975">
      <w:r>
        <w:t>The reduced-data experiment asks whether a fixed spatial prior becomes more useful when fewer labelled images are available. Learnable absolute PE and shifted multiplicative PE are trained with 1,000, 5,000, 10,000 and all available training examples. Within each data size, both models use the same sampled images, architecture, learning rate, optimisation, checkpoint rule and seeds. The paired difference therefore isolates the PE choice as far as this protocol allows.</w:t>
      </w:r>
    </w:p>
    <w:p w14:paraId="1E5B304C" w14:textId="1791569D"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9</w:t>
      </w:r>
      <w:r>
        <w:rPr>
          <w:sz w:val="20"/>
        </w:rPr>
        <w:fldChar w:fldCharType="end"/>
      </w:r>
      <w:r>
        <w:rPr>
          <w:sz w:val="20"/>
        </w:rPr>
        <w:t>. Reduced-data PE comparison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500"/>
        <w:gridCol w:w="2600"/>
        <w:gridCol w:w="1700"/>
        <w:gridCol w:w="1600"/>
        <w:gridCol w:w="1600"/>
      </w:tblGrid>
      <w:tr w:rsidR="00522DE2" w14:paraId="027BDACA" w14:textId="77777777">
        <w:trPr>
          <w:tblHeader/>
        </w:trPr>
        <w:tc>
          <w:tcPr>
            <w:tcW w:w="1500" w:type="dxa"/>
            <w:tcBorders>
              <w:bottom w:val="single" w:sz="6" w:space="0" w:color="000000"/>
            </w:tcBorders>
            <w:tcMar>
              <w:top w:w="90" w:type="dxa"/>
              <w:left w:w="100" w:type="dxa"/>
              <w:bottom w:w="90" w:type="dxa"/>
              <w:right w:w="100" w:type="dxa"/>
            </w:tcMar>
            <w:vAlign w:val="center"/>
          </w:tcPr>
          <w:p w14:paraId="2B58A7D5" w14:textId="77777777" w:rsidR="00522DE2" w:rsidRDefault="00BF0975">
            <w:pPr>
              <w:spacing w:after="0"/>
              <w:jc w:val="left"/>
            </w:pPr>
            <w:r>
              <w:rPr>
                <w:b/>
                <w:sz w:val="17"/>
              </w:rPr>
              <w:t>Training examples</w:t>
            </w:r>
          </w:p>
        </w:tc>
        <w:tc>
          <w:tcPr>
            <w:tcW w:w="2600" w:type="dxa"/>
            <w:tcBorders>
              <w:bottom w:val="single" w:sz="6" w:space="0" w:color="000000"/>
            </w:tcBorders>
            <w:tcMar>
              <w:top w:w="90" w:type="dxa"/>
              <w:left w:w="100" w:type="dxa"/>
              <w:bottom w:w="90" w:type="dxa"/>
              <w:right w:w="100" w:type="dxa"/>
            </w:tcMar>
            <w:vAlign w:val="center"/>
          </w:tcPr>
          <w:p w14:paraId="032B5027" w14:textId="77777777" w:rsidR="00522DE2" w:rsidRDefault="00BF0975">
            <w:pPr>
              <w:spacing w:after="0"/>
              <w:jc w:val="center"/>
            </w:pPr>
            <w:r>
              <w:rPr>
                <w:b/>
                <w:sz w:val="17"/>
              </w:rPr>
              <w:t>Model</w:t>
            </w:r>
          </w:p>
        </w:tc>
        <w:tc>
          <w:tcPr>
            <w:tcW w:w="1700" w:type="dxa"/>
            <w:tcBorders>
              <w:bottom w:val="single" w:sz="6" w:space="0" w:color="000000"/>
            </w:tcBorders>
            <w:tcMar>
              <w:top w:w="90" w:type="dxa"/>
              <w:left w:w="100" w:type="dxa"/>
              <w:bottom w:w="90" w:type="dxa"/>
              <w:right w:w="100" w:type="dxa"/>
            </w:tcMar>
            <w:vAlign w:val="center"/>
          </w:tcPr>
          <w:p w14:paraId="2FAE9D5E" w14:textId="77777777" w:rsidR="00522DE2" w:rsidRDefault="00BF0975">
            <w:pPr>
              <w:spacing w:after="0"/>
              <w:jc w:val="center"/>
            </w:pPr>
            <w:r>
              <w:rPr>
                <w:b/>
                <w:sz w:val="17"/>
              </w:rPr>
              <w:t>Test accuracy</w:t>
            </w:r>
          </w:p>
        </w:tc>
        <w:tc>
          <w:tcPr>
            <w:tcW w:w="1600" w:type="dxa"/>
            <w:tcBorders>
              <w:bottom w:val="single" w:sz="6" w:space="0" w:color="000000"/>
            </w:tcBorders>
            <w:tcMar>
              <w:top w:w="90" w:type="dxa"/>
              <w:left w:w="100" w:type="dxa"/>
              <w:bottom w:w="90" w:type="dxa"/>
              <w:right w:w="100" w:type="dxa"/>
            </w:tcMar>
            <w:vAlign w:val="center"/>
          </w:tcPr>
          <w:p w14:paraId="58D7F7A4" w14:textId="77777777" w:rsidR="00522DE2" w:rsidRDefault="00BF0975">
            <w:pPr>
              <w:spacing w:after="0"/>
              <w:jc w:val="center"/>
            </w:pPr>
            <w:r>
              <w:rPr>
                <w:b/>
                <w:sz w:val="17"/>
              </w:rPr>
              <w:t>Test loss</w:t>
            </w:r>
          </w:p>
        </w:tc>
        <w:tc>
          <w:tcPr>
            <w:tcW w:w="1600" w:type="dxa"/>
            <w:tcBorders>
              <w:bottom w:val="single" w:sz="6" w:space="0" w:color="000000"/>
            </w:tcBorders>
            <w:tcMar>
              <w:top w:w="90" w:type="dxa"/>
              <w:left w:w="100" w:type="dxa"/>
              <w:bottom w:w="90" w:type="dxa"/>
              <w:right w:w="100" w:type="dxa"/>
            </w:tcMar>
            <w:vAlign w:val="center"/>
          </w:tcPr>
          <w:p w14:paraId="70442CE9" w14:textId="77777777" w:rsidR="00522DE2" w:rsidRDefault="00BF0975">
            <w:pPr>
              <w:spacing w:after="0"/>
              <w:jc w:val="center"/>
            </w:pPr>
            <w:r>
              <w:rPr>
                <w:b/>
                <w:sz w:val="17"/>
              </w:rPr>
              <w:t>Paired difference</w:t>
            </w:r>
          </w:p>
        </w:tc>
      </w:tr>
      <w:tr w:rsidR="00522DE2" w14:paraId="0D7DBEC9" w14:textId="77777777">
        <w:tc>
          <w:tcPr>
            <w:tcW w:w="1500" w:type="dxa"/>
            <w:tcMar>
              <w:top w:w="90" w:type="dxa"/>
              <w:left w:w="100" w:type="dxa"/>
              <w:bottom w:w="90" w:type="dxa"/>
              <w:right w:w="100" w:type="dxa"/>
            </w:tcMar>
            <w:vAlign w:val="center"/>
          </w:tcPr>
          <w:p w14:paraId="64851979" w14:textId="77777777" w:rsidR="00522DE2" w:rsidRDefault="00BF0975">
            <w:pPr>
              <w:spacing w:after="0" w:line="240" w:lineRule="auto"/>
              <w:jc w:val="left"/>
            </w:pPr>
            <w:r>
              <w:rPr>
                <w:sz w:val="17"/>
              </w:rPr>
              <w:t>1,000</w:t>
            </w:r>
          </w:p>
        </w:tc>
        <w:tc>
          <w:tcPr>
            <w:tcW w:w="2600" w:type="dxa"/>
            <w:tcMar>
              <w:top w:w="90" w:type="dxa"/>
              <w:left w:w="100" w:type="dxa"/>
              <w:bottom w:w="90" w:type="dxa"/>
              <w:right w:w="100" w:type="dxa"/>
            </w:tcMar>
            <w:vAlign w:val="center"/>
          </w:tcPr>
          <w:p w14:paraId="612F2999"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695BBFFA" w14:textId="77777777" w:rsidR="00522DE2" w:rsidRDefault="00BF0975">
            <w:pPr>
              <w:spacing w:after="0" w:line="240" w:lineRule="auto"/>
              <w:jc w:val="center"/>
            </w:pPr>
            <w:r>
              <w:rPr>
                <w:sz w:val="17"/>
              </w:rPr>
              <w:t>38.14 ± 0.82%</w:t>
            </w:r>
          </w:p>
        </w:tc>
        <w:tc>
          <w:tcPr>
            <w:tcW w:w="1600" w:type="dxa"/>
            <w:tcMar>
              <w:top w:w="90" w:type="dxa"/>
              <w:left w:w="100" w:type="dxa"/>
              <w:bottom w:w="90" w:type="dxa"/>
              <w:right w:w="100" w:type="dxa"/>
            </w:tcMar>
            <w:vAlign w:val="center"/>
          </w:tcPr>
          <w:p w14:paraId="7FE0BB26" w14:textId="77777777" w:rsidR="00522DE2" w:rsidRDefault="00BF0975">
            <w:pPr>
              <w:spacing w:after="0" w:line="240" w:lineRule="auto"/>
              <w:jc w:val="center"/>
            </w:pPr>
            <w:r>
              <w:rPr>
                <w:sz w:val="17"/>
              </w:rPr>
              <w:t>2.1234 ± 0.1120</w:t>
            </w:r>
          </w:p>
        </w:tc>
        <w:tc>
          <w:tcPr>
            <w:tcW w:w="1600" w:type="dxa"/>
            <w:tcMar>
              <w:top w:w="90" w:type="dxa"/>
              <w:left w:w="100" w:type="dxa"/>
              <w:bottom w:w="90" w:type="dxa"/>
              <w:right w:w="100" w:type="dxa"/>
            </w:tcMar>
            <w:vAlign w:val="center"/>
          </w:tcPr>
          <w:p w14:paraId="6B789F22" w14:textId="77777777" w:rsidR="00522DE2" w:rsidRDefault="00BF0975">
            <w:pPr>
              <w:spacing w:after="0" w:line="240" w:lineRule="auto"/>
              <w:jc w:val="center"/>
            </w:pPr>
            <w:r>
              <w:rPr>
                <w:sz w:val="17"/>
              </w:rPr>
              <w:t>Reference</w:t>
            </w:r>
          </w:p>
        </w:tc>
      </w:tr>
      <w:tr w:rsidR="00522DE2" w14:paraId="218CE0B6" w14:textId="77777777">
        <w:tc>
          <w:tcPr>
            <w:tcW w:w="1500" w:type="dxa"/>
            <w:tcMar>
              <w:top w:w="90" w:type="dxa"/>
              <w:left w:w="100" w:type="dxa"/>
              <w:bottom w:w="90" w:type="dxa"/>
              <w:right w:w="100" w:type="dxa"/>
            </w:tcMar>
            <w:vAlign w:val="center"/>
          </w:tcPr>
          <w:p w14:paraId="2C0CD9FF" w14:textId="77777777" w:rsidR="00522DE2" w:rsidRDefault="00BF0975">
            <w:pPr>
              <w:spacing w:after="0" w:line="240" w:lineRule="auto"/>
              <w:jc w:val="left"/>
            </w:pPr>
            <w:r>
              <w:rPr>
                <w:sz w:val="17"/>
              </w:rPr>
              <w:t>1,000</w:t>
            </w:r>
          </w:p>
        </w:tc>
        <w:tc>
          <w:tcPr>
            <w:tcW w:w="2600" w:type="dxa"/>
            <w:tcMar>
              <w:top w:w="90" w:type="dxa"/>
              <w:left w:w="100" w:type="dxa"/>
              <w:bottom w:w="90" w:type="dxa"/>
              <w:right w:w="100" w:type="dxa"/>
            </w:tcMar>
            <w:vAlign w:val="center"/>
          </w:tcPr>
          <w:p w14:paraId="0413CF3A"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07019168" w14:textId="77777777" w:rsidR="00522DE2" w:rsidRDefault="00BF0975">
            <w:pPr>
              <w:spacing w:after="0" w:line="240" w:lineRule="auto"/>
              <w:jc w:val="center"/>
            </w:pPr>
            <w:r>
              <w:rPr>
                <w:sz w:val="17"/>
                <w:b w:val="1"/>
                <w:bCs w:val="1"/>
              </w:rPr>
              <w:t>40.68 ± 1.43%</w:t>
            </w:r>
          </w:p>
        </w:tc>
        <w:tc>
          <w:tcPr>
            <w:tcW w:w="1600" w:type="dxa"/>
            <w:tcMar>
              <w:top w:w="90" w:type="dxa"/>
              <w:left w:w="100" w:type="dxa"/>
              <w:bottom w:w="90" w:type="dxa"/>
              <w:right w:w="100" w:type="dxa"/>
            </w:tcMar>
            <w:vAlign w:val="center"/>
          </w:tcPr>
          <w:p w14:paraId="6233F222" w14:textId="77777777" w:rsidR="00522DE2" w:rsidRDefault="00BF0975">
            <w:pPr>
              <w:spacing w:after="0" w:line="240" w:lineRule="auto"/>
              <w:jc w:val="center"/>
            </w:pPr>
            <w:r>
              <w:rPr>
                <w:sz w:val="17"/>
                <w:b w:val="1"/>
                <w:bCs w:val="1"/>
              </w:rPr>
              <w:t>1.8576 ± 0.1205</w:t>
            </w:r>
          </w:p>
        </w:tc>
        <w:tc>
          <w:tcPr>
            <w:tcW w:w="1600" w:type="dxa"/>
            <w:tcMar>
              <w:top w:w="90" w:type="dxa"/>
              <w:left w:w="100" w:type="dxa"/>
              <w:bottom w:w="90" w:type="dxa"/>
              <w:right w:w="100" w:type="dxa"/>
            </w:tcMar>
            <w:vAlign w:val="center"/>
          </w:tcPr>
          <w:p w14:paraId="7DDCFAC2" w14:textId="77777777" w:rsidR="00522DE2" w:rsidRDefault="00BF0975">
            <w:pPr>
              <w:spacing w:after="0" w:line="240" w:lineRule="auto"/>
              <w:jc w:val="center"/>
            </w:pPr>
            <w:r>
              <w:rPr>
                <w:sz w:val="17"/>
              </w:rPr>
              <w:t>+2.54 pp [1.19, 3.89] pp</w:t>
            </w:r>
          </w:p>
        </w:tc>
      </w:tr>
      <w:tr w:rsidR="00522DE2" w14:paraId="78497ADC" w14:textId="77777777">
        <w:tc>
          <w:tcPr>
            <w:tcW w:w="1500" w:type="dxa"/>
            <w:tcMar>
              <w:top w:w="90" w:type="dxa"/>
              <w:left w:w="100" w:type="dxa"/>
              <w:bottom w:w="90" w:type="dxa"/>
              <w:right w:w="100" w:type="dxa"/>
            </w:tcMar>
            <w:vAlign w:val="center"/>
          </w:tcPr>
          <w:p w14:paraId="34955FE3" w14:textId="77777777" w:rsidR="00522DE2" w:rsidRDefault="00BF0975">
            <w:pPr>
              <w:spacing w:after="0" w:line="240" w:lineRule="auto"/>
              <w:jc w:val="left"/>
            </w:pPr>
            <w:r>
              <w:rPr>
                <w:sz w:val="17"/>
              </w:rPr>
              <w:t>5,000</w:t>
            </w:r>
          </w:p>
        </w:tc>
        <w:tc>
          <w:tcPr>
            <w:tcW w:w="2600" w:type="dxa"/>
            <w:tcMar>
              <w:top w:w="90" w:type="dxa"/>
              <w:left w:w="100" w:type="dxa"/>
              <w:bottom w:w="90" w:type="dxa"/>
              <w:right w:w="100" w:type="dxa"/>
            </w:tcMar>
            <w:vAlign w:val="center"/>
          </w:tcPr>
          <w:p w14:paraId="618C6307"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61BFDC08" w14:textId="77777777" w:rsidR="00522DE2" w:rsidRDefault="00BF0975">
            <w:pPr>
              <w:spacing w:after="0" w:line="240" w:lineRule="auto"/>
              <w:jc w:val="center"/>
            </w:pPr>
            <w:r>
              <w:rPr>
                <w:sz w:val="17"/>
                <w:b w:val="1"/>
                <w:bCs w:val="1"/>
              </w:rPr>
              <w:t>55.28 ± 0.90%</w:t>
            </w:r>
          </w:p>
        </w:tc>
        <w:tc>
          <w:tcPr>
            <w:tcW w:w="1600" w:type="dxa"/>
            <w:tcMar>
              <w:top w:w="90" w:type="dxa"/>
              <w:left w:w="100" w:type="dxa"/>
              <w:bottom w:w="90" w:type="dxa"/>
              <w:right w:w="100" w:type="dxa"/>
            </w:tcMar>
            <w:vAlign w:val="center"/>
          </w:tcPr>
          <w:p w14:paraId="18690C9B" w14:textId="77777777" w:rsidR="00522DE2" w:rsidRDefault="00BF0975">
            <w:pPr>
              <w:spacing w:after="0" w:line="240" w:lineRule="auto"/>
              <w:jc w:val="center"/>
            </w:pPr>
            <w:r>
              <w:rPr>
                <w:sz w:val="17"/>
                <w:b w:val="1"/>
                <w:bCs w:val="1"/>
              </w:rPr>
              <w:t>1.3382 ± 0.0426</w:t>
            </w:r>
          </w:p>
        </w:tc>
        <w:tc>
          <w:tcPr>
            <w:tcW w:w="1600" w:type="dxa"/>
            <w:tcMar>
              <w:top w:w="90" w:type="dxa"/>
              <w:left w:w="100" w:type="dxa"/>
              <w:bottom w:w="90" w:type="dxa"/>
              <w:right w:w="100" w:type="dxa"/>
            </w:tcMar>
            <w:vAlign w:val="center"/>
          </w:tcPr>
          <w:p w14:paraId="111546CA" w14:textId="77777777" w:rsidR="00522DE2" w:rsidRDefault="00BF0975">
            <w:pPr>
              <w:spacing w:after="0" w:line="240" w:lineRule="auto"/>
              <w:jc w:val="center"/>
            </w:pPr>
            <w:r>
              <w:rPr>
                <w:sz w:val="17"/>
              </w:rPr>
              <w:t>Reference</w:t>
            </w:r>
          </w:p>
        </w:tc>
      </w:tr>
      <w:tr w:rsidR="00522DE2" w14:paraId="34221457" w14:textId="77777777">
        <w:tc>
          <w:tcPr>
            <w:tcW w:w="1500" w:type="dxa"/>
            <w:tcMar>
              <w:top w:w="90" w:type="dxa"/>
              <w:left w:w="100" w:type="dxa"/>
              <w:bottom w:w="90" w:type="dxa"/>
              <w:right w:w="100" w:type="dxa"/>
            </w:tcMar>
            <w:vAlign w:val="center"/>
          </w:tcPr>
          <w:p w14:paraId="35FB5511" w14:textId="77777777" w:rsidR="00522DE2" w:rsidRDefault="00BF0975">
            <w:pPr>
              <w:spacing w:after="0" w:line="240" w:lineRule="auto"/>
              <w:jc w:val="left"/>
            </w:pPr>
            <w:r>
              <w:rPr>
                <w:sz w:val="17"/>
              </w:rPr>
              <w:t>5,000</w:t>
            </w:r>
          </w:p>
        </w:tc>
        <w:tc>
          <w:tcPr>
            <w:tcW w:w="2600" w:type="dxa"/>
            <w:tcMar>
              <w:top w:w="90" w:type="dxa"/>
              <w:left w:w="100" w:type="dxa"/>
              <w:bottom w:w="90" w:type="dxa"/>
              <w:right w:w="100" w:type="dxa"/>
            </w:tcMar>
            <w:vAlign w:val="center"/>
          </w:tcPr>
          <w:p w14:paraId="05FB2C7E"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0FE6A3E9" w14:textId="77777777" w:rsidR="00522DE2" w:rsidRDefault="00BF0975">
            <w:pPr>
              <w:spacing w:after="0" w:line="240" w:lineRule="auto"/>
              <w:jc w:val="center"/>
            </w:pPr>
            <w:r>
              <w:rPr>
                <w:sz w:val="17"/>
              </w:rPr>
              <w:t>53.47 ± 0.83%</w:t>
            </w:r>
          </w:p>
        </w:tc>
        <w:tc>
          <w:tcPr>
            <w:tcW w:w="1600" w:type="dxa"/>
            <w:tcMar>
              <w:top w:w="90" w:type="dxa"/>
              <w:left w:w="100" w:type="dxa"/>
              <w:bottom w:w="90" w:type="dxa"/>
              <w:right w:w="100" w:type="dxa"/>
            </w:tcMar>
            <w:vAlign w:val="center"/>
          </w:tcPr>
          <w:p w14:paraId="1E2AD5B9" w14:textId="77777777" w:rsidR="00522DE2" w:rsidRDefault="00BF0975">
            <w:pPr>
              <w:spacing w:after="0" w:line="240" w:lineRule="auto"/>
              <w:jc w:val="center"/>
            </w:pPr>
            <w:r>
              <w:rPr>
                <w:sz w:val="17"/>
              </w:rPr>
              <w:t>1.3688 ± 0.0631</w:t>
            </w:r>
          </w:p>
        </w:tc>
        <w:tc>
          <w:tcPr>
            <w:tcW w:w="1600" w:type="dxa"/>
            <w:tcMar>
              <w:top w:w="90" w:type="dxa"/>
              <w:left w:w="100" w:type="dxa"/>
              <w:bottom w:w="90" w:type="dxa"/>
              <w:right w:w="100" w:type="dxa"/>
            </w:tcMar>
            <w:vAlign w:val="center"/>
          </w:tcPr>
          <w:p w14:paraId="6C55D6E6" w14:textId="77777777" w:rsidR="00522DE2" w:rsidRDefault="00BF0975">
            <w:pPr>
              <w:spacing w:after="0" w:line="240" w:lineRule="auto"/>
              <w:jc w:val="center"/>
            </w:pPr>
            <w:r>
              <w:rPr>
                <w:sz w:val="17"/>
              </w:rPr>
              <w:t>−1.81 pp [−2.51, −1.11] pp</w:t>
            </w:r>
          </w:p>
        </w:tc>
      </w:tr>
      <w:tr w:rsidR="00522DE2" w14:paraId="6EE16635" w14:textId="77777777">
        <w:tc>
          <w:tcPr>
            <w:tcW w:w="1500" w:type="dxa"/>
            <w:tcMar>
              <w:top w:w="90" w:type="dxa"/>
              <w:left w:w="100" w:type="dxa"/>
              <w:bottom w:w="90" w:type="dxa"/>
              <w:right w:w="100" w:type="dxa"/>
            </w:tcMar>
            <w:vAlign w:val="center"/>
          </w:tcPr>
          <w:p w14:paraId="1A731EE8" w14:textId="77777777" w:rsidR="00522DE2" w:rsidRDefault="00BF0975">
            <w:pPr>
              <w:spacing w:after="0" w:line="240" w:lineRule="auto"/>
              <w:jc w:val="left"/>
            </w:pPr>
            <w:r>
              <w:rPr>
                <w:sz w:val="17"/>
              </w:rPr>
              <w:t>10,000</w:t>
            </w:r>
          </w:p>
        </w:tc>
        <w:tc>
          <w:tcPr>
            <w:tcW w:w="2600" w:type="dxa"/>
            <w:tcMar>
              <w:top w:w="90" w:type="dxa"/>
              <w:left w:w="100" w:type="dxa"/>
              <w:bottom w:w="90" w:type="dxa"/>
              <w:right w:w="100" w:type="dxa"/>
            </w:tcMar>
            <w:vAlign w:val="center"/>
          </w:tcPr>
          <w:p w14:paraId="4D7560D4"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2B1087D9" w14:textId="77777777" w:rsidR="00522DE2" w:rsidRDefault="00BF0975">
            <w:pPr>
              <w:spacing w:after="0" w:line="240" w:lineRule="auto"/>
              <w:jc w:val="center"/>
            </w:pPr>
            <w:r>
              <w:rPr>
                <w:sz w:val="17"/>
                <w:b w:val="1"/>
                <w:bCs w:val="1"/>
              </w:rPr>
              <w:t>62.37 ± 1.56%</w:t>
            </w:r>
          </w:p>
        </w:tc>
        <w:tc>
          <w:tcPr>
            <w:tcW w:w="1600" w:type="dxa"/>
            <w:tcMar>
              <w:top w:w="90" w:type="dxa"/>
              <w:left w:w="100" w:type="dxa"/>
              <w:bottom w:w="90" w:type="dxa"/>
              <w:right w:w="100" w:type="dxa"/>
            </w:tcMar>
            <w:vAlign w:val="center"/>
          </w:tcPr>
          <w:p w14:paraId="343859B6" w14:textId="77777777" w:rsidR="00522DE2" w:rsidRDefault="00BF0975">
            <w:pPr>
              <w:spacing w:after="0" w:line="240" w:lineRule="auto"/>
              <w:jc w:val="center"/>
            </w:pPr>
            <w:r>
              <w:rPr>
                <w:sz w:val="17"/>
                <w:b w:val="1"/>
                <w:bCs w:val="1"/>
              </w:rPr>
              <w:t>1.3212 ± 0.1508</w:t>
            </w:r>
          </w:p>
        </w:tc>
        <w:tc>
          <w:tcPr>
            <w:tcW w:w="1600" w:type="dxa"/>
            <w:tcMar>
              <w:top w:w="90" w:type="dxa"/>
              <w:left w:w="100" w:type="dxa"/>
              <w:bottom w:w="90" w:type="dxa"/>
              <w:right w:w="100" w:type="dxa"/>
            </w:tcMar>
            <w:vAlign w:val="center"/>
          </w:tcPr>
          <w:p w14:paraId="70D678B3" w14:textId="77777777" w:rsidR="00522DE2" w:rsidRDefault="00BF0975">
            <w:pPr>
              <w:spacing w:after="0" w:line="240" w:lineRule="auto"/>
              <w:jc w:val="center"/>
            </w:pPr>
            <w:r>
              <w:rPr>
                <w:sz w:val="17"/>
              </w:rPr>
              <w:t>Reference</w:t>
            </w:r>
          </w:p>
        </w:tc>
      </w:tr>
      <w:tr w:rsidR="00522DE2" w14:paraId="30CFFE07" w14:textId="77777777">
        <w:tc>
          <w:tcPr>
            <w:tcW w:w="1500" w:type="dxa"/>
            <w:tcMar>
              <w:top w:w="90" w:type="dxa"/>
              <w:left w:w="100" w:type="dxa"/>
              <w:bottom w:w="90" w:type="dxa"/>
              <w:right w:w="100" w:type="dxa"/>
            </w:tcMar>
            <w:vAlign w:val="center"/>
          </w:tcPr>
          <w:p w14:paraId="581AF0C5" w14:textId="77777777" w:rsidR="00522DE2" w:rsidRDefault="00BF0975">
            <w:pPr>
              <w:spacing w:after="0" w:line="240" w:lineRule="auto"/>
              <w:jc w:val="left"/>
            </w:pPr>
            <w:r>
              <w:rPr>
                <w:sz w:val="17"/>
              </w:rPr>
              <w:t>10,000</w:t>
            </w:r>
          </w:p>
        </w:tc>
        <w:tc>
          <w:tcPr>
            <w:tcW w:w="2600" w:type="dxa"/>
            <w:tcMar>
              <w:top w:w="90" w:type="dxa"/>
              <w:left w:w="100" w:type="dxa"/>
              <w:bottom w:w="90" w:type="dxa"/>
              <w:right w:w="100" w:type="dxa"/>
            </w:tcMar>
            <w:vAlign w:val="center"/>
          </w:tcPr>
          <w:p w14:paraId="1C93969A"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65054E09" w14:textId="77777777" w:rsidR="00522DE2" w:rsidRDefault="00BF0975">
            <w:pPr>
              <w:spacing w:after="0" w:line="240" w:lineRule="auto"/>
              <w:jc w:val="center"/>
            </w:pPr>
            <w:r>
              <w:rPr>
                <w:sz w:val="17"/>
              </w:rPr>
              <w:t>61.42 ± 0.92%</w:t>
            </w:r>
          </w:p>
        </w:tc>
        <w:tc>
          <w:tcPr>
            <w:tcW w:w="1600" w:type="dxa"/>
            <w:tcMar>
              <w:top w:w="90" w:type="dxa"/>
              <w:left w:w="100" w:type="dxa"/>
              <w:bottom w:w="90" w:type="dxa"/>
              <w:right w:w="100" w:type="dxa"/>
            </w:tcMar>
            <w:vAlign w:val="center"/>
          </w:tcPr>
          <w:p w14:paraId="178FA309" w14:textId="77777777" w:rsidR="00522DE2" w:rsidRDefault="00BF0975">
            <w:pPr>
              <w:spacing w:after="0" w:line="240" w:lineRule="auto"/>
              <w:jc w:val="center"/>
            </w:pPr>
            <w:r>
              <w:rPr>
                <w:sz w:val="17"/>
              </w:rPr>
              <w:t>1.3270 ± 0.1826</w:t>
            </w:r>
          </w:p>
        </w:tc>
        <w:tc>
          <w:tcPr>
            <w:tcW w:w="1600" w:type="dxa"/>
            <w:tcMar>
              <w:top w:w="90" w:type="dxa"/>
              <w:left w:w="100" w:type="dxa"/>
              <w:bottom w:w="90" w:type="dxa"/>
              <w:right w:w="100" w:type="dxa"/>
            </w:tcMar>
            <w:vAlign w:val="center"/>
          </w:tcPr>
          <w:p w14:paraId="7C6E5C18" w14:textId="77777777" w:rsidR="00522DE2" w:rsidRDefault="00BF0975">
            <w:pPr>
              <w:spacing w:after="0" w:line="240" w:lineRule="auto"/>
              <w:jc w:val="center"/>
            </w:pPr>
            <w:r>
              <w:rPr>
                <w:sz w:val="17"/>
              </w:rPr>
              <w:t>−0.95 pp [−3.06, 1.15] pp</w:t>
            </w:r>
          </w:p>
        </w:tc>
      </w:tr>
      <w:tr w:rsidR="00522DE2" w14:paraId="1FB077FE" w14:textId="77777777">
        <w:tc>
          <w:tcPr>
            <w:tcW w:w="1500" w:type="dxa"/>
            <w:tcMar>
              <w:top w:w="90" w:type="dxa"/>
              <w:left w:w="100" w:type="dxa"/>
              <w:bottom w:w="90" w:type="dxa"/>
              <w:right w:w="100" w:type="dxa"/>
            </w:tcMar>
            <w:vAlign w:val="center"/>
          </w:tcPr>
          <w:p w14:paraId="36512F61" w14:textId="77777777" w:rsidR="00522DE2" w:rsidRDefault="00BF0975">
            <w:pPr>
              <w:spacing w:after="0" w:line="240" w:lineRule="auto"/>
              <w:jc w:val="left"/>
            </w:pPr>
            <w:r>
              <w:rPr>
                <w:sz w:val="17"/>
              </w:rPr>
              <w:t>Full</w:t>
            </w:r>
          </w:p>
        </w:tc>
        <w:tc>
          <w:tcPr>
            <w:tcW w:w="2600" w:type="dxa"/>
            <w:tcMar>
              <w:top w:w="90" w:type="dxa"/>
              <w:left w:w="100" w:type="dxa"/>
              <w:bottom w:w="90" w:type="dxa"/>
              <w:right w:w="100" w:type="dxa"/>
            </w:tcMar>
            <w:vAlign w:val="center"/>
          </w:tcPr>
          <w:p w14:paraId="63937819"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2B734B72" w14:textId="77777777" w:rsidR="00522DE2" w:rsidRDefault="00BF0975">
            <w:pPr>
              <w:spacing w:after="0" w:line="240" w:lineRule="auto"/>
              <w:jc w:val="center"/>
            </w:pPr>
            <w:r>
              <w:rPr>
                <w:sz w:val="16"/>
                <w:b w:val="1"/>
                <w:bCs w:val="1"/>
              </w:rPr>
              <w:t>78.60 ± 0.42%</w:t>
            </w:r>
          </w:p>
        </w:tc>
        <w:tc>
          <w:tcPr>
            <w:tcW w:w="1600" w:type="dxa"/>
            <w:tcMar>
              <w:top w:w="90" w:type="dxa"/>
              <w:left w:w="100" w:type="dxa"/>
              <w:bottom w:w="90" w:type="dxa"/>
              <w:right w:w="100" w:type="dxa"/>
            </w:tcMar>
            <w:vAlign w:val="center"/>
          </w:tcPr>
          <w:p w14:paraId="012231A1" w14:textId="77777777" w:rsidR="00522DE2" w:rsidRDefault="00BF0975">
            <w:pPr>
              <w:spacing w:after="0" w:line="240" w:lineRule="auto"/>
              <w:jc w:val="center"/>
            </w:pPr>
            <w:r>
              <w:rPr>
                <w:sz w:val="16"/>
              </w:rPr>
              <w:t>0.7671 ± 0.1216</w:t>
            </w:r>
          </w:p>
        </w:tc>
        <w:tc>
          <w:tcPr>
            <w:tcW w:w="1600" w:type="dxa"/>
            <w:tcMar>
              <w:top w:w="90" w:type="dxa"/>
              <w:left w:w="100" w:type="dxa"/>
              <w:bottom w:w="90" w:type="dxa"/>
              <w:right w:w="100" w:type="dxa"/>
            </w:tcMar>
            <w:vAlign w:val="center"/>
          </w:tcPr>
          <w:p w14:paraId="17D69F78" w14:textId="77777777" w:rsidR="00522DE2" w:rsidRDefault="00BF0975">
            <w:pPr>
              <w:spacing w:after="0" w:line="240" w:lineRule="auto"/>
              <w:jc w:val="center"/>
            </w:pPr>
            <w:r>
              <w:rPr>
                <w:sz w:val="16"/>
              </w:rPr>
              <w:t>Reference</w:t>
            </w:r>
          </w:p>
        </w:tc>
      </w:tr>
      <w:tr w:rsidR="00522DE2" w14:paraId="5F290E3E" w14:textId="77777777">
        <w:tc>
          <w:tcPr>
            <w:tcW w:w="1500" w:type="dxa"/>
            <w:tcMar>
              <w:top w:w="90" w:type="dxa"/>
              <w:left w:w="100" w:type="dxa"/>
              <w:bottom w:w="90" w:type="dxa"/>
              <w:right w:w="100" w:type="dxa"/>
            </w:tcMar>
            <w:vAlign w:val="center"/>
          </w:tcPr>
          <w:p w14:paraId="4FF80F7F" w14:textId="77777777" w:rsidR="00522DE2" w:rsidRDefault="00BF0975">
            <w:pPr>
              <w:spacing w:after="0" w:line="240" w:lineRule="auto"/>
              <w:jc w:val="left"/>
            </w:pPr>
            <w:r>
              <w:rPr>
                <w:sz w:val="17"/>
              </w:rPr>
              <w:t>Full</w:t>
            </w:r>
          </w:p>
        </w:tc>
        <w:tc>
          <w:tcPr>
            <w:tcW w:w="2600" w:type="dxa"/>
            <w:tcMar>
              <w:top w:w="90" w:type="dxa"/>
              <w:left w:w="100" w:type="dxa"/>
              <w:bottom w:w="90" w:type="dxa"/>
              <w:right w:w="100" w:type="dxa"/>
            </w:tcMar>
            <w:vAlign w:val="center"/>
          </w:tcPr>
          <w:p w14:paraId="7A775084"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4E58C426" w14:textId="77777777" w:rsidR="00522DE2" w:rsidRDefault="00BF0975">
            <w:pPr>
              <w:spacing w:after="0" w:line="240" w:lineRule="auto"/>
              <w:jc w:val="center"/>
            </w:pPr>
            <w:r>
              <w:rPr>
                <w:sz w:val="16"/>
              </w:rPr>
              <w:t>78.08 ± 0.09%</w:t>
            </w:r>
          </w:p>
        </w:tc>
        <w:tc>
          <w:tcPr>
            <w:tcW w:w="1600" w:type="dxa"/>
            <w:tcMar>
              <w:top w:w="90" w:type="dxa"/>
              <w:left w:w="100" w:type="dxa"/>
              <w:bottom w:w="90" w:type="dxa"/>
              <w:right w:w="100" w:type="dxa"/>
            </w:tcMar>
            <w:vAlign w:val="center"/>
          </w:tcPr>
          <w:p w14:paraId="3E69CABC" w14:textId="77777777" w:rsidR="00522DE2" w:rsidRDefault="00BF0975">
            <w:pPr>
              <w:spacing w:after="0" w:line="240" w:lineRule="auto"/>
              <w:jc w:val="center"/>
            </w:pPr>
            <w:r>
              <w:rPr>
                <w:sz w:val="16"/>
                <w:b w:val="1"/>
                <w:bCs w:val="1"/>
              </w:rPr>
              <w:t>0.7535 ± 0.0727</w:t>
            </w:r>
          </w:p>
        </w:tc>
        <w:tc>
          <w:tcPr>
            <w:tcW w:w="1600" w:type="dxa"/>
            <w:tcMar>
              <w:top w:w="90" w:type="dxa"/>
              <w:left w:w="100" w:type="dxa"/>
              <w:bottom w:w="90" w:type="dxa"/>
              <w:right w:w="100" w:type="dxa"/>
            </w:tcMar>
            <w:vAlign w:val="center"/>
          </w:tcPr>
          <w:p w14:paraId="7B935B78" w14:textId="77777777" w:rsidR="00522DE2" w:rsidRDefault="00BF0975">
            <w:pPr>
              <w:spacing w:after="0" w:line="240" w:lineRule="auto"/>
              <w:jc w:val="center"/>
            </w:pPr>
            <w:r>
              <w:rPr>
                <w:sz w:val="16"/>
              </w:rPr>
              <w:t>−0.52 pp [−0.89, −0.15] pp</w:t>
            </w:r>
          </w:p>
        </w:tc>
      </w:tr>
    </w:tbl>
    <w:p w14:paraId="45143FE8" w14:textId="17D5FC66" w:rsidR="00522DE2" w:rsidRDefault="00BF0975">
      <w:r>
        <w:t>With 1,000 training examples, shifted multiplicative PE exceeded learnable absolute PE by 2.54 percentage points (95% CI [1.19, 3.89]). At 5,000 examples the difference reversed to −1.81 points (95% CI [−2.51, −1.11]); at 10,000 it was −0.95 points (95% CI [−3.06, 1.15]). The separately trained full-data reference favoured learnable PE by 0.52 points (95% CI [0.15, 0.89]). The fixed method's advantage is therefore confined to the most data-limited condition tested here, rather than increasing or persisting across subset sizes. Figure 8 shows validation accuracy and loss for the three reduced subsets. The full-data reference is not connected to those curves because it used the separately frozen full-data learning-rate protocol.</w:t>
      </w:r>
    </w:p>
    <w:p w14:paraId="34E489E3" w14:textId="77777777" w:rsidR="00D45184" w:rsidRDefault="00000000">
      <w:pPr>
        <w:keepNext/>
        <w:keepLines/>
        <w:spacing w:before="120" w:after="60"/>
        <w:jc w:val="center"/>
      </w:pPr>
      <w:r>
        <w:rPr>
          <w:noProof/>
        </w:rPr>
        <w:lastRenderedPageBreak/>
        <w:drawing>
          <wp:inline distT="0" distB="0" distL="0" distR="0" wp14:anchorId="1C599126" wp14:editId="332215BA">
            <wp:extent cx="5623560" cy="4783482"/>
            <wp:effectExtent l="0" t="0" r="0" b="0"/>
            <wp:docPr id="1452386635" name="Picture 1452386635" descr="Stacked validation accuracy and loss charts for four positional-encoding configurations using 1,000, 5,000 and 10,000 CIFAR-10 training examples across five see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623560" cy="4783482"/>
                    </a:xfrm>
                    <a:prstGeom prst="rect">
                      <a:avLst/>
                    </a:prstGeom>
                  </pic:spPr>
                </pic:pic>
              </a:graphicData>
            </a:graphic>
          </wp:inline>
        </w:drawing>
      </w:r>
    </w:p>
    <w:p w14:paraId="3E8AA4CE" w14:textId="53657E62" w:rsidR="00D45184" w:rsidRDefault="00000000">
      <w:pPr>
        <w:pStyle w:val="Caption"/>
        <w:keepLines/>
        <w:jc w:val="center"/>
      </w:pPr>
      <w:r>
        <w:rPr>
          <w:sz w:val="20"/>
        </w:rPr>
        <w:t xml:space="preserve">Figure </w:t>
      </w:r>
      <w:bookmarkStart w:id="22" w:name="fig8"/>
      <w:r>
        <w:rPr>
          <w:sz w:val="20"/>
        </w:rPr>
        <w:fldChar w:fldCharType="begin"/>
      </w:r>
      <w:r>
        <w:rPr>
          <w:sz w:val="20"/>
        </w:rPr>
        <w:instrText xml:space="preserve"> SEQ Figure </w:instrText>
      </w:r>
      <w:r>
        <w:rPr>
          <w:sz w:val="20"/>
        </w:rPr>
        <w:fldChar w:fldCharType="separate"/>
      </w:r>
      <w:r w:rsidR="004E69DC">
        <w:rPr>
          <w:noProof/>
          <w:sz w:val="20"/>
        </w:rPr>
        <w:t>8</w:t>
      </w:r>
      <w:r>
        <w:rPr>
          <w:sz w:val="20"/>
        </w:rPr>
        <w:fldChar w:fldCharType="end"/>
      </w:r>
      <w:bookmarkEnd w:id="22"/>
      <w:r>
        <w:rPr>
          <w:sz w:val="20"/>
        </w:rPr>
        <w:t>: Validation dynamics under reduced CIFAR-10 training sets.</w:t>
      </w:r>
    </w:p>
    <w:p w14:paraId="67E1366B" w14:textId="77777777" w:rsidR="00522DE2" w:rsidRDefault="00BF0975">
      <w:pPr>
        <w:pStyle w:val="Heading2"/>
      </w:pPr>
      <w:r>
        <w:t xml:space="preserve">4.6 </w:t>
      </w:r>
      <w:proofErr w:type="spellStart"/>
      <w:r>
        <w:t>Generalisation</w:t>
      </w:r>
      <w:proofErr w:type="spellEnd"/>
      <w:r>
        <w:t xml:space="preserve"> from CIFAR-10 to CIFAR-100</w:t>
      </w:r>
    </w:p>
    <w:p w14:paraId="45F1A0EE" w14:textId="77777777" w:rsidR="00522DE2" w:rsidRDefault="00BF0975">
      <w:r>
        <w:t>CIFAR-100 tests whether the CIFAR-10 ordering survives a more fine-grained classification problem while the 32 × 32 input size and 8 × 8 patch grid stay unchanged. The comparison uses four models chosen before examining the CIFAR-100 results: no PE, learnable absolute PE, shifted additive PE and shifted multiplicative PE. Absolute accuracy is expected to change because the dataset has 100 classes; the relevant comparison is the within-dataset ranking and uncertainty, not the raw gap between CIFAR-10 and CIFAR-100.</w:t>
      </w:r>
    </w:p>
    <w:p w14:paraId="61B7A02D" w14:textId="4566B22E"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10</w:t>
      </w:r>
      <w:r>
        <w:rPr>
          <w:sz w:val="20"/>
        </w:rPr>
        <w:fldChar w:fldCharType="end"/>
      </w:r>
      <w:r>
        <w:rPr>
          <w:sz w:val="20"/>
        </w:rPr>
        <w:t>. Selected PE configurations on CIFAR-10 and CIFAR-100.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400"/>
        <w:gridCol w:w="1900"/>
        <w:gridCol w:w="1900"/>
        <w:gridCol w:w="1400"/>
        <w:gridCol w:w="1400"/>
      </w:tblGrid>
      <w:tr w:rsidR="00522DE2" w14:paraId="32CC5B45" w14:textId="77777777">
        <w:trPr>
          <w:tblHeader/>
        </w:trPr>
        <w:tc>
          <w:tcPr>
            <w:tcW w:w="2400" w:type="dxa"/>
            <w:tcBorders>
              <w:bottom w:val="single" w:sz="6" w:space="0" w:color="000000"/>
            </w:tcBorders>
            <w:tcMar>
              <w:top w:w="90" w:type="dxa"/>
              <w:left w:w="100" w:type="dxa"/>
              <w:bottom w:w="90" w:type="dxa"/>
              <w:right w:w="100" w:type="dxa"/>
            </w:tcMar>
            <w:vAlign w:val="center"/>
          </w:tcPr>
          <w:p w14:paraId="5C88D6C2" w14:textId="77777777" w:rsidR="00522DE2" w:rsidRDefault="00BF0975">
            <w:pPr>
              <w:spacing w:after="0"/>
              <w:jc w:val="left"/>
            </w:pPr>
            <w:r>
              <w:rPr>
                <w:b/>
                <w:sz w:val="17"/>
              </w:rPr>
              <w:t>Model</w:t>
            </w:r>
          </w:p>
        </w:tc>
        <w:tc>
          <w:tcPr>
            <w:tcW w:w="1900" w:type="dxa"/>
            <w:tcBorders>
              <w:bottom w:val="single" w:sz="6" w:space="0" w:color="000000"/>
            </w:tcBorders>
            <w:tcMar>
              <w:top w:w="90" w:type="dxa"/>
              <w:left w:w="100" w:type="dxa"/>
              <w:bottom w:w="90" w:type="dxa"/>
              <w:right w:w="100" w:type="dxa"/>
            </w:tcMar>
            <w:vAlign w:val="center"/>
          </w:tcPr>
          <w:p w14:paraId="08A3A659" w14:textId="77777777" w:rsidR="00522DE2" w:rsidRDefault="00BF0975">
            <w:pPr>
              <w:spacing w:after="0"/>
              <w:jc w:val="center"/>
            </w:pPr>
            <w:r>
              <w:rPr>
                <w:b/>
                <w:sz w:val="17"/>
              </w:rPr>
              <w:t>CIFAR-10 accuracy</w:t>
            </w:r>
          </w:p>
        </w:tc>
        <w:tc>
          <w:tcPr>
            <w:tcW w:w="1900" w:type="dxa"/>
            <w:tcBorders>
              <w:bottom w:val="single" w:sz="6" w:space="0" w:color="000000"/>
            </w:tcBorders>
            <w:tcMar>
              <w:top w:w="90" w:type="dxa"/>
              <w:left w:w="100" w:type="dxa"/>
              <w:bottom w:w="90" w:type="dxa"/>
              <w:right w:w="100" w:type="dxa"/>
            </w:tcMar>
            <w:vAlign w:val="center"/>
          </w:tcPr>
          <w:p w14:paraId="09315DF5" w14:textId="77777777" w:rsidR="00522DE2" w:rsidRDefault="00BF0975">
            <w:pPr>
              <w:spacing w:after="0"/>
              <w:jc w:val="center"/>
            </w:pPr>
            <w:r>
              <w:rPr>
                <w:b/>
                <w:sz w:val="17"/>
              </w:rPr>
              <w:t>CIFAR-100 accuracy</w:t>
            </w:r>
          </w:p>
        </w:tc>
        <w:tc>
          <w:tcPr>
            <w:tcW w:w="1400" w:type="dxa"/>
            <w:tcBorders>
              <w:bottom w:val="single" w:sz="6" w:space="0" w:color="000000"/>
            </w:tcBorders>
            <w:tcMar>
              <w:top w:w="90" w:type="dxa"/>
              <w:left w:w="100" w:type="dxa"/>
              <w:bottom w:w="90" w:type="dxa"/>
              <w:right w:w="100" w:type="dxa"/>
            </w:tcMar>
            <w:vAlign w:val="center"/>
          </w:tcPr>
          <w:p w14:paraId="45EE2744" w14:textId="77777777" w:rsidR="00522DE2" w:rsidRDefault="00BF0975">
            <w:pPr>
              <w:spacing w:after="0"/>
              <w:jc w:val="center"/>
            </w:pPr>
            <w:r>
              <w:rPr>
                <w:b/>
                <w:sz w:val="17"/>
              </w:rPr>
              <w:t>CIFAR-10 rank</w:t>
            </w:r>
          </w:p>
        </w:tc>
        <w:tc>
          <w:tcPr>
            <w:tcW w:w="1400" w:type="dxa"/>
            <w:tcBorders>
              <w:bottom w:val="single" w:sz="6" w:space="0" w:color="000000"/>
            </w:tcBorders>
            <w:tcMar>
              <w:top w:w="90" w:type="dxa"/>
              <w:left w:w="100" w:type="dxa"/>
              <w:bottom w:w="90" w:type="dxa"/>
              <w:right w:w="100" w:type="dxa"/>
            </w:tcMar>
            <w:vAlign w:val="center"/>
          </w:tcPr>
          <w:p w14:paraId="5C653C6F" w14:textId="77777777" w:rsidR="00522DE2" w:rsidRDefault="00BF0975">
            <w:pPr>
              <w:spacing w:after="0"/>
              <w:jc w:val="center"/>
            </w:pPr>
            <w:r>
              <w:rPr>
                <w:b/>
                <w:sz w:val="17"/>
              </w:rPr>
              <w:t>CIFAR-100 rank</w:t>
            </w:r>
          </w:p>
        </w:tc>
      </w:tr>
      <w:tr w:rsidR="00522DE2" w14:paraId="2BE59BCF" w14:textId="77777777">
        <w:tc>
          <w:tcPr>
            <w:tcW w:w="2400" w:type="dxa"/>
            <w:tcMar>
              <w:top w:w="90" w:type="dxa"/>
              <w:left w:w="100" w:type="dxa"/>
              <w:bottom w:w="90" w:type="dxa"/>
              <w:right w:w="100" w:type="dxa"/>
            </w:tcMar>
            <w:vAlign w:val="center"/>
          </w:tcPr>
          <w:p w14:paraId="64D643F3" w14:textId="77777777" w:rsidR="00522DE2" w:rsidRDefault="00BF0975">
            <w:pPr>
              <w:spacing w:after="0" w:line="240" w:lineRule="auto"/>
              <w:jc w:val="left"/>
            </w:pPr>
            <w:r>
              <w:rPr>
                <w:sz w:val="17"/>
              </w:rPr>
              <w:t>No PE</w:t>
            </w:r>
          </w:p>
        </w:tc>
        <w:tc>
          <w:tcPr>
            <w:tcW w:w="1900" w:type="dxa"/>
            <w:tcMar>
              <w:top w:w="90" w:type="dxa"/>
              <w:left w:w="100" w:type="dxa"/>
              <w:bottom w:w="90" w:type="dxa"/>
              <w:right w:w="100" w:type="dxa"/>
            </w:tcMar>
            <w:vAlign w:val="center"/>
          </w:tcPr>
          <w:p w14:paraId="0AF9B1F9" w14:textId="77777777" w:rsidR="00522DE2" w:rsidRDefault="00BF0975">
            <w:pPr>
              <w:spacing w:after="0" w:line="240" w:lineRule="auto"/>
              <w:jc w:val="left"/>
            </w:pPr>
            <w:r>
              <w:rPr>
                <w:sz w:val="17"/>
              </w:rPr>
              <w:t>71.29 ± 0.83%</w:t>
            </w:r>
          </w:p>
        </w:tc>
        <w:tc>
          <w:tcPr>
            <w:tcW w:w="1900" w:type="dxa"/>
            <w:tcMar>
              <w:top w:w="90" w:type="dxa"/>
              <w:left w:w="100" w:type="dxa"/>
              <w:bottom w:w="90" w:type="dxa"/>
              <w:right w:w="100" w:type="dxa"/>
            </w:tcMar>
            <w:vAlign w:val="center"/>
          </w:tcPr>
          <w:p w14:paraId="282D5821" w14:textId="77777777" w:rsidR="00522DE2" w:rsidRDefault="00BF0975">
            <w:pPr>
              <w:spacing w:after="0" w:line="240" w:lineRule="auto"/>
              <w:jc w:val="center"/>
            </w:pPr>
            <w:r>
              <w:rPr>
                <w:sz w:val="17"/>
              </w:rPr>
              <w:t>40.16 ± 0.69%</w:t>
            </w:r>
          </w:p>
        </w:tc>
        <w:tc>
          <w:tcPr>
            <w:tcW w:w="1400" w:type="dxa"/>
            <w:tcMar>
              <w:top w:w="90" w:type="dxa"/>
              <w:left w:w="100" w:type="dxa"/>
              <w:bottom w:w="90" w:type="dxa"/>
              <w:right w:w="100" w:type="dxa"/>
            </w:tcMar>
            <w:vAlign w:val="center"/>
          </w:tcPr>
          <w:p w14:paraId="6E9AA614" w14:textId="77777777" w:rsidR="00522DE2" w:rsidRDefault="00BF0975">
            <w:pPr>
              <w:spacing w:after="0" w:line="240" w:lineRule="auto"/>
              <w:jc w:val="center"/>
            </w:pPr>
            <w:r>
              <w:rPr>
                <w:sz w:val="17"/>
              </w:rPr>
              <w:t>4</w:t>
            </w:r>
          </w:p>
        </w:tc>
        <w:tc>
          <w:tcPr>
            <w:tcW w:w="1400" w:type="dxa"/>
            <w:tcMar>
              <w:top w:w="90" w:type="dxa"/>
              <w:left w:w="100" w:type="dxa"/>
              <w:bottom w:w="90" w:type="dxa"/>
              <w:right w:w="100" w:type="dxa"/>
            </w:tcMar>
            <w:vAlign w:val="center"/>
          </w:tcPr>
          <w:p w14:paraId="3DE24108" w14:textId="77777777" w:rsidR="00522DE2" w:rsidRDefault="00BF0975">
            <w:pPr>
              <w:spacing w:after="0" w:line="240" w:lineRule="auto"/>
              <w:jc w:val="center"/>
            </w:pPr>
            <w:r>
              <w:rPr>
                <w:sz w:val="17"/>
              </w:rPr>
              <w:t>4</w:t>
            </w:r>
          </w:p>
        </w:tc>
      </w:tr>
      <w:tr w:rsidR="00522DE2" w14:paraId="06532F2C" w14:textId="77777777">
        <w:tc>
          <w:tcPr>
            <w:tcW w:w="2400" w:type="dxa"/>
            <w:tcMar>
              <w:top w:w="90" w:type="dxa"/>
              <w:left w:w="100" w:type="dxa"/>
              <w:bottom w:w="90" w:type="dxa"/>
              <w:right w:w="100" w:type="dxa"/>
            </w:tcMar>
            <w:vAlign w:val="center"/>
          </w:tcPr>
          <w:p w14:paraId="22972E1E" w14:textId="77777777" w:rsidR="00522DE2" w:rsidRDefault="00BF0975">
            <w:pPr>
              <w:spacing w:after="0" w:line="240" w:lineRule="auto"/>
              <w:jc w:val="left"/>
            </w:pPr>
            <w:r>
              <w:rPr>
                <w:sz w:val="17"/>
              </w:rPr>
              <w:t>Learnable absolute PE</w:t>
            </w:r>
          </w:p>
        </w:tc>
        <w:tc>
          <w:tcPr>
            <w:tcW w:w="1900" w:type="dxa"/>
            <w:tcMar>
              <w:top w:w="90" w:type="dxa"/>
              <w:left w:w="100" w:type="dxa"/>
              <w:bottom w:w="90" w:type="dxa"/>
              <w:right w:w="100" w:type="dxa"/>
            </w:tcMar>
            <w:vAlign w:val="center"/>
          </w:tcPr>
          <w:p w14:paraId="1CD0E72E" w14:textId="77777777" w:rsidR="00522DE2" w:rsidRDefault="00BF0975">
            <w:pPr>
              <w:spacing w:after="0" w:line="240" w:lineRule="auto"/>
              <w:jc w:val="left"/>
            </w:pPr>
            <w:r>
              <w:rPr>
                <w:sz w:val="17"/>
                <w:b w:val="1"/>
                <w:bCs w:val="1"/>
              </w:rPr>
              <w:t>78.60 ± 0.42%</w:t>
            </w:r>
          </w:p>
        </w:tc>
        <w:tc>
          <w:tcPr>
            <w:tcW w:w="1900" w:type="dxa"/>
            <w:tcMar>
              <w:top w:w="90" w:type="dxa"/>
              <w:left w:w="100" w:type="dxa"/>
              <w:bottom w:w="90" w:type="dxa"/>
              <w:right w:w="100" w:type="dxa"/>
            </w:tcMar>
            <w:vAlign w:val="center"/>
          </w:tcPr>
          <w:p w14:paraId="15417E9E" w14:textId="77777777" w:rsidR="00522DE2" w:rsidRDefault="00BF0975">
            <w:pPr>
              <w:spacing w:after="0" w:line="240" w:lineRule="auto"/>
              <w:jc w:val="center"/>
            </w:pPr>
            <w:r>
              <w:rPr>
                <w:sz w:val="17"/>
                <w:b w:val="1"/>
                <w:bCs w:val="1"/>
              </w:rPr>
              <w:t>47.66 ± 0.21%</w:t>
            </w:r>
          </w:p>
        </w:tc>
        <w:tc>
          <w:tcPr>
            <w:tcW w:w="1400" w:type="dxa"/>
            <w:tcMar>
              <w:top w:w="90" w:type="dxa"/>
              <w:left w:w="100" w:type="dxa"/>
              <w:bottom w:w="90" w:type="dxa"/>
              <w:right w:w="100" w:type="dxa"/>
            </w:tcMar>
            <w:vAlign w:val="center"/>
          </w:tcPr>
          <w:p w14:paraId="0CA34200" w14:textId="77777777" w:rsidR="00522DE2" w:rsidRDefault="00BF0975">
            <w:pPr>
              <w:spacing w:after="0" w:line="240" w:lineRule="auto"/>
              <w:jc w:val="center"/>
            </w:pPr>
            <w:r>
              <w:rPr>
                <w:sz w:val="17"/>
              </w:rPr>
              <w:t>1</w:t>
            </w:r>
          </w:p>
        </w:tc>
        <w:tc>
          <w:tcPr>
            <w:tcW w:w="1400" w:type="dxa"/>
            <w:tcMar>
              <w:top w:w="90" w:type="dxa"/>
              <w:left w:w="100" w:type="dxa"/>
              <w:bottom w:w="90" w:type="dxa"/>
              <w:right w:w="100" w:type="dxa"/>
            </w:tcMar>
            <w:vAlign w:val="center"/>
          </w:tcPr>
          <w:p w14:paraId="6E27C23A" w14:textId="77777777" w:rsidR="00522DE2" w:rsidRDefault="00BF0975">
            <w:pPr>
              <w:spacing w:after="0" w:line="240" w:lineRule="auto"/>
              <w:jc w:val="center"/>
            </w:pPr>
            <w:r>
              <w:rPr>
                <w:sz w:val="17"/>
              </w:rPr>
              <w:t>1</w:t>
            </w:r>
          </w:p>
        </w:tc>
      </w:tr>
      <w:tr w:rsidR="00522DE2" w14:paraId="69166D04" w14:textId="77777777">
        <w:tc>
          <w:tcPr>
            <w:tcW w:w="2400" w:type="dxa"/>
            <w:tcMar>
              <w:top w:w="90" w:type="dxa"/>
              <w:left w:w="100" w:type="dxa"/>
              <w:bottom w:w="90" w:type="dxa"/>
              <w:right w:w="100" w:type="dxa"/>
            </w:tcMar>
            <w:vAlign w:val="center"/>
          </w:tcPr>
          <w:p w14:paraId="40456774" w14:textId="77777777" w:rsidR="00522DE2" w:rsidRDefault="00BF0975">
            <w:pPr>
              <w:spacing w:after="0" w:line="240" w:lineRule="auto"/>
              <w:jc w:val="left"/>
            </w:pPr>
            <w:r>
              <w:rPr>
                <w:sz w:val="17"/>
              </w:rPr>
              <w:t>Shifted additive PE</w:t>
            </w:r>
          </w:p>
        </w:tc>
        <w:tc>
          <w:tcPr>
            <w:tcW w:w="1900" w:type="dxa"/>
            <w:tcMar>
              <w:top w:w="90" w:type="dxa"/>
              <w:left w:w="100" w:type="dxa"/>
              <w:bottom w:w="90" w:type="dxa"/>
              <w:right w:w="100" w:type="dxa"/>
            </w:tcMar>
            <w:vAlign w:val="center"/>
          </w:tcPr>
          <w:p w14:paraId="419E9705" w14:textId="77777777" w:rsidR="00522DE2" w:rsidRDefault="00BF0975">
            <w:pPr>
              <w:spacing w:after="0" w:line="240" w:lineRule="auto"/>
              <w:jc w:val="left"/>
            </w:pPr>
            <w:r>
              <w:rPr>
                <w:sz w:val="17"/>
              </w:rPr>
              <w:t>77.15 ± 0.10%</w:t>
            </w:r>
          </w:p>
        </w:tc>
        <w:tc>
          <w:tcPr>
            <w:tcW w:w="1900" w:type="dxa"/>
            <w:tcMar>
              <w:top w:w="90" w:type="dxa"/>
              <w:left w:w="100" w:type="dxa"/>
              <w:bottom w:w="90" w:type="dxa"/>
              <w:right w:w="100" w:type="dxa"/>
            </w:tcMar>
            <w:vAlign w:val="center"/>
          </w:tcPr>
          <w:p w14:paraId="7C147866" w14:textId="77777777" w:rsidR="00522DE2" w:rsidRDefault="00BF0975">
            <w:pPr>
              <w:spacing w:after="0" w:line="240" w:lineRule="auto"/>
              <w:jc w:val="center"/>
            </w:pPr>
            <w:r>
              <w:rPr>
                <w:sz w:val="17"/>
              </w:rPr>
              <w:t>45.24 ± 1.35%</w:t>
            </w:r>
          </w:p>
        </w:tc>
        <w:tc>
          <w:tcPr>
            <w:tcW w:w="1400" w:type="dxa"/>
            <w:tcMar>
              <w:top w:w="90" w:type="dxa"/>
              <w:left w:w="100" w:type="dxa"/>
              <w:bottom w:w="90" w:type="dxa"/>
              <w:right w:w="100" w:type="dxa"/>
            </w:tcMar>
            <w:vAlign w:val="center"/>
          </w:tcPr>
          <w:p w14:paraId="385BDC3D" w14:textId="77777777" w:rsidR="00522DE2" w:rsidRDefault="00BF0975">
            <w:pPr>
              <w:spacing w:after="0" w:line="240" w:lineRule="auto"/>
              <w:jc w:val="center"/>
            </w:pPr>
            <w:r>
              <w:rPr>
                <w:sz w:val="17"/>
              </w:rPr>
              <w:t>3</w:t>
            </w:r>
          </w:p>
        </w:tc>
        <w:tc>
          <w:tcPr>
            <w:tcW w:w="1400" w:type="dxa"/>
            <w:tcMar>
              <w:top w:w="90" w:type="dxa"/>
              <w:left w:w="100" w:type="dxa"/>
              <w:bottom w:w="90" w:type="dxa"/>
              <w:right w:w="100" w:type="dxa"/>
            </w:tcMar>
            <w:vAlign w:val="center"/>
          </w:tcPr>
          <w:p w14:paraId="371CDB50" w14:textId="77777777" w:rsidR="00522DE2" w:rsidRDefault="00BF0975">
            <w:pPr>
              <w:spacing w:after="0" w:line="240" w:lineRule="auto"/>
              <w:jc w:val="center"/>
            </w:pPr>
            <w:r>
              <w:rPr>
                <w:sz w:val="17"/>
              </w:rPr>
              <w:t>3</w:t>
            </w:r>
          </w:p>
        </w:tc>
      </w:tr>
      <w:tr w:rsidR="00522DE2" w14:paraId="538ABA38" w14:textId="77777777">
        <w:tc>
          <w:tcPr>
            <w:tcW w:w="2400" w:type="dxa"/>
            <w:tcMar>
              <w:top w:w="90" w:type="dxa"/>
              <w:left w:w="100" w:type="dxa"/>
              <w:bottom w:w="90" w:type="dxa"/>
              <w:right w:w="100" w:type="dxa"/>
            </w:tcMar>
            <w:vAlign w:val="center"/>
          </w:tcPr>
          <w:p w14:paraId="1C61344E" w14:textId="77777777" w:rsidR="00522DE2" w:rsidRDefault="00BF0975">
            <w:pPr>
              <w:spacing w:after="0" w:line="240" w:lineRule="auto"/>
              <w:jc w:val="left"/>
            </w:pPr>
            <w:r>
              <w:rPr>
                <w:sz w:val="17"/>
              </w:rPr>
              <w:t>Shifted multiplicative PE</w:t>
            </w:r>
          </w:p>
        </w:tc>
        <w:tc>
          <w:tcPr>
            <w:tcW w:w="1900" w:type="dxa"/>
            <w:tcMar>
              <w:top w:w="90" w:type="dxa"/>
              <w:left w:w="100" w:type="dxa"/>
              <w:bottom w:w="90" w:type="dxa"/>
              <w:right w:w="100" w:type="dxa"/>
            </w:tcMar>
            <w:vAlign w:val="center"/>
          </w:tcPr>
          <w:p w14:paraId="582065DB" w14:textId="77777777" w:rsidR="00522DE2" w:rsidRDefault="00BF0975">
            <w:pPr>
              <w:spacing w:after="0" w:line="240" w:lineRule="auto"/>
              <w:jc w:val="left"/>
            </w:pPr>
            <w:r>
              <w:rPr>
                <w:sz w:val="17"/>
              </w:rPr>
              <w:t>78.08 ± 0.09%</w:t>
            </w:r>
          </w:p>
        </w:tc>
        <w:tc>
          <w:tcPr>
            <w:tcW w:w="1900" w:type="dxa"/>
            <w:tcMar>
              <w:top w:w="90" w:type="dxa"/>
              <w:left w:w="100" w:type="dxa"/>
              <w:bottom w:w="90" w:type="dxa"/>
              <w:right w:w="100" w:type="dxa"/>
            </w:tcMar>
            <w:vAlign w:val="center"/>
          </w:tcPr>
          <w:p w14:paraId="6DF0745F" w14:textId="77777777" w:rsidR="00522DE2" w:rsidRDefault="00BF0975">
            <w:pPr>
              <w:spacing w:after="0" w:line="240" w:lineRule="auto"/>
              <w:jc w:val="center"/>
            </w:pPr>
            <w:r>
              <w:rPr>
                <w:sz w:val="17"/>
              </w:rPr>
              <w:t>45.77 ± 1.27%</w:t>
            </w:r>
          </w:p>
        </w:tc>
        <w:tc>
          <w:tcPr>
            <w:tcW w:w="1400" w:type="dxa"/>
            <w:tcMar>
              <w:top w:w="90" w:type="dxa"/>
              <w:left w:w="100" w:type="dxa"/>
              <w:bottom w:w="90" w:type="dxa"/>
              <w:right w:w="100" w:type="dxa"/>
            </w:tcMar>
            <w:vAlign w:val="center"/>
          </w:tcPr>
          <w:p w14:paraId="3CAD5D58" w14:textId="77777777" w:rsidR="00522DE2" w:rsidRDefault="00BF0975">
            <w:pPr>
              <w:spacing w:after="0" w:line="240" w:lineRule="auto"/>
              <w:jc w:val="center"/>
            </w:pPr>
            <w:r>
              <w:rPr>
                <w:sz w:val="17"/>
              </w:rPr>
              <w:t>2</w:t>
            </w:r>
          </w:p>
        </w:tc>
        <w:tc>
          <w:tcPr>
            <w:tcW w:w="1400" w:type="dxa"/>
            <w:tcMar>
              <w:top w:w="90" w:type="dxa"/>
              <w:left w:w="100" w:type="dxa"/>
              <w:bottom w:w="90" w:type="dxa"/>
              <w:right w:w="100" w:type="dxa"/>
            </w:tcMar>
            <w:vAlign w:val="center"/>
          </w:tcPr>
          <w:p w14:paraId="61E2C41F" w14:textId="77777777" w:rsidR="00522DE2" w:rsidRDefault="00BF0975">
            <w:pPr>
              <w:spacing w:after="0" w:line="240" w:lineRule="auto"/>
              <w:jc w:val="center"/>
            </w:pPr>
            <w:r>
              <w:rPr>
                <w:sz w:val="17"/>
              </w:rPr>
              <w:t>2</w:t>
            </w:r>
          </w:p>
        </w:tc>
      </w:tr>
    </w:tbl>
    <w:p w14:paraId="0C16D1D6" w14:textId="75B2A6AD" w:rsidR="00522DE2" w:rsidRDefault="00BF0975">
      <w:r>
        <w:t>The four models kept the same order on both datasets. On CIFAR-100, learnable absolute PE ranked first at 47.66 ± 0.21%, followed by shifted multiplicative PE at 45.77 ± 1.27%, shifted additive PE at 45.24 ± 1.35%, and no PE at 40.16 ± 0.69%. The preserved ranking is evidence about this shared architecture and these two datasets; it does not establish that the same gaps will hold for larger ViTs or other image domains. Figure 9 shows the CIFAR-100 validation trajectories.</w:t>
      </w:r>
    </w:p>
    <w:p w14:paraId="627CA9E6" w14:textId="77777777" w:rsidR="00D45184" w:rsidRDefault="00000000">
      <w:pPr>
        <w:keepNext/>
        <w:keepLines/>
        <w:spacing w:before="120" w:after="60"/>
        <w:jc w:val="center"/>
      </w:pPr>
      <w:r>
        <w:rPr>
          <w:noProof/>
        </w:rPr>
        <w:drawing>
          <wp:inline distT="0" distB="0" distL="0" distR="0" wp14:anchorId="3DA85FE1" wp14:editId="7F73165F">
            <wp:extent cx="5623560" cy="6909096"/>
            <wp:effectExtent l="0" t="0" r="0" b="0"/>
            <wp:docPr id="1452386636" name="Picture 1452386636" descr="Stacked CIFAR-100 validation accuracy and loss charts comparing no PE, learnable PE, shifted additive PE and shifted multiplicative PE across five seed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623560" cy="6909096"/>
                    </a:xfrm>
                    <a:prstGeom prst="rect">
                      <a:avLst/>
                    </a:prstGeom>
                  </pic:spPr>
                </pic:pic>
              </a:graphicData>
            </a:graphic>
          </wp:inline>
        </w:drawing>
      </w:r>
    </w:p>
    <w:p w14:paraId="638ECE5E" w14:textId="79B67B9C" w:rsidR="00D45184" w:rsidRDefault="00000000">
      <w:pPr>
        <w:pStyle w:val="Caption"/>
        <w:keepLines/>
        <w:jc w:val="center"/>
      </w:pPr>
      <w:r>
        <w:rPr>
          <w:sz w:val="20"/>
        </w:rPr>
        <w:t xml:space="preserve">Figure </w:t>
      </w:r>
      <w:bookmarkStart w:id="23" w:name="fig9"/>
      <w:r>
        <w:rPr>
          <w:sz w:val="20"/>
        </w:rPr>
        <w:fldChar w:fldCharType="begin"/>
      </w:r>
      <w:r>
        <w:rPr>
          <w:sz w:val="20"/>
        </w:rPr>
        <w:instrText xml:space="preserve"> SEQ Figure </w:instrText>
      </w:r>
      <w:r>
        <w:rPr>
          <w:sz w:val="20"/>
        </w:rPr>
        <w:fldChar w:fldCharType="separate"/>
      </w:r>
      <w:r w:rsidR="004E69DC">
        <w:rPr>
          <w:noProof/>
          <w:sz w:val="20"/>
        </w:rPr>
        <w:t>9</w:t>
      </w:r>
      <w:r>
        <w:rPr>
          <w:sz w:val="20"/>
        </w:rPr>
        <w:fldChar w:fldCharType="end"/>
      </w:r>
      <w:bookmarkEnd w:id="23"/>
      <w:r>
        <w:rPr>
          <w:sz w:val="20"/>
        </w:rPr>
        <w:t>: Validation dynamics for four PE configurations on CIFAR-100.</w:t>
      </w:r>
    </w:p>
    <w:p w14:paraId="788FE8FA" w14:textId="77777777" w:rsidR="00522DE2" w:rsidRDefault="00BF0975">
      <w:pPr>
        <w:pStyle w:val="Heading2"/>
      </w:pPr>
      <w:r>
        <w:lastRenderedPageBreak/>
        <w:t>4.7 Hybrid, Fusion and Other Extensions</w:t>
      </w:r>
    </w:p>
    <w:p w14:paraId="43E9B030" w14:textId="77777777" w:rsidR="00522DE2" w:rsidRDefault="00BF0975">
      <w:r>
        <w:t>The final group asks whether extra complexity earns better performance than the single-branch models. The hybrid is compared with a learnable control using the same patch order. Fusion models are shown with parameter count because they duplicate the encoder or add learned fusion layers. Squared and radial PE remain in the table as targeted fixed-encoding tests, even though they were not among the strongest core methods.</w:t>
      </w:r>
    </w:p>
    <w:p w14:paraId="7718F488" w14:textId="164A9FEC"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11</w:t>
      </w:r>
      <w:r>
        <w:rPr>
          <w:sz w:val="20"/>
        </w:rPr>
        <w:fldChar w:fldCharType="end"/>
      </w:r>
      <w:r>
        <w:rPr>
          <w:sz w:val="20"/>
        </w:rPr>
        <w:t>. Hybrid, fusion and fixed-PE extensions.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200"/>
        <w:gridCol w:w="1350"/>
        <w:gridCol w:w="1200"/>
        <w:gridCol w:w="1400"/>
        <w:gridCol w:w="1250"/>
        <w:gridCol w:w="1600"/>
      </w:tblGrid>
      <w:tr w:rsidR="00522DE2" w14:paraId="61CB520A" w14:textId="77777777">
        <w:trPr>
          <w:tblHeader/>
        </w:trPr>
        <w:tc>
          <w:tcPr>
            <w:tcW w:w="2200" w:type="dxa"/>
            <w:tcBorders>
              <w:bottom w:val="single" w:sz="6" w:space="0" w:color="000000"/>
            </w:tcBorders>
            <w:tcMar>
              <w:top w:w="90" w:type="dxa"/>
              <w:left w:w="100" w:type="dxa"/>
              <w:bottom w:w="90" w:type="dxa"/>
              <w:right w:w="100" w:type="dxa"/>
            </w:tcMar>
            <w:vAlign w:val="center"/>
          </w:tcPr>
          <w:p w14:paraId="1369F01B" w14:textId="77777777" w:rsidR="00522DE2" w:rsidRDefault="00BF0975">
            <w:pPr>
              <w:spacing w:after="0"/>
              <w:jc w:val="left"/>
            </w:pPr>
            <w:r>
              <w:rPr>
                <w:b/>
                <w:sz w:val="16"/>
              </w:rPr>
              <w:t>Model or comparison</w:t>
            </w:r>
          </w:p>
        </w:tc>
        <w:tc>
          <w:tcPr>
            <w:tcW w:w="1350" w:type="dxa"/>
            <w:tcBorders>
              <w:bottom w:val="single" w:sz="6" w:space="0" w:color="000000"/>
            </w:tcBorders>
            <w:tcMar>
              <w:top w:w="90" w:type="dxa"/>
              <w:left w:w="100" w:type="dxa"/>
              <w:bottom w:w="90" w:type="dxa"/>
              <w:right w:w="100" w:type="dxa"/>
            </w:tcMar>
            <w:vAlign w:val="center"/>
          </w:tcPr>
          <w:p w14:paraId="622D0875" w14:textId="77777777" w:rsidR="00522DE2" w:rsidRDefault="00BF0975">
            <w:pPr>
              <w:spacing w:after="0"/>
              <w:jc w:val="center"/>
            </w:pPr>
            <w:r>
              <w:rPr>
                <w:b/>
                <w:sz w:val="16"/>
              </w:rPr>
              <w:t>Category</w:t>
            </w:r>
          </w:p>
        </w:tc>
        <w:tc>
          <w:tcPr>
            <w:tcW w:w="1200" w:type="dxa"/>
            <w:tcBorders>
              <w:bottom w:val="single" w:sz="6" w:space="0" w:color="000000"/>
            </w:tcBorders>
            <w:tcMar>
              <w:top w:w="90" w:type="dxa"/>
              <w:left w:w="100" w:type="dxa"/>
              <w:bottom w:w="90" w:type="dxa"/>
              <w:right w:w="100" w:type="dxa"/>
            </w:tcMar>
            <w:vAlign w:val="center"/>
          </w:tcPr>
          <w:p w14:paraId="74AA69BC" w14:textId="77777777" w:rsidR="00522DE2" w:rsidRDefault="00BF0975">
            <w:pPr>
              <w:spacing w:after="0"/>
              <w:jc w:val="center"/>
            </w:pPr>
            <w:r>
              <w:rPr>
                <w:b/>
                <w:sz w:val="16"/>
              </w:rPr>
              <w:t>Parameters</w:t>
            </w:r>
          </w:p>
        </w:tc>
        <w:tc>
          <w:tcPr>
            <w:tcW w:w="1400" w:type="dxa"/>
            <w:tcBorders>
              <w:bottom w:val="single" w:sz="6" w:space="0" w:color="000000"/>
            </w:tcBorders>
            <w:tcMar>
              <w:top w:w="90" w:type="dxa"/>
              <w:left w:w="100" w:type="dxa"/>
              <w:bottom w:w="90" w:type="dxa"/>
              <w:right w:w="100" w:type="dxa"/>
            </w:tcMar>
            <w:vAlign w:val="center"/>
          </w:tcPr>
          <w:p w14:paraId="48A74D74" w14:textId="77777777" w:rsidR="00522DE2" w:rsidRDefault="00BF0975">
            <w:pPr>
              <w:spacing w:after="0"/>
              <w:jc w:val="center"/>
            </w:pPr>
            <w:r>
              <w:rPr>
                <w:b/>
                <w:sz w:val="16"/>
              </w:rPr>
              <w:t>Test accuracy</w:t>
            </w:r>
          </w:p>
        </w:tc>
        <w:tc>
          <w:tcPr>
            <w:tcW w:w="1250" w:type="dxa"/>
            <w:tcBorders>
              <w:bottom w:val="single" w:sz="6" w:space="0" w:color="000000"/>
            </w:tcBorders>
            <w:tcMar>
              <w:top w:w="90" w:type="dxa"/>
              <w:left w:w="100" w:type="dxa"/>
              <w:bottom w:w="90" w:type="dxa"/>
              <w:right w:w="100" w:type="dxa"/>
            </w:tcMar>
            <w:vAlign w:val="center"/>
          </w:tcPr>
          <w:p w14:paraId="5553343B" w14:textId="77777777" w:rsidR="00522DE2" w:rsidRDefault="00BF0975">
            <w:pPr>
              <w:spacing w:after="0"/>
              <w:jc w:val="center"/>
            </w:pPr>
            <w:r>
              <w:rPr>
                <w:b/>
                <w:sz w:val="16"/>
              </w:rPr>
              <w:t>Test loss</w:t>
            </w:r>
          </w:p>
        </w:tc>
        <w:tc>
          <w:tcPr>
            <w:tcW w:w="1600" w:type="dxa"/>
            <w:tcBorders>
              <w:bottom w:val="single" w:sz="6" w:space="0" w:color="000000"/>
            </w:tcBorders>
            <w:tcMar>
              <w:top w:w="90" w:type="dxa"/>
              <w:left w:w="100" w:type="dxa"/>
              <w:bottom w:w="90" w:type="dxa"/>
              <w:right w:w="100" w:type="dxa"/>
            </w:tcMar>
            <w:vAlign w:val="center"/>
          </w:tcPr>
          <w:p w14:paraId="74079425" w14:textId="77777777" w:rsidR="00522DE2" w:rsidRDefault="00BF0975">
            <w:pPr>
              <w:spacing w:after="0"/>
              <w:jc w:val="center"/>
            </w:pPr>
            <w:r>
              <w:rPr>
                <w:b/>
                <w:sz w:val="16"/>
              </w:rPr>
              <w:t>Interpretation boundary</w:t>
            </w:r>
          </w:p>
        </w:tc>
      </w:tr>
      <w:tr w:rsidR="00522DE2" w14:paraId="39BBFEA3" w14:textId="77777777">
        <w:tc>
          <w:tcPr>
            <w:tcW w:w="2200" w:type="dxa"/>
            <w:tcMar>
              <w:top w:w="90" w:type="dxa"/>
              <w:left w:w="100" w:type="dxa"/>
              <w:bottom w:w="90" w:type="dxa"/>
              <w:right w:w="100" w:type="dxa"/>
            </w:tcMar>
            <w:vAlign w:val="center"/>
          </w:tcPr>
          <w:p w14:paraId="50173A8D" w14:textId="77777777" w:rsidR="00522DE2" w:rsidRDefault="00BF0975">
            <w:pPr>
              <w:spacing w:after="0" w:line="240" w:lineRule="auto"/>
              <w:jc w:val="left"/>
            </w:pPr>
            <w:r>
              <w:rPr>
                <w:sz w:val="16"/>
              </w:rPr>
              <w:t>Order-matched learned PE</w:t>
            </w:r>
          </w:p>
        </w:tc>
        <w:tc>
          <w:tcPr>
            <w:tcW w:w="1350" w:type="dxa"/>
            <w:tcMar>
              <w:top w:w="90" w:type="dxa"/>
              <w:left w:w="100" w:type="dxa"/>
              <w:bottom w:w="90" w:type="dxa"/>
              <w:right w:w="100" w:type="dxa"/>
            </w:tcMar>
            <w:vAlign w:val="center"/>
          </w:tcPr>
          <w:p w14:paraId="262E02CC" w14:textId="77777777" w:rsidR="00522DE2" w:rsidRDefault="00BF0975">
            <w:pPr>
              <w:spacing w:after="0" w:line="240" w:lineRule="auto"/>
              <w:jc w:val="left"/>
            </w:pPr>
            <w:r>
              <w:rPr>
                <w:sz w:val="16"/>
              </w:rPr>
              <w:t>Control</w:t>
            </w:r>
          </w:p>
        </w:tc>
        <w:tc>
          <w:tcPr>
            <w:tcW w:w="1200" w:type="dxa"/>
            <w:tcMar>
              <w:top w:w="90" w:type="dxa"/>
              <w:left w:w="100" w:type="dxa"/>
              <w:bottom w:w="90" w:type="dxa"/>
              <w:right w:w="100" w:type="dxa"/>
            </w:tcMar>
            <w:vAlign w:val="center"/>
          </w:tcPr>
          <w:p w14:paraId="4E2E2234" w14:textId="77777777" w:rsidR="00522DE2" w:rsidRDefault="00BF0975">
            <w:pPr>
              <w:spacing w:after="0" w:line="240" w:lineRule="auto"/>
              <w:jc w:val="center"/>
            </w:pPr>
            <w:r>
              <w:rPr>
                <w:sz w:val="16"/>
              </w:rPr>
              <w:t>809,354</w:t>
            </w:r>
          </w:p>
        </w:tc>
        <w:tc>
          <w:tcPr>
            <w:tcW w:w="1400" w:type="dxa"/>
            <w:tcMar>
              <w:top w:w="90" w:type="dxa"/>
              <w:left w:w="100" w:type="dxa"/>
              <w:bottom w:w="90" w:type="dxa"/>
              <w:right w:w="100" w:type="dxa"/>
            </w:tcMar>
            <w:vAlign w:val="center"/>
          </w:tcPr>
          <w:p w14:paraId="5AE2F36A" w14:textId="77777777" w:rsidR="00522DE2" w:rsidRDefault="00BF0975">
            <w:pPr>
              <w:spacing w:after="0" w:line="240" w:lineRule="auto"/>
              <w:jc w:val="center"/>
            </w:pPr>
            <w:r>
              <w:rPr>
                <w:sz w:val="16"/>
              </w:rPr>
              <w:t>78.58 ± 0.43%</w:t>
            </w:r>
          </w:p>
        </w:tc>
        <w:tc>
          <w:tcPr>
            <w:tcW w:w="1250" w:type="dxa"/>
            <w:tcMar>
              <w:top w:w="90" w:type="dxa"/>
              <w:left w:w="100" w:type="dxa"/>
              <w:bottom w:w="90" w:type="dxa"/>
              <w:right w:w="100" w:type="dxa"/>
            </w:tcMar>
            <w:vAlign w:val="center"/>
          </w:tcPr>
          <w:p w14:paraId="4FA11122" w14:textId="77777777" w:rsidR="00522DE2" w:rsidRDefault="00BF0975">
            <w:pPr>
              <w:spacing w:after="0" w:line="240" w:lineRule="auto"/>
              <w:jc w:val="center"/>
            </w:pPr>
            <w:r>
              <w:rPr>
                <w:sz w:val="16"/>
              </w:rPr>
              <w:t>0.7671 ± 0.1216</w:t>
            </w:r>
          </w:p>
        </w:tc>
        <w:tc>
          <w:tcPr>
            <w:tcW w:w="1600" w:type="dxa"/>
            <w:tcMar>
              <w:top w:w="90" w:type="dxa"/>
              <w:left w:w="100" w:type="dxa"/>
              <w:bottom w:w="90" w:type="dxa"/>
              <w:right w:w="100" w:type="dxa"/>
            </w:tcMar>
            <w:vAlign w:val="center"/>
          </w:tcPr>
          <w:p w14:paraId="711B2735" w14:textId="77777777" w:rsidR="00522DE2" w:rsidRDefault="00BF0975">
            <w:pPr>
              <w:spacing w:after="0" w:line="240" w:lineRule="auto"/>
              <w:jc w:val="left"/>
            </w:pPr>
            <w:r>
              <w:rPr>
                <w:sz w:val="16"/>
              </w:rPr>
              <w:t>Hybrid reference</w:t>
            </w:r>
          </w:p>
        </w:tc>
      </w:tr>
      <w:tr w:rsidR="00522DE2" w14:paraId="635C86C3" w14:textId="77777777">
        <w:tc>
          <w:tcPr>
            <w:tcW w:w="2200" w:type="dxa"/>
            <w:tcMar>
              <w:top w:w="90" w:type="dxa"/>
              <w:left w:w="100" w:type="dxa"/>
              <w:bottom w:w="90" w:type="dxa"/>
              <w:right w:w="100" w:type="dxa"/>
            </w:tcMar>
            <w:vAlign w:val="center"/>
          </w:tcPr>
          <w:p w14:paraId="7C2479B8" w14:textId="77777777" w:rsidR="00522DE2" w:rsidRDefault="00BF0975">
            <w:pPr>
              <w:spacing w:after="0" w:line="240" w:lineRule="auto"/>
              <w:jc w:val="left"/>
            </w:pPr>
            <w:r>
              <w:rPr>
                <w:sz w:val="16"/>
              </w:rPr>
              <w:t>Hybrid learned + fixed PE</w:t>
            </w:r>
          </w:p>
        </w:tc>
        <w:tc>
          <w:tcPr>
            <w:tcW w:w="1350" w:type="dxa"/>
            <w:tcMar>
              <w:top w:w="90" w:type="dxa"/>
              <w:left w:w="100" w:type="dxa"/>
              <w:bottom w:w="90" w:type="dxa"/>
              <w:right w:w="100" w:type="dxa"/>
            </w:tcMar>
            <w:vAlign w:val="center"/>
          </w:tcPr>
          <w:p w14:paraId="1E5E8520" w14:textId="77777777" w:rsidR="00522DE2" w:rsidRDefault="00BF0975">
            <w:pPr>
              <w:spacing w:after="0" w:line="240" w:lineRule="auto"/>
              <w:jc w:val="left"/>
            </w:pPr>
            <w:r>
              <w:rPr>
                <w:sz w:val="16"/>
              </w:rPr>
              <w:t>Hybrid</w:t>
            </w:r>
          </w:p>
        </w:tc>
        <w:tc>
          <w:tcPr>
            <w:tcW w:w="1200" w:type="dxa"/>
            <w:tcMar>
              <w:top w:w="90" w:type="dxa"/>
              <w:left w:w="100" w:type="dxa"/>
              <w:bottom w:w="90" w:type="dxa"/>
              <w:right w:w="100" w:type="dxa"/>
            </w:tcMar>
            <w:vAlign w:val="center"/>
          </w:tcPr>
          <w:p w14:paraId="2B25EB14" w14:textId="77777777" w:rsidR="00522DE2" w:rsidRDefault="00BF0975">
            <w:pPr>
              <w:spacing w:after="0" w:line="240" w:lineRule="auto"/>
              <w:jc w:val="center"/>
            </w:pPr>
            <w:r>
              <w:rPr>
                <w:sz w:val="16"/>
              </w:rPr>
              <w:t>809,355</w:t>
            </w:r>
          </w:p>
        </w:tc>
        <w:tc>
          <w:tcPr>
            <w:tcW w:w="1400" w:type="dxa"/>
            <w:tcMar>
              <w:top w:w="90" w:type="dxa"/>
              <w:left w:w="100" w:type="dxa"/>
              <w:bottom w:w="90" w:type="dxa"/>
              <w:right w:w="100" w:type="dxa"/>
            </w:tcMar>
            <w:vAlign w:val="center"/>
          </w:tcPr>
          <w:p w14:paraId="68B8188F" w14:textId="77777777" w:rsidR="00522DE2" w:rsidRDefault="00BF0975">
            <w:pPr>
              <w:spacing w:after="0" w:line="240" w:lineRule="auto"/>
              <w:jc w:val="center"/>
            </w:pPr>
            <w:r>
              <w:rPr>
                <w:sz w:val="16"/>
                <w:b w:val="1"/>
                <w:bCs w:val="1"/>
              </w:rPr>
              <w:t>78.66 ± 0.51%</w:t>
            </w:r>
          </w:p>
        </w:tc>
        <w:tc>
          <w:tcPr>
            <w:tcW w:w="1250" w:type="dxa"/>
            <w:tcMar>
              <w:top w:w="90" w:type="dxa"/>
              <w:left w:w="100" w:type="dxa"/>
              <w:bottom w:w="90" w:type="dxa"/>
              <w:right w:w="100" w:type="dxa"/>
            </w:tcMar>
            <w:vAlign w:val="center"/>
          </w:tcPr>
          <w:p w14:paraId="79930BEC" w14:textId="77777777" w:rsidR="00522DE2" w:rsidRDefault="00BF0975">
            <w:pPr>
              <w:spacing w:after="0" w:line="240" w:lineRule="auto"/>
              <w:jc w:val="center"/>
            </w:pPr>
            <w:r>
              <w:rPr>
                <w:sz w:val="16"/>
                <w:b w:val="1"/>
                <w:bCs w:val="1"/>
              </w:rPr>
              <w:t>0.7587 ± 0.0881</w:t>
            </w:r>
          </w:p>
        </w:tc>
        <w:tc>
          <w:tcPr>
            <w:tcW w:w="1600" w:type="dxa"/>
            <w:tcMar>
              <w:top w:w="90" w:type="dxa"/>
              <w:left w:w="100" w:type="dxa"/>
              <w:bottom w:w="90" w:type="dxa"/>
              <w:right w:w="100" w:type="dxa"/>
            </w:tcMar>
            <w:vAlign w:val="center"/>
          </w:tcPr>
          <w:p w14:paraId="193D651B" w14:textId="77777777" w:rsidR="00522DE2" w:rsidRDefault="00BF0975">
            <w:pPr>
              <w:spacing w:after="0" w:line="240" w:lineRule="auto"/>
              <w:jc w:val="left"/>
            </w:pPr>
            <w:r>
              <w:rPr>
                <w:sz w:val="16"/>
              </w:rPr>
              <w:t>Exploratory combination</w:t>
            </w:r>
          </w:p>
        </w:tc>
      </w:tr>
      <w:tr w:rsidR="00522DE2" w14:paraId="59AB66B1" w14:textId="77777777">
        <w:tc>
          <w:tcPr>
            <w:tcW w:w="2200" w:type="dxa"/>
            <w:tcMar>
              <w:top w:w="90" w:type="dxa"/>
              <w:left w:w="100" w:type="dxa"/>
              <w:bottom w:w="90" w:type="dxa"/>
              <w:right w:w="100" w:type="dxa"/>
            </w:tcMar>
            <w:vAlign w:val="center"/>
          </w:tcPr>
          <w:p w14:paraId="6FAACB64" w14:textId="77777777" w:rsidR="00522DE2" w:rsidRDefault="00BF0975">
            <w:pPr>
              <w:spacing w:after="0" w:line="240" w:lineRule="auto"/>
              <w:jc w:val="left"/>
            </w:pPr>
            <w:r>
              <w:rPr>
                <w:sz w:val="16"/>
              </w:rPr>
              <w:t>Learnable absolute PE</w:t>
            </w:r>
          </w:p>
        </w:tc>
        <w:tc>
          <w:tcPr>
            <w:tcW w:w="1350" w:type="dxa"/>
            <w:tcMar>
              <w:top w:w="90" w:type="dxa"/>
              <w:left w:w="100" w:type="dxa"/>
              <w:bottom w:w="90" w:type="dxa"/>
              <w:right w:w="100" w:type="dxa"/>
            </w:tcMar>
            <w:vAlign w:val="center"/>
          </w:tcPr>
          <w:p w14:paraId="0649B265" w14:textId="77777777" w:rsidR="00522DE2" w:rsidRDefault="00BF0975">
            <w:pPr>
              <w:spacing w:after="0" w:line="240" w:lineRule="auto"/>
              <w:jc w:val="left"/>
            </w:pPr>
            <w:r>
              <w:rPr>
                <w:sz w:val="16"/>
              </w:rPr>
              <w:t>Control</w:t>
            </w:r>
          </w:p>
        </w:tc>
        <w:tc>
          <w:tcPr>
            <w:tcW w:w="1200" w:type="dxa"/>
            <w:tcMar>
              <w:top w:w="90" w:type="dxa"/>
              <w:left w:w="100" w:type="dxa"/>
              <w:bottom w:w="90" w:type="dxa"/>
              <w:right w:w="100" w:type="dxa"/>
            </w:tcMar>
            <w:vAlign w:val="center"/>
          </w:tcPr>
          <w:p w14:paraId="544D71EE" w14:textId="77777777" w:rsidR="00522DE2" w:rsidRDefault="00BF0975">
            <w:pPr>
              <w:spacing w:after="0" w:line="240" w:lineRule="auto"/>
              <w:jc w:val="center"/>
            </w:pPr>
            <w:r>
              <w:rPr>
                <w:sz w:val="16"/>
              </w:rPr>
              <w:t>809,354</w:t>
            </w:r>
          </w:p>
        </w:tc>
        <w:tc>
          <w:tcPr>
            <w:tcW w:w="1400" w:type="dxa"/>
            <w:tcMar>
              <w:top w:w="90" w:type="dxa"/>
              <w:left w:w="100" w:type="dxa"/>
              <w:bottom w:w="90" w:type="dxa"/>
              <w:right w:w="100" w:type="dxa"/>
            </w:tcMar>
            <w:vAlign w:val="center"/>
          </w:tcPr>
          <w:p w14:paraId="3A189BDE" w14:textId="77777777" w:rsidR="00522DE2" w:rsidRDefault="00BF0975">
            <w:pPr>
              <w:spacing w:after="0" w:line="240" w:lineRule="auto"/>
              <w:jc w:val="center"/>
            </w:pPr>
            <w:r>
              <w:rPr>
                <w:sz w:val="16"/>
                <w:b w:val="1"/>
                <w:bCs w:val="1"/>
              </w:rPr>
              <w:t>78.60 ± 0.42%</w:t>
            </w:r>
          </w:p>
        </w:tc>
        <w:tc>
          <w:tcPr>
            <w:tcW w:w="1250" w:type="dxa"/>
            <w:tcMar>
              <w:top w:w="90" w:type="dxa"/>
              <w:left w:w="100" w:type="dxa"/>
              <w:bottom w:w="90" w:type="dxa"/>
              <w:right w:w="100" w:type="dxa"/>
            </w:tcMar>
            <w:vAlign w:val="center"/>
          </w:tcPr>
          <w:p w14:paraId="5D205668" w14:textId="77777777" w:rsidR="00522DE2" w:rsidRDefault="00BF0975">
            <w:pPr>
              <w:spacing w:after="0" w:line="240" w:lineRule="auto"/>
              <w:jc w:val="center"/>
            </w:pPr>
            <w:r>
              <w:rPr>
                <w:sz w:val="16"/>
                <w:b w:val="1"/>
                <w:bCs w:val="1"/>
              </w:rPr>
              <w:t>0.7671 ± 0.1216</w:t>
            </w:r>
          </w:p>
        </w:tc>
        <w:tc>
          <w:tcPr>
            <w:tcW w:w="1600" w:type="dxa"/>
            <w:tcMar>
              <w:top w:w="90" w:type="dxa"/>
              <w:left w:w="100" w:type="dxa"/>
              <w:bottom w:w="90" w:type="dxa"/>
              <w:right w:w="100" w:type="dxa"/>
            </w:tcMar>
            <w:vAlign w:val="center"/>
          </w:tcPr>
          <w:p w14:paraId="3C9FCDEA" w14:textId="77777777" w:rsidR="00522DE2" w:rsidRDefault="00BF0975">
            <w:pPr>
              <w:spacing w:after="0" w:line="240" w:lineRule="auto"/>
              <w:jc w:val="left"/>
            </w:pPr>
            <w:r>
              <w:rPr>
                <w:sz w:val="16"/>
              </w:rPr>
              <w:t>Fusion reference</w:t>
            </w:r>
          </w:p>
        </w:tc>
      </w:tr>
      <w:tr w:rsidR="00522DE2" w14:paraId="58E96A2D" w14:textId="77777777">
        <w:tc>
          <w:tcPr>
            <w:tcW w:w="2200" w:type="dxa"/>
            <w:tcMar>
              <w:top w:w="90" w:type="dxa"/>
              <w:left w:w="100" w:type="dxa"/>
              <w:bottom w:w="90" w:type="dxa"/>
              <w:right w:w="100" w:type="dxa"/>
            </w:tcMar>
            <w:vAlign w:val="center"/>
          </w:tcPr>
          <w:p w14:paraId="1F8F8897" w14:textId="77777777" w:rsidR="00522DE2" w:rsidRDefault="00BF0975">
            <w:pPr>
              <w:spacing w:after="0" w:line="240" w:lineRule="auto"/>
              <w:jc w:val="left"/>
            </w:pPr>
            <w:r>
              <w:rPr>
                <w:sz w:val="16"/>
              </w:rPr>
              <w:t>Mean fusion</w:t>
            </w:r>
          </w:p>
        </w:tc>
        <w:tc>
          <w:tcPr>
            <w:tcW w:w="1350" w:type="dxa"/>
            <w:tcMar>
              <w:top w:w="90" w:type="dxa"/>
              <w:left w:w="100" w:type="dxa"/>
              <w:bottom w:w="90" w:type="dxa"/>
              <w:right w:w="100" w:type="dxa"/>
            </w:tcMar>
            <w:vAlign w:val="center"/>
          </w:tcPr>
          <w:p w14:paraId="6077DF19" w14:textId="77777777" w:rsidR="00522DE2" w:rsidRDefault="00BF0975">
            <w:pPr>
              <w:spacing w:after="0" w:line="240" w:lineRule="auto"/>
              <w:jc w:val="left"/>
            </w:pPr>
            <w:r>
              <w:rPr>
                <w:sz w:val="16"/>
              </w:rPr>
              <w:t>Fusion</w:t>
            </w:r>
          </w:p>
        </w:tc>
        <w:tc>
          <w:tcPr>
            <w:tcW w:w="1200" w:type="dxa"/>
            <w:tcMar>
              <w:top w:w="90" w:type="dxa"/>
              <w:left w:w="100" w:type="dxa"/>
              <w:bottom w:w="90" w:type="dxa"/>
              <w:right w:w="100" w:type="dxa"/>
            </w:tcMar>
            <w:vAlign w:val="center"/>
          </w:tcPr>
          <w:p w14:paraId="71B69E8A" w14:textId="77777777" w:rsidR="00522DE2" w:rsidRDefault="00BF0975">
            <w:pPr>
              <w:spacing w:after="0" w:line="240" w:lineRule="auto"/>
              <w:jc w:val="center"/>
            </w:pPr>
            <w:r>
              <w:rPr>
                <w:sz w:val="16"/>
              </w:rPr>
              <w:t>1,600,778</w:t>
            </w:r>
          </w:p>
        </w:tc>
        <w:tc>
          <w:tcPr>
            <w:tcW w:w="1400" w:type="dxa"/>
            <w:tcMar>
              <w:top w:w="90" w:type="dxa"/>
              <w:left w:w="100" w:type="dxa"/>
              <w:bottom w:w="90" w:type="dxa"/>
              <w:right w:w="100" w:type="dxa"/>
            </w:tcMar>
            <w:vAlign w:val="center"/>
          </w:tcPr>
          <w:p w14:paraId="05ED19E2" w14:textId="77777777" w:rsidR="00522DE2" w:rsidRDefault="00BF0975">
            <w:pPr>
              <w:spacing w:after="0" w:line="240" w:lineRule="auto"/>
              <w:jc w:val="center"/>
            </w:pPr>
            <w:r>
              <w:rPr>
                <w:sz w:val="16"/>
              </w:rPr>
              <w:t>76.33 ± 1.11%</w:t>
            </w:r>
          </w:p>
        </w:tc>
        <w:tc>
          <w:tcPr>
            <w:tcW w:w="1250" w:type="dxa"/>
            <w:tcMar>
              <w:top w:w="90" w:type="dxa"/>
              <w:left w:w="100" w:type="dxa"/>
              <w:bottom w:w="90" w:type="dxa"/>
              <w:right w:w="100" w:type="dxa"/>
            </w:tcMar>
            <w:vAlign w:val="center"/>
          </w:tcPr>
          <w:p w14:paraId="7406AF6A" w14:textId="77777777" w:rsidR="00522DE2" w:rsidRDefault="00BF0975">
            <w:pPr>
              <w:spacing w:after="0" w:line="240" w:lineRule="auto"/>
              <w:jc w:val="center"/>
            </w:pPr>
            <w:r>
              <w:rPr>
                <w:sz w:val="16"/>
              </w:rPr>
              <w:t>0.9480 ± 0.1715</w:t>
            </w:r>
          </w:p>
        </w:tc>
        <w:tc>
          <w:tcPr>
            <w:tcW w:w="1600" w:type="dxa"/>
            <w:tcMar>
              <w:top w:w="90" w:type="dxa"/>
              <w:left w:w="100" w:type="dxa"/>
              <w:bottom w:w="90" w:type="dxa"/>
              <w:right w:w="100" w:type="dxa"/>
            </w:tcMar>
            <w:vAlign w:val="center"/>
          </w:tcPr>
          <w:p w14:paraId="3F847E2D" w14:textId="77777777" w:rsidR="00522DE2" w:rsidRDefault="00BF0975">
            <w:pPr>
              <w:spacing w:after="0" w:line="240" w:lineRule="auto"/>
              <w:jc w:val="left"/>
            </w:pPr>
            <w:r>
              <w:rPr>
                <w:sz w:val="16"/>
              </w:rPr>
              <w:t xml:space="preserve">Capacity </w:t>
            </w:r>
            <w:proofErr w:type="gramStart"/>
            <w:r>
              <w:rPr>
                <w:sz w:val="16"/>
              </w:rPr>
              <w:t>confound</w:t>
            </w:r>
            <w:proofErr w:type="gramEnd"/>
          </w:p>
        </w:tc>
      </w:tr>
      <w:tr w:rsidR="00522DE2" w14:paraId="5AF1CB0A" w14:textId="77777777">
        <w:tc>
          <w:tcPr>
            <w:tcW w:w="2200" w:type="dxa"/>
            <w:tcMar>
              <w:top w:w="90" w:type="dxa"/>
              <w:left w:w="100" w:type="dxa"/>
              <w:bottom w:w="90" w:type="dxa"/>
              <w:right w:w="100" w:type="dxa"/>
            </w:tcMar>
            <w:vAlign w:val="center"/>
          </w:tcPr>
          <w:p w14:paraId="0D9B146C" w14:textId="77777777" w:rsidR="00522DE2" w:rsidRDefault="00BF0975">
            <w:pPr>
              <w:spacing w:after="0" w:line="240" w:lineRule="auto"/>
              <w:jc w:val="left"/>
            </w:pPr>
            <w:r>
              <w:rPr>
                <w:sz w:val="16"/>
              </w:rPr>
              <w:t>Mean + MLP fusion</w:t>
            </w:r>
          </w:p>
        </w:tc>
        <w:tc>
          <w:tcPr>
            <w:tcW w:w="1350" w:type="dxa"/>
            <w:tcMar>
              <w:top w:w="90" w:type="dxa"/>
              <w:left w:w="100" w:type="dxa"/>
              <w:bottom w:w="90" w:type="dxa"/>
              <w:right w:w="100" w:type="dxa"/>
            </w:tcMar>
            <w:vAlign w:val="center"/>
          </w:tcPr>
          <w:p w14:paraId="116B1F12" w14:textId="77777777" w:rsidR="00522DE2" w:rsidRDefault="00BF0975">
            <w:pPr>
              <w:spacing w:after="0" w:line="240" w:lineRule="auto"/>
              <w:jc w:val="left"/>
            </w:pPr>
            <w:r>
              <w:rPr>
                <w:sz w:val="16"/>
              </w:rPr>
              <w:t>Fusion</w:t>
            </w:r>
          </w:p>
        </w:tc>
        <w:tc>
          <w:tcPr>
            <w:tcW w:w="1200" w:type="dxa"/>
            <w:tcMar>
              <w:top w:w="90" w:type="dxa"/>
              <w:left w:w="100" w:type="dxa"/>
              <w:bottom w:w="90" w:type="dxa"/>
              <w:right w:w="100" w:type="dxa"/>
            </w:tcMar>
            <w:vAlign w:val="center"/>
          </w:tcPr>
          <w:p w14:paraId="5593B2FB" w14:textId="77777777" w:rsidR="00522DE2" w:rsidRDefault="00BF0975">
            <w:pPr>
              <w:spacing w:after="0" w:line="240" w:lineRule="auto"/>
              <w:jc w:val="center"/>
            </w:pPr>
            <w:r>
              <w:rPr>
                <w:sz w:val="16"/>
              </w:rPr>
              <w:t>1,732,746</w:t>
            </w:r>
          </w:p>
        </w:tc>
        <w:tc>
          <w:tcPr>
            <w:tcW w:w="1400" w:type="dxa"/>
            <w:tcMar>
              <w:top w:w="90" w:type="dxa"/>
              <w:left w:w="100" w:type="dxa"/>
              <w:bottom w:w="90" w:type="dxa"/>
              <w:right w:w="100" w:type="dxa"/>
            </w:tcMar>
            <w:vAlign w:val="center"/>
          </w:tcPr>
          <w:p w14:paraId="1E461EED" w14:textId="77777777" w:rsidR="00522DE2" w:rsidRDefault="00BF0975">
            <w:pPr>
              <w:spacing w:after="0" w:line="240" w:lineRule="auto"/>
              <w:jc w:val="center"/>
            </w:pPr>
            <w:r>
              <w:rPr>
                <w:sz w:val="16"/>
              </w:rPr>
              <w:t>76.61 ± 0.50%</w:t>
            </w:r>
          </w:p>
        </w:tc>
        <w:tc>
          <w:tcPr>
            <w:tcW w:w="1250" w:type="dxa"/>
            <w:tcMar>
              <w:top w:w="90" w:type="dxa"/>
              <w:left w:w="100" w:type="dxa"/>
              <w:bottom w:w="90" w:type="dxa"/>
              <w:right w:w="100" w:type="dxa"/>
            </w:tcMar>
            <w:vAlign w:val="center"/>
          </w:tcPr>
          <w:p w14:paraId="031D387A" w14:textId="77777777" w:rsidR="00522DE2" w:rsidRDefault="00BF0975">
            <w:pPr>
              <w:spacing w:after="0" w:line="240" w:lineRule="auto"/>
              <w:jc w:val="center"/>
            </w:pPr>
            <w:r>
              <w:rPr>
                <w:sz w:val="16"/>
              </w:rPr>
              <w:t>0.9218 ± 0.1866</w:t>
            </w:r>
          </w:p>
        </w:tc>
        <w:tc>
          <w:tcPr>
            <w:tcW w:w="1600" w:type="dxa"/>
            <w:tcMar>
              <w:top w:w="90" w:type="dxa"/>
              <w:left w:w="100" w:type="dxa"/>
              <w:bottom w:w="90" w:type="dxa"/>
              <w:right w:w="100" w:type="dxa"/>
            </w:tcMar>
            <w:vAlign w:val="center"/>
          </w:tcPr>
          <w:p w14:paraId="130C53A6" w14:textId="77777777" w:rsidR="00522DE2" w:rsidRDefault="00BF0975">
            <w:pPr>
              <w:spacing w:after="0" w:line="240" w:lineRule="auto"/>
              <w:jc w:val="left"/>
            </w:pPr>
            <w:r>
              <w:rPr>
                <w:sz w:val="16"/>
              </w:rPr>
              <w:t xml:space="preserve">Capacity </w:t>
            </w:r>
            <w:proofErr w:type="gramStart"/>
            <w:r>
              <w:rPr>
                <w:sz w:val="16"/>
              </w:rPr>
              <w:t>confound</w:t>
            </w:r>
            <w:proofErr w:type="gramEnd"/>
          </w:p>
        </w:tc>
      </w:tr>
      <w:tr w:rsidR="00522DE2" w14:paraId="0E943B8C" w14:textId="77777777">
        <w:tc>
          <w:tcPr>
            <w:tcW w:w="2200" w:type="dxa"/>
            <w:tcMar>
              <w:top w:w="90" w:type="dxa"/>
              <w:left w:w="100" w:type="dxa"/>
              <w:bottom w:w="90" w:type="dxa"/>
              <w:right w:w="100" w:type="dxa"/>
            </w:tcMar>
            <w:vAlign w:val="center"/>
          </w:tcPr>
          <w:p w14:paraId="09073745" w14:textId="77777777" w:rsidR="00522DE2" w:rsidRDefault="00BF0975">
            <w:pPr>
              <w:spacing w:after="0" w:line="240" w:lineRule="auto"/>
              <w:jc w:val="left"/>
            </w:pPr>
            <w:r>
              <w:rPr>
                <w:sz w:val="16"/>
              </w:rPr>
              <w:t>Concatenation + MLP fusion</w:t>
            </w:r>
          </w:p>
        </w:tc>
        <w:tc>
          <w:tcPr>
            <w:tcW w:w="1350" w:type="dxa"/>
            <w:tcMar>
              <w:top w:w="90" w:type="dxa"/>
              <w:left w:w="100" w:type="dxa"/>
              <w:bottom w:w="90" w:type="dxa"/>
              <w:right w:w="100" w:type="dxa"/>
            </w:tcMar>
            <w:vAlign w:val="center"/>
          </w:tcPr>
          <w:p w14:paraId="74E01679" w14:textId="77777777" w:rsidR="00522DE2" w:rsidRDefault="00BF0975">
            <w:pPr>
              <w:spacing w:after="0" w:line="240" w:lineRule="auto"/>
              <w:jc w:val="left"/>
            </w:pPr>
            <w:r>
              <w:rPr>
                <w:sz w:val="16"/>
              </w:rPr>
              <w:t>Fusion</w:t>
            </w:r>
          </w:p>
        </w:tc>
        <w:tc>
          <w:tcPr>
            <w:tcW w:w="1200" w:type="dxa"/>
            <w:tcMar>
              <w:top w:w="90" w:type="dxa"/>
              <w:left w:w="100" w:type="dxa"/>
              <w:bottom w:w="90" w:type="dxa"/>
              <w:right w:w="100" w:type="dxa"/>
            </w:tcMar>
            <w:vAlign w:val="center"/>
          </w:tcPr>
          <w:p w14:paraId="53CB19F0" w14:textId="77777777" w:rsidR="00522DE2" w:rsidRDefault="00BF0975">
            <w:pPr>
              <w:spacing w:after="0" w:line="240" w:lineRule="auto"/>
              <w:jc w:val="center"/>
            </w:pPr>
            <w:r>
              <w:rPr>
                <w:sz w:val="16"/>
              </w:rPr>
              <w:t>1,798,538</w:t>
            </w:r>
          </w:p>
        </w:tc>
        <w:tc>
          <w:tcPr>
            <w:tcW w:w="1400" w:type="dxa"/>
            <w:tcMar>
              <w:top w:w="90" w:type="dxa"/>
              <w:left w:w="100" w:type="dxa"/>
              <w:bottom w:w="90" w:type="dxa"/>
              <w:right w:w="100" w:type="dxa"/>
            </w:tcMar>
            <w:vAlign w:val="center"/>
          </w:tcPr>
          <w:p w14:paraId="31AF014D" w14:textId="77777777" w:rsidR="00522DE2" w:rsidRDefault="00BF0975">
            <w:pPr>
              <w:spacing w:after="0" w:line="240" w:lineRule="auto"/>
              <w:jc w:val="center"/>
            </w:pPr>
            <w:r>
              <w:rPr>
                <w:sz w:val="16"/>
              </w:rPr>
              <w:t>76.00 ± 1.76%</w:t>
            </w:r>
          </w:p>
        </w:tc>
        <w:tc>
          <w:tcPr>
            <w:tcW w:w="1250" w:type="dxa"/>
            <w:tcMar>
              <w:top w:w="90" w:type="dxa"/>
              <w:left w:w="100" w:type="dxa"/>
              <w:bottom w:w="90" w:type="dxa"/>
              <w:right w:w="100" w:type="dxa"/>
            </w:tcMar>
            <w:vAlign w:val="center"/>
          </w:tcPr>
          <w:p w14:paraId="21D1BD24" w14:textId="77777777" w:rsidR="00522DE2" w:rsidRDefault="00BF0975">
            <w:pPr>
              <w:spacing w:after="0" w:line="240" w:lineRule="auto"/>
              <w:jc w:val="center"/>
            </w:pPr>
            <w:r>
              <w:rPr>
                <w:sz w:val="16"/>
              </w:rPr>
              <w:t>0.8732 ± 0.1053</w:t>
            </w:r>
          </w:p>
        </w:tc>
        <w:tc>
          <w:tcPr>
            <w:tcW w:w="1600" w:type="dxa"/>
            <w:tcMar>
              <w:top w:w="90" w:type="dxa"/>
              <w:left w:w="100" w:type="dxa"/>
              <w:bottom w:w="90" w:type="dxa"/>
              <w:right w:w="100" w:type="dxa"/>
            </w:tcMar>
            <w:vAlign w:val="center"/>
          </w:tcPr>
          <w:p w14:paraId="0651E393" w14:textId="77777777" w:rsidR="00522DE2" w:rsidRDefault="00BF0975">
            <w:pPr>
              <w:spacing w:after="0" w:line="240" w:lineRule="auto"/>
              <w:jc w:val="left"/>
            </w:pPr>
            <w:r>
              <w:rPr>
                <w:sz w:val="16"/>
              </w:rPr>
              <w:t xml:space="preserve">Capacity </w:t>
            </w:r>
            <w:proofErr w:type="gramStart"/>
            <w:r>
              <w:rPr>
                <w:sz w:val="16"/>
              </w:rPr>
              <w:t>confound</w:t>
            </w:r>
            <w:proofErr w:type="gramEnd"/>
          </w:p>
        </w:tc>
      </w:tr>
      <w:tr w:rsidR="00401446" w14:paraId="13E2D6F2" w14:textId="77777777">
        <w:tc>
          <w:tcPr>
            <w:tcW w:w="2200" w:type="dxa"/>
          </w:tcPr>
          <w:p w14:paraId="67BD25BA" w14:textId="77777777" w:rsidR="00401446" w:rsidRDefault="00024CC3">
            <w:pPr>
              <w:jc w:val="left"/>
            </w:pPr>
            <w:r>
              <w:rPr>
                <w:sz w:val="16"/>
              </w:rPr>
              <w:t>Bidirectional cross-attention</w:t>
            </w:r>
          </w:p>
        </w:tc>
        <w:tc>
          <w:tcPr>
            <w:tcW w:w="1350" w:type="dxa"/>
          </w:tcPr>
          <w:p w14:paraId="5E5D2F6E" w14:textId="77777777" w:rsidR="00401446" w:rsidRDefault="00024CC3">
            <w:pPr>
              <w:jc w:val="left"/>
            </w:pPr>
            <w:r>
              <w:rPr>
                <w:sz w:val="16"/>
              </w:rPr>
              <w:t>Fusion</w:t>
            </w:r>
          </w:p>
        </w:tc>
        <w:tc>
          <w:tcPr>
            <w:tcW w:w="1200" w:type="dxa"/>
          </w:tcPr>
          <w:p w14:paraId="37F16727" w14:textId="77777777" w:rsidR="00401446" w:rsidRDefault="00024CC3">
            <w:pPr>
              <w:jc w:val="center"/>
            </w:pPr>
            <w:r>
              <w:rPr>
                <w:sz w:val="16"/>
              </w:rPr>
              <w:t>1,999,114</w:t>
            </w:r>
          </w:p>
        </w:tc>
        <w:tc>
          <w:tcPr>
            <w:tcW w:w="1400" w:type="dxa"/>
          </w:tcPr>
          <w:p w14:paraId="430F14FD" w14:textId="77777777" w:rsidR="00401446" w:rsidRDefault="00024CC3">
            <w:pPr>
              <w:jc w:val="center"/>
            </w:pPr>
            <w:r>
              <w:rPr>
                <w:sz w:val="16"/>
              </w:rPr>
              <w:t>77.72 ± 0.39%</w:t>
            </w:r>
          </w:p>
        </w:tc>
        <w:tc>
          <w:tcPr>
            <w:tcW w:w="1250" w:type="dxa"/>
          </w:tcPr>
          <w:p w14:paraId="34A5153D" w14:textId="77777777" w:rsidR="00401446" w:rsidRDefault="00024CC3">
            <w:pPr>
              <w:jc w:val="center"/>
            </w:pPr>
            <w:r>
              <w:rPr>
                <w:sz w:val="16"/>
              </w:rPr>
              <w:t>0.9299 ± 0.1172</w:t>
            </w:r>
          </w:p>
        </w:tc>
        <w:tc>
          <w:tcPr>
            <w:tcW w:w="1600" w:type="dxa"/>
          </w:tcPr>
          <w:p w14:paraId="3C2C8B25" w14:textId="77777777" w:rsidR="00401446" w:rsidRDefault="00024CC3">
            <w:pPr>
              <w:jc w:val="left"/>
            </w:pPr>
            <w:r>
              <w:rPr>
                <w:sz w:val="16"/>
              </w:rPr>
              <w:t xml:space="preserve">Capacity </w:t>
            </w:r>
            <w:proofErr w:type="gramStart"/>
            <w:r>
              <w:rPr>
                <w:sz w:val="16"/>
              </w:rPr>
              <w:t>confound</w:t>
            </w:r>
            <w:proofErr w:type="gramEnd"/>
          </w:p>
        </w:tc>
      </w:tr>
      <w:tr w:rsidR="00401446" w14:paraId="3C22FBA3" w14:textId="77777777">
        <w:tc>
          <w:tcPr>
            <w:tcW w:w="2200" w:type="dxa"/>
          </w:tcPr>
          <w:p w14:paraId="005CC6DA" w14:textId="77777777" w:rsidR="00401446" w:rsidRDefault="00024CC3">
            <w:pPr>
              <w:jc w:val="left"/>
            </w:pPr>
            <w:r>
              <w:rPr>
                <w:sz w:val="16"/>
              </w:rPr>
              <w:t>Cross-attention + MLP head</w:t>
            </w:r>
          </w:p>
        </w:tc>
        <w:tc>
          <w:tcPr>
            <w:tcW w:w="1350" w:type="dxa"/>
          </w:tcPr>
          <w:p w14:paraId="024550DF" w14:textId="77777777" w:rsidR="00401446" w:rsidRDefault="00024CC3">
            <w:pPr>
              <w:jc w:val="left"/>
            </w:pPr>
            <w:r>
              <w:rPr>
                <w:sz w:val="16"/>
              </w:rPr>
              <w:t>Fusion</w:t>
            </w:r>
          </w:p>
        </w:tc>
        <w:tc>
          <w:tcPr>
            <w:tcW w:w="1200" w:type="dxa"/>
          </w:tcPr>
          <w:p w14:paraId="383C2CEB" w14:textId="77777777" w:rsidR="00401446" w:rsidRDefault="00024CC3">
            <w:pPr>
              <w:jc w:val="center"/>
            </w:pPr>
            <w:r>
              <w:rPr>
                <w:sz w:val="16"/>
              </w:rPr>
              <w:t>2,031,242</w:t>
            </w:r>
          </w:p>
        </w:tc>
        <w:tc>
          <w:tcPr>
            <w:tcW w:w="1400" w:type="dxa"/>
          </w:tcPr>
          <w:p w14:paraId="7793F42B" w14:textId="77777777" w:rsidR="00401446" w:rsidRDefault="00024CC3">
            <w:pPr>
              <w:jc w:val="center"/>
            </w:pPr>
            <w:r>
              <w:rPr>
                <w:sz w:val="16"/>
              </w:rPr>
              <w:t>77.74 ± 0.44%</w:t>
            </w:r>
          </w:p>
        </w:tc>
        <w:tc>
          <w:tcPr>
            <w:tcW w:w="1250" w:type="dxa"/>
          </w:tcPr>
          <w:p w14:paraId="020B1A79" w14:textId="77777777" w:rsidR="00401446" w:rsidRDefault="00024CC3">
            <w:pPr>
              <w:jc w:val="center"/>
            </w:pPr>
            <w:r>
              <w:rPr>
                <w:sz w:val="16"/>
              </w:rPr>
              <w:t>0.8156 ± 0.1324</w:t>
            </w:r>
          </w:p>
        </w:tc>
        <w:tc>
          <w:tcPr>
            <w:tcW w:w="1600" w:type="dxa"/>
          </w:tcPr>
          <w:p w14:paraId="7F034961" w14:textId="77777777" w:rsidR="00401446" w:rsidRDefault="00024CC3">
            <w:pPr>
              <w:jc w:val="left"/>
            </w:pPr>
            <w:r>
              <w:rPr>
                <w:sz w:val="16"/>
              </w:rPr>
              <w:t xml:space="preserve">Capacity </w:t>
            </w:r>
            <w:proofErr w:type="gramStart"/>
            <w:r>
              <w:rPr>
                <w:sz w:val="16"/>
              </w:rPr>
              <w:t>confound</w:t>
            </w:r>
            <w:proofErr w:type="gramEnd"/>
          </w:p>
        </w:tc>
      </w:tr>
      <w:tr w:rsidR="00401446" w14:paraId="685DDF8C" w14:textId="77777777">
        <w:tc>
          <w:tcPr>
            <w:tcW w:w="2200" w:type="dxa"/>
          </w:tcPr>
          <w:p w14:paraId="251C6E43" w14:textId="77777777" w:rsidR="00401446" w:rsidRDefault="00024CC3">
            <w:pPr>
              <w:jc w:val="left"/>
            </w:pPr>
            <w:r>
              <w:rPr>
                <w:sz w:val="16"/>
              </w:rPr>
              <w:t>Squared multiplicative PE</w:t>
            </w:r>
          </w:p>
        </w:tc>
        <w:tc>
          <w:tcPr>
            <w:tcW w:w="1350" w:type="dxa"/>
          </w:tcPr>
          <w:p w14:paraId="4EBED635" w14:textId="77777777" w:rsidR="00401446" w:rsidRDefault="00024CC3">
            <w:pPr>
              <w:jc w:val="left"/>
            </w:pPr>
            <w:r>
              <w:rPr>
                <w:sz w:val="16"/>
              </w:rPr>
              <w:t>Fixed extension</w:t>
            </w:r>
          </w:p>
        </w:tc>
        <w:tc>
          <w:tcPr>
            <w:tcW w:w="1200" w:type="dxa"/>
          </w:tcPr>
          <w:p w14:paraId="0A2C8F3E" w14:textId="77777777" w:rsidR="00401446" w:rsidRDefault="00024CC3">
            <w:pPr>
              <w:jc w:val="center"/>
            </w:pPr>
            <w:r>
              <w:rPr>
                <w:sz w:val="16"/>
              </w:rPr>
              <w:t>801,034</w:t>
            </w:r>
          </w:p>
        </w:tc>
        <w:tc>
          <w:tcPr>
            <w:tcW w:w="1400" w:type="dxa"/>
          </w:tcPr>
          <w:p w14:paraId="6A7FE4C9" w14:textId="77777777" w:rsidR="00401446" w:rsidRDefault="00024CC3">
            <w:pPr>
              <w:jc w:val="center"/>
            </w:pPr>
            <w:r>
              <w:rPr>
                <w:sz w:val="16"/>
              </w:rPr>
              <w:t>77.13 ± 0.52%</w:t>
            </w:r>
          </w:p>
        </w:tc>
        <w:tc>
          <w:tcPr>
            <w:tcW w:w="1250" w:type="dxa"/>
          </w:tcPr>
          <w:p w14:paraId="4778D3C0" w14:textId="77777777" w:rsidR="00401446" w:rsidRDefault="00024CC3">
            <w:pPr>
              <w:jc w:val="center"/>
            </w:pPr>
            <w:r>
              <w:rPr>
                <w:sz w:val="16"/>
                <w:b w:val="1"/>
                <w:bCs w:val="1"/>
              </w:rPr>
              <w:t>0.7642 ± 0.0814</w:t>
            </w:r>
          </w:p>
        </w:tc>
        <w:tc>
          <w:tcPr>
            <w:tcW w:w="1600" w:type="dxa"/>
          </w:tcPr>
          <w:p w14:paraId="016059B3" w14:textId="77777777" w:rsidR="00401446" w:rsidRDefault="00024CC3">
            <w:pPr>
              <w:jc w:val="left"/>
            </w:pPr>
            <w:r>
              <w:rPr>
                <w:sz w:val="16"/>
              </w:rPr>
              <w:t>Secondary evidence</w:t>
            </w:r>
          </w:p>
        </w:tc>
      </w:tr>
      <w:tr w:rsidR="00401446" w14:paraId="644C7485" w14:textId="77777777">
        <w:tc>
          <w:tcPr>
            <w:tcW w:w="2200" w:type="dxa"/>
          </w:tcPr>
          <w:p w14:paraId="7455EE8D" w14:textId="77777777" w:rsidR="00401446" w:rsidRDefault="00024CC3">
            <w:pPr>
              <w:jc w:val="left"/>
            </w:pPr>
            <w:r>
              <w:rPr>
                <w:sz w:val="16"/>
              </w:rPr>
              <w:t>Shifted squared multiplicative PE</w:t>
            </w:r>
          </w:p>
        </w:tc>
        <w:tc>
          <w:tcPr>
            <w:tcW w:w="1350" w:type="dxa"/>
          </w:tcPr>
          <w:p w14:paraId="1FAD83B9" w14:textId="77777777" w:rsidR="00401446" w:rsidRDefault="00024CC3">
            <w:pPr>
              <w:jc w:val="left"/>
            </w:pPr>
            <w:r>
              <w:rPr>
                <w:sz w:val="16"/>
              </w:rPr>
              <w:t>Fixed extension</w:t>
            </w:r>
          </w:p>
        </w:tc>
        <w:tc>
          <w:tcPr>
            <w:tcW w:w="1200" w:type="dxa"/>
          </w:tcPr>
          <w:p w14:paraId="5EA30448" w14:textId="77777777" w:rsidR="00401446" w:rsidRDefault="00024CC3">
            <w:pPr>
              <w:jc w:val="center"/>
            </w:pPr>
            <w:r>
              <w:rPr>
                <w:sz w:val="16"/>
              </w:rPr>
              <w:t>801,034</w:t>
            </w:r>
          </w:p>
        </w:tc>
        <w:tc>
          <w:tcPr>
            <w:tcW w:w="1400" w:type="dxa"/>
          </w:tcPr>
          <w:p w14:paraId="2EE82136" w14:textId="77777777" w:rsidR="00401446" w:rsidRDefault="00024CC3">
            <w:pPr>
              <w:jc w:val="center"/>
            </w:pPr>
            <w:r>
              <w:rPr>
                <w:sz w:val="16"/>
                <w:b w:val="1"/>
                <w:bCs w:val="1"/>
              </w:rPr>
              <w:t>77.61 ± 0.82%</w:t>
            </w:r>
          </w:p>
        </w:tc>
        <w:tc>
          <w:tcPr>
            <w:tcW w:w="1250" w:type="dxa"/>
          </w:tcPr>
          <w:p w14:paraId="1A4EF367" w14:textId="77777777" w:rsidR="00401446" w:rsidRDefault="00024CC3">
            <w:pPr>
              <w:jc w:val="center"/>
            </w:pPr>
            <w:r>
              <w:rPr>
                <w:sz w:val="16"/>
              </w:rPr>
              <w:t>0.7750 ± 0.1117</w:t>
            </w:r>
          </w:p>
        </w:tc>
        <w:tc>
          <w:tcPr>
            <w:tcW w:w="1600" w:type="dxa"/>
          </w:tcPr>
          <w:p w14:paraId="61DC87A3" w14:textId="77777777" w:rsidR="00401446" w:rsidRDefault="00024CC3">
            <w:pPr>
              <w:jc w:val="left"/>
            </w:pPr>
            <w:r>
              <w:rPr>
                <w:sz w:val="16"/>
              </w:rPr>
              <w:t>Secondary evidence</w:t>
            </w:r>
          </w:p>
        </w:tc>
      </w:tr>
      <w:tr w:rsidR="00401446" w14:paraId="46AFF32F" w14:textId="77777777">
        <w:tc>
          <w:tcPr>
            <w:tcW w:w="2200" w:type="dxa"/>
          </w:tcPr>
          <w:p w14:paraId="641EF944" w14:textId="77777777" w:rsidR="00401446" w:rsidRDefault="00024CC3">
            <w:pPr>
              <w:jc w:val="left"/>
            </w:pPr>
            <w:r>
              <w:rPr>
                <w:sz w:val="16"/>
              </w:rPr>
              <w:t>Radial PE</w:t>
            </w:r>
          </w:p>
        </w:tc>
        <w:tc>
          <w:tcPr>
            <w:tcW w:w="1350" w:type="dxa"/>
          </w:tcPr>
          <w:p w14:paraId="134D9593" w14:textId="77777777" w:rsidR="00401446" w:rsidRDefault="00024CC3">
            <w:pPr>
              <w:jc w:val="left"/>
            </w:pPr>
            <w:r>
              <w:rPr>
                <w:sz w:val="16"/>
              </w:rPr>
              <w:t>Fixed extension</w:t>
            </w:r>
          </w:p>
        </w:tc>
        <w:tc>
          <w:tcPr>
            <w:tcW w:w="1200" w:type="dxa"/>
          </w:tcPr>
          <w:p w14:paraId="226FE326" w14:textId="77777777" w:rsidR="00401446" w:rsidRDefault="00024CC3">
            <w:pPr>
              <w:jc w:val="center"/>
            </w:pPr>
            <w:r>
              <w:rPr>
                <w:sz w:val="16"/>
              </w:rPr>
              <w:t>801,034</w:t>
            </w:r>
          </w:p>
        </w:tc>
        <w:tc>
          <w:tcPr>
            <w:tcW w:w="1400" w:type="dxa"/>
          </w:tcPr>
          <w:p w14:paraId="3969EBDE" w14:textId="77777777" w:rsidR="00401446" w:rsidRDefault="00024CC3">
            <w:pPr>
              <w:jc w:val="center"/>
            </w:pPr>
            <w:r>
              <w:rPr>
                <w:sz w:val="16"/>
              </w:rPr>
              <w:t>75.64 ± 0.60%</w:t>
            </w:r>
          </w:p>
        </w:tc>
        <w:tc>
          <w:tcPr>
            <w:tcW w:w="1250" w:type="dxa"/>
          </w:tcPr>
          <w:p w14:paraId="2F8A6CEE" w14:textId="77777777" w:rsidR="00401446" w:rsidRDefault="00024CC3">
            <w:pPr>
              <w:jc w:val="center"/>
            </w:pPr>
            <w:r>
              <w:rPr>
                <w:sz w:val="16"/>
              </w:rPr>
              <w:t>0.8296 ± 0.0758</w:t>
            </w:r>
          </w:p>
        </w:tc>
        <w:tc>
          <w:tcPr>
            <w:tcW w:w="1600" w:type="dxa"/>
          </w:tcPr>
          <w:p w14:paraId="6C81B2A9" w14:textId="77777777" w:rsidR="00401446" w:rsidRDefault="00024CC3">
            <w:pPr>
              <w:jc w:val="left"/>
            </w:pPr>
            <w:r>
              <w:rPr>
                <w:sz w:val="16"/>
              </w:rPr>
              <w:t>Secondary evidence</w:t>
            </w:r>
          </w:p>
        </w:tc>
      </w:tr>
    </w:tbl>
    <w:p w14:paraId="67111A3A" w14:textId="7B5CBB77" w:rsidR="00522DE2" w:rsidRDefault="00BF0975">
      <w:r>
        <w:t>The hybrid differed from its order-matched learned control by +0.09 percentage points (95% CI [−0.24, +0.41]). At the selected checkpoints, its learned fixed-position scale had a mean of 0.0060 and ranged from −0.0403 to 0.0492. The best dual-branch result came from cross-attention with an MLP head at 77.74 ± 0.44%, but it remained 0.86 points below learnable absolute PE in the paired comparison (95% CI [−1.45, −0.27]) while increasing the parameter count from 809,354 to 2,031,242. Neither squared variant nor radial PE exceeded the strongest core single-branch results. Figure 10 compares the validation dynamics of the five fusion variants with learnable absolute PE.</w:t>
      </w:r>
    </w:p>
    <w:p w14:paraId="16282034" w14:textId="77777777" w:rsidR="00D45184" w:rsidRDefault="00000000">
      <w:pPr>
        <w:keepNext/>
        <w:keepLines/>
        <w:spacing w:before="120" w:after="60"/>
        <w:jc w:val="center"/>
      </w:pPr>
      <w:r>
        <w:rPr>
          <w:noProof/>
        </w:rPr>
        <w:lastRenderedPageBreak/>
        <w:drawing>
          <wp:inline distT="0" distB="0" distL="0" distR="0" wp14:anchorId="7D2E4055" wp14:editId="7266E69A">
            <wp:extent cx="5623560" cy="2780787"/>
            <wp:effectExtent l="0" t="0" r="0" b="0"/>
            <wp:docPr id="1452386637" name="Picture 1452386637" descr="Line charts of CIFAR-10 validation accuracy and validation loss for five row-column fusion variants and learnable absolute positional encoding across five seed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623560" cy="2780787"/>
                    </a:xfrm>
                    <a:prstGeom prst="rect">
                      <a:avLst/>
                    </a:prstGeom>
                  </pic:spPr>
                </pic:pic>
              </a:graphicData>
            </a:graphic>
          </wp:inline>
        </w:drawing>
      </w:r>
    </w:p>
    <w:p w14:paraId="1C682B68" w14:textId="58EDD790" w:rsidR="00D45184" w:rsidRDefault="00000000">
      <w:pPr>
        <w:pStyle w:val="Caption"/>
        <w:keepLines/>
        <w:jc w:val="center"/>
      </w:pPr>
      <w:r>
        <w:rPr>
          <w:sz w:val="20"/>
        </w:rPr>
        <w:t xml:space="preserve">Figure </w:t>
      </w:r>
      <w:bookmarkStart w:id="24" w:name="fig10"/>
      <w:r>
        <w:rPr>
          <w:sz w:val="20"/>
        </w:rPr>
        <w:fldChar w:fldCharType="begin"/>
      </w:r>
      <w:r>
        <w:rPr>
          <w:sz w:val="20"/>
        </w:rPr>
        <w:instrText xml:space="preserve"> SEQ Figure </w:instrText>
      </w:r>
      <w:r>
        <w:rPr>
          <w:sz w:val="20"/>
        </w:rPr>
        <w:fldChar w:fldCharType="separate"/>
      </w:r>
      <w:r w:rsidR="004E69DC">
        <w:rPr>
          <w:noProof/>
          <w:sz w:val="20"/>
        </w:rPr>
        <w:t>10</w:t>
      </w:r>
      <w:r>
        <w:rPr>
          <w:sz w:val="20"/>
        </w:rPr>
        <w:fldChar w:fldCharType="end"/>
      </w:r>
      <w:bookmarkEnd w:id="24"/>
      <w:r>
        <w:rPr>
          <w:sz w:val="20"/>
        </w:rPr>
        <w:t>: Validation dynamics for learnable PE and five fusion variants on CIFAR-10.</w:t>
      </w:r>
    </w:p>
    <w:p w14:paraId="6355F751" w14:textId="77777777" w:rsidR="00522DE2" w:rsidRDefault="00BF0975">
      <w:pPr>
        <w:pStyle w:val="Heading2"/>
      </w:pPr>
      <w:r>
        <w:t>4.8 Summary of Empirical Findings</w:t>
      </w:r>
    </w:p>
    <w:p w14:paraId="73FDC3A7" w14:textId="77777777" w:rsidR="00522DE2" w:rsidRDefault="00BF0975">
      <w:pPr>
        <w:keepLines/>
      </w:pPr>
      <w:r>
        <w:t>Across the experiments, positional information consistently improved on the no-PE control, learnable absolute PE had the highest core mean accuracy, and shifted multiplicative PE was the strongest fixed design. Patch-assignment changes were small for no PE and learnable PE but larger for several fixed mappings. In the reduced-data study, shifted multiplicative PE led only with 1,000 training examples; learnable PE had the higher mean at 5,000, 10,000 and full data. The four pre-selected methods kept the same ranking on CIFAR-100. Finally, none of the more expensive fusion designs improved on the learnable single-branch reference.</w:t>
      </w:r>
    </w:p>
    <w:p w14:paraId="6947C6B7" w14:textId="77777777" w:rsidR="00522DE2" w:rsidRDefault="00BF0975">
      <w:r>
        <w:t>The evidence is broader than a single CIFAR-10 table, but it remains bounded by one small ViT architecture, one split-construction rule and five training seeds. Chapter 5 examines what the low-data reversal, assignment effects and stable CIFAR-100 ranking may mean without treating them as universal properties of positional encoding.</w:t>
      </w:r>
    </w:p>
    <w:p w14:paraId="019F4DCD" w14:textId="77777777" w:rsidR="006C3F57" w:rsidRDefault="00551678">
      <w:pPr>
        <w:pStyle w:val="Heading1"/>
        <w:pageBreakBefore/>
      </w:pPr>
      <w:r>
        <w:lastRenderedPageBreak/>
        <w:t>5 Analysis and Discussion</w:t>
      </w:r>
    </w:p>
    <w:p w14:paraId="5778537D" w14:textId="77777777" w:rsidR="006C3F57" w:rsidRDefault="00551678">
      <w:pPr>
        <w:pStyle w:val="Callout"/>
        <w:pBdr>
          <w:left w:val="single" w:sz="16" w:space="8" w:color="2E74B5"/>
        </w:pBdr>
        <w:shd w:val="clear" w:color="auto" w:fill="EAF2F8"/>
      </w:pPr>
      <w:r>
        <w:rPr>
          <w:b/>
        </w:rPr>
        <w:t xml:space="preserve">CHAPTER </w:t>
      </w:r>
      <w:proofErr w:type="gramStart"/>
      <w:r>
        <w:rPr>
          <w:b/>
        </w:rPr>
        <w:t xml:space="preserve">JOB  </w:t>
      </w:r>
      <w:r>
        <w:t>Answer</w:t>
      </w:r>
      <w:proofErr w:type="gramEnd"/>
      <w:r>
        <w:t xml:space="preserve"> the RQs, connect results to mechanisms cautiously, compare with prior work, and explain what a practitioner should take away.</w:t>
      </w:r>
    </w:p>
    <w:p w14:paraId="3E27CE15" w14:textId="77777777" w:rsidR="006C3F57" w:rsidRDefault="00551678">
      <w:pPr>
        <w:pStyle w:val="Heading2"/>
      </w:pPr>
      <w:r>
        <w:t>5.1 Answer to RQ1: does positional encoding matter?</w:t>
      </w:r>
    </w:p>
    <w:p w14:paraId="1819E19C" w14:textId="77777777" w:rsidR="006C3F57" w:rsidRDefault="00551678">
      <w:r>
        <w:t xml:space="preserve">The verified CIFAR-10 evidence supports the narrow conclusion that positional information materially improves the evaluated </w:t>
      </w:r>
      <w:proofErr w:type="spellStart"/>
      <w:r>
        <w:t>ViT</w:t>
      </w:r>
      <w:proofErr w:type="spellEnd"/>
      <w:r>
        <w:t xml:space="preserve"> relative to no PE. Keep this broad result separate from the method ranking: learnable absolute PE remains the strongest pre-specified core reference.</w:t>
      </w:r>
    </w:p>
    <w:p w14:paraId="33F0D951" w14:textId="77777777" w:rsidR="006C3F57" w:rsidRDefault="00551678">
      <w:pPr>
        <w:pStyle w:val="Heading2"/>
      </w:pPr>
      <w:r>
        <w:t>5.2 Answer to RQ2: which fixed designs are promising?</w:t>
      </w:r>
    </w:p>
    <w:p w14:paraId="39CDC261" w14:textId="77777777" w:rsidR="006C3F57" w:rsidRDefault="00551678">
      <w:r>
        <w:t>Discuss shifted multiplicative row/column coupling as the strongest tested fixed pattern, not as proof of a universal geometric advantage. Its low sample SD is descriptive evidence of stability under these five seeds. The CIFAR-100 study preserved the four-model ordering, but evidence from additional architectures and image domains is still required.</w:t>
      </w:r>
    </w:p>
    <w:p w14:paraId="25A6E7CB" w14:textId="77777777" w:rsidR="006C3F57" w:rsidRDefault="00551678">
      <w:pPr>
        <w:pStyle w:val="Callout"/>
        <w:pBdr>
          <w:left w:val="single" w:sz="16" w:space="8" w:color="7A5A00"/>
        </w:pBdr>
        <w:shd w:val="clear" w:color="auto" w:fill="FFF4CC"/>
      </w:pPr>
      <w:r>
        <w:rPr>
          <w:b/>
        </w:rPr>
        <w:t xml:space="preserve">CITATION </w:t>
      </w:r>
      <w:proofErr w:type="gramStart"/>
      <w:r>
        <w:rPr>
          <w:b/>
        </w:rPr>
        <w:t xml:space="preserve">POINT  </w:t>
      </w:r>
      <w:r>
        <w:t>Compare</w:t>
      </w:r>
      <w:proofErr w:type="gramEnd"/>
      <w:r>
        <w:t xml:space="preserve"> the observed pattern with 2D-aware encodings such as </w:t>
      </w:r>
      <w:proofErr w:type="spellStart"/>
      <w:r>
        <w:t>iRPE</w:t>
      </w:r>
      <w:proofErr w:type="spellEnd"/>
      <w:r>
        <w:t xml:space="preserve">, conditional PE, learnable Fourier features and </w:t>
      </w:r>
      <w:proofErr w:type="spellStart"/>
      <w:r>
        <w:t>RoPE-ViT</w:t>
      </w:r>
      <w:proofErr w:type="spellEnd"/>
      <w:r>
        <w:t>. Make clear that their architectures and training regimes differ from this study.</w:t>
      </w:r>
    </w:p>
    <w:p w14:paraId="0F172772" w14:textId="77777777" w:rsidR="006C3F57" w:rsidRDefault="00551678">
      <w:pPr>
        <w:pStyle w:val="Heading2"/>
      </w:pPr>
      <w:r>
        <w:t>5.3 Answer to RQ3: assignment and split strategy</w:t>
      </w:r>
    </w:p>
    <w:p w14:paraId="06510BF2" w14:textId="77777777" w:rsidR="006C3F57" w:rsidRDefault="00551678">
      <w:r>
        <w:t>Interpret order sensitivity through the implemented mapping: fixed PE ties each token to a coordinate vector, and a reordered token sequence can change this tie if the PE buffer remains row-major. Contrast this with a consistent simultaneous permutation, under which full self-attention is permutation-equivariant.</w:t>
      </w:r>
    </w:p>
    <w:p w14:paraId="6E43F9FC" w14:textId="77777777" w:rsidR="006C3F57" w:rsidRDefault="00551678">
      <w:pPr>
        <w:pStyle w:val="Callout"/>
        <w:pBdr>
          <w:left w:val="single" w:sz="16" w:space="8" w:color="7A5A00"/>
        </w:pBdr>
        <w:shd w:val="clear" w:color="auto" w:fill="FFF4CC"/>
      </w:pPr>
      <w:r>
        <w:rPr>
          <w:b/>
        </w:rPr>
        <w:t xml:space="preserve">CITATION </w:t>
      </w:r>
      <w:proofErr w:type="gramStart"/>
      <w:r>
        <w:rPr>
          <w:b/>
        </w:rPr>
        <w:t xml:space="preserve">POINT  </w:t>
      </w:r>
      <w:r>
        <w:t>Use</w:t>
      </w:r>
      <w:proofErr w:type="gramEnd"/>
      <w:r>
        <w:t xml:space="preserve"> </w:t>
      </w:r>
      <w:proofErr w:type="spellStart"/>
      <w:r>
        <w:t>REOrder</w:t>
      </w:r>
      <w:proofErr w:type="spellEnd"/>
      <w:r>
        <w:t xml:space="preserve"> for the full-attention/approximation nuance and LOOPE for recent patch-order </w:t>
      </w:r>
      <w:proofErr w:type="spellStart"/>
      <w:r>
        <w:t>optimisation</w:t>
      </w:r>
      <w:proofErr w:type="spellEnd"/>
      <w:r>
        <w:t>. Their claims should be paraphrased and labelled as preprint evidence.</w:t>
      </w:r>
    </w:p>
    <w:p w14:paraId="40DA25CB" w14:textId="77777777" w:rsidR="006C3F57" w:rsidRDefault="00551678">
      <w:pPr>
        <w:pStyle w:val="Heading2"/>
      </w:pPr>
      <w:r>
        <w:t xml:space="preserve">5.4 </w:t>
      </w:r>
      <w:proofErr w:type="spellStart"/>
      <w:r>
        <w:t>Generalisation</w:t>
      </w:r>
      <w:proofErr w:type="spellEnd"/>
      <w:r>
        <w:t xml:space="preserve"> and practical implications</w:t>
      </w:r>
    </w:p>
    <w:p w14:paraId="0BE8B04B" w14:textId="77777777" w:rsidR="006C3F57" w:rsidRDefault="00551678">
      <w:r>
        <w:t>State whether the ordering of methods is stable across datasets and data regimes. If learned PE remains best, present fixed multiplicative PE as a competitive low-parameter or deterministic alternative only when parameter/efficiency evidence supports that benefit.</w:t>
      </w:r>
    </w:p>
    <w:p w14:paraId="78BFF506" w14:textId="77777777" w:rsidR="006C3F57" w:rsidRDefault="00551678">
      <w:pPr>
        <w:pStyle w:val="Heading2"/>
      </w:pPr>
      <w:r>
        <w:t>5.5 Unexpected or negative results</w:t>
      </w:r>
    </w:p>
    <w:p w14:paraId="7727E7D4" w14:textId="77777777" w:rsidR="006C3F57" w:rsidRDefault="00551678">
      <w:r>
        <w:t>Discuss why squared, radial, hybrid or elaborate fusion variants may fail to improve the baseline. Negative results strengthen the thesis when they test a motivated hypothesis under a fair protocol.</w:t>
      </w:r>
    </w:p>
    <w:p w14:paraId="50F5AB92" w14:textId="77777777" w:rsidR="006C3F57" w:rsidRDefault="00551678">
      <w:pPr>
        <w:pStyle w:val="Heading2"/>
        <w:pageBreakBefore/>
      </w:pPr>
      <w:r>
        <w:lastRenderedPageBreak/>
        <w:t>5.6 Limitations and Threats to Validity</w:t>
      </w:r>
    </w:p>
    <w:p w14:paraId="7BC3EE1B" w14:textId="77777777" w:rsidR="006C3F57" w:rsidRDefault="00551678">
      <w:pPr>
        <w:pStyle w:val="Heading3"/>
      </w:pPr>
      <w:r>
        <w:t>5.6.1 Internal validity</w:t>
      </w:r>
    </w:p>
    <w:p w14:paraId="26927B7E" w14:textId="77777777" w:rsidR="006C3F57" w:rsidRDefault="00551678">
      <w:pPr>
        <w:numPr>
          <w:ilvl w:val="0"/>
          <w:numId w:val="1"/>
        </w:numPr>
        <w:spacing w:line="360" w:lineRule="auto"/>
      </w:pPr>
      <w:r>
        <w:t>Hyperparameter fairness: a shared configuration controls confounds but may not be individually optimal for every PE method.</w:t>
      </w:r>
    </w:p>
    <w:p w14:paraId="5C986A03" w14:textId="77777777" w:rsidR="006C3F57" w:rsidRDefault="00551678">
      <w:pPr>
        <w:numPr>
          <w:ilvl w:val="0"/>
          <w:numId w:val="1"/>
        </w:numPr>
        <w:spacing w:line="360" w:lineRule="auto"/>
      </w:pPr>
      <w:r>
        <w:t>Test-set access: existing per-epoch test metrics can introduce researcher degrees of freedom even if validation selected the checkpoint; rerun or quarantine them from model selection.</w:t>
      </w:r>
    </w:p>
    <w:p w14:paraId="5E27DBBD" w14:textId="77777777" w:rsidR="006C3F57" w:rsidRDefault="00551678">
      <w:pPr>
        <w:numPr>
          <w:ilvl w:val="0"/>
          <w:numId w:val="1"/>
        </w:numPr>
        <w:spacing w:line="360" w:lineRule="auto"/>
      </w:pPr>
      <w:r>
        <w:t>Seed coverage: all 32 models in the current consolidated CIFAR-10 bundle have five training seeds, but five runs remain insufficient for strong inference about very small differences, and cross-dataset/split evidence is absent.</w:t>
      </w:r>
    </w:p>
    <w:p w14:paraId="3A25DC05" w14:textId="77777777" w:rsidR="006C3F57" w:rsidRDefault="00551678">
      <w:pPr>
        <w:numPr>
          <w:ilvl w:val="0"/>
          <w:numId w:val="1"/>
        </w:numPr>
        <w:spacing w:line="360" w:lineRule="auto"/>
      </w:pPr>
      <w:r>
        <w:t>Implementation correctness: fixed-grid construction and unfolding index mappings require direct tests.</w:t>
      </w:r>
    </w:p>
    <w:p w14:paraId="5976770B" w14:textId="77777777" w:rsidR="006C3F57" w:rsidRDefault="00551678">
      <w:pPr>
        <w:pStyle w:val="Heading3"/>
      </w:pPr>
      <w:r>
        <w:t>5.6.2 Construct and statistical validity</w:t>
      </w:r>
    </w:p>
    <w:p w14:paraId="30C1C8EC" w14:textId="77777777" w:rsidR="006C3F57" w:rsidRDefault="00551678">
      <w:pPr>
        <w:numPr>
          <w:ilvl w:val="0"/>
          <w:numId w:val="1"/>
        </w:numPr>
        <w:spacing w:line="360" w:lineRule="auto"/>
      </w:pPr>
      <w:r>
        <w:t>Top-1 accuracy captures classification performance but not calibration, robustness or representation quality.</w:t>
      </w:r>
    </w:p>
    <w:p w14:paraId="1545DD1B" w14:textId="77777777" w:rsidR="006C3F57" w:rsidRDefault="00551678">
      <w:pPr>
        <w:numPr>
          <w:ilvl w:val="0"/>
          <w:numId w:val="1"/>
        </w:numPr>
        <w:spacing w:line="360" w:lineRule="auto"/>
      </w:pPr>
      <w:r>
        <w:t>Five seeds provide more information than a single run but may still yield wide uncertainty for small effects.</w:t>
      </w:r>
    </w:p>
    <w:p w14:paraId="34400058" w14:textId="77777777" w:rsidR="006C3F57" w:rsidRDefault="00551678">
      <w:pPr>
        <w:numPr>
          <w:ilvl w:val="0"/>
          <w:numId w:val="1"/>
        </w:numPr>
        <w:spacing w:line="360" w:lineRule="auto"/>
      </w:pPr>
      <w:r>
        <w:t xml:space="preserve">Multiple comparisons across many PE variants increase the chance of </w:t>
      </w:r>
      <w:proofErr w:type="spellStart"/>
      <w:r>
        <w:t>emphasising</w:t>
      </w:r>
      <w:proofErr w:type="spellEnd"/>
      <w:r>
        <w:t xml:space="preserve"> noise; pre-identify the primary contrasts.</w:t>
      </w:r>
    </w:p>
    <w:p w14:paraId="1659F7E7" w14:textId="77777777" w:rsidR="006C3F57" w:rsidRDefault="00551678">
      <w:pPr>
        <w:pStyle w:val="Heading3"/>
      </w:pPr>
      <w:r>
        <w:t>5.6.3 External validity</w:t>
      </w:r>
    </w:p>
    <w:p w14:paraId="14881AC8" w14:textId="77777777" w:rsidR="006C3F57" w:rsidRDefault="00551678">
      <w:pPr>
        <w:numPr>
          <w:ilvl w:val="0"/>
          <w:numId w:val="1"/>
        </w:numPr>
        <w:spacing w:line="360" w:lineRule="auto"/>
      </w:pPr>
      <w:r>
        <w:t>CIFAR-10 has low-resolution images and a small class vocabulary; conclusions may not transfer to high-resolution or dense-prediction tasks.</w:t>
      </w:r>
    </w:p>
    <w:p w14:paraId="44783788" w14:textId="77777777" w:rsidR="006C3F57" w:rsidRDefault="00551678">
      <w:pPr>
        <w:numPr>
          <w:ilvl w:val="0"/>
          <w:numId w:val="1"/>
        </w:numPr>
        <w:spacing w:line="360" w:lineRule="auto"/>
      </w:pPr>
      <w:r>
        <w:t xml:space="preserve">The evaluated </w:t>
      </w:r>
      <w:proofErr w:type="spellStart"/>
      <w:r>
        <w:t>ViT</w:t>
      </w:r>
      <w:proofErr w:type="spellEnd"/>
      <w:r>
        <w:t xml:space="preserve"> is intentionally small and trained from scratch; large pretrained </w:t>
      </w:r>
      <w:proofErr w:type="spellStart"/>
      <w:r>
        <w:t>ViTs</w:t>
      </w:r>
      <w:proofErr w:type="spellEnd"/>
      <w:r>
        <w:t xml:space="preserve"> may exhibit different PE </w:t>
      </w:r>
      <w:proofErr w:type="spellStart"/>
      <w:r>
        <w:t>behaviour</w:t>
      </w:r>
      <w:proofErr w:type="spellEnd"/>
      <w:r>
        <w:t>.</w:t>
      </w:r>
    </w:p>
    <w:p w14:paraId="52F7442E" w14:textId="77777777" w:rsidR="006C3F57" w:rsidRDefault="00551678">
      <w:pPr>
        <w:numPr>
          <w:ilvl w:val="0"/>
          <w:numId w:val="1"/>
        </w:numPr>
        <w:spacing w:line="360" w:lineRule="auto"/>
      </w:pPr>
      <w:r>
        <w:t>Additional datasets improve breadth only if preprocessing, class balance and metrics are appropriate for each task.</w:t>
      </w:r>
    </w:p>
    <w:p w14:paraId="72FF8880" w14:textId="77777777" w:rsidR="006C3F57" w:rsidRDefault="00551678">
      <w:pPr>
        <w:pStyle w:val="Heading3"/>
      </w:pPr>
      <w:r>
        <w:t>5.6.4 Reproducibility limitations</w:t>
      </w:r>
    </w:p>
    <w:p w14:paraId="50249700" w14:textId="77777777" w:rsidR="006C3F57" w:rsidRDefault="00551678">
      <w:r>
        <w:t>Record hardware, software versions, data hashes/splits, command lines and checkpoint-selection metadata. If complete determinism is not achieved, state what remains nondeterministic and estimate its practical impact through repeated runs.</w:t>
      </w:r>
    </w:p>
    <w:p w14:paraId="26C1C89F" w14:textId="77777777" w:rsidR="006C3F57" w:rsidRDefault="00551678">
      <w:pPr>
        <w:pStyle w:val="Heading1"/>
        <w:pageBreakBefore/>
      </w:pPr>
      <w:r>
        <w:lastRenderedPageBreak/>
        <w:t>6 Conclusion</w:t>
      </w:r>
    </w:p>
    <w:p w14:paraId="733A4BA2" w14:textId="77777777" w:rsidR="006C3F57" w:rsidRDefault="00551678">
      <w:pPr>
        <w:pStyle w:val="Callout"/>
        <w:pBdr>
          <w:left w:val="single" w:sz="16" w:space="8" w:color="2E74B5"/>
        </w:pBdr>
        <w:shd w:val="clear" w:color="auto" w:fill="EAF2F8"/>
      </w:pPr>
      <w:r>
        <w:rPr>
          <w:b/>
        </w:rPr>
        <w:t xml:space="preserve">CHAPTER </w:t>
      </w:r>
      <w:proofErr w:type="gramStart"/>
      <w:r>
        <w:rPr>
          <w:b/>
        </w:rPr>
        <w:t xml:space="preserve">JOB  </w:t>
      </w:r>
      <w:r>
        <w:t>Synthesize</w:t>
      </w:r>
      <w:proofErr w:type="gramEnd"/>
      <w:r>
        <w:t xml:space="preserve"> the supported answer; do not add new literature, results or claims.</w:t>
      </w:r>
    </w:p>
    <w:p w14:paraId="1E7477D2" w14:textId="77777777" w:rsidR="006C3F57" w:rsidRDefault="00551678">
      <w:r>
        <w:t xml:space="preserve">This dissertation examined positional encoding as a controlled design choice in Vision Transformers. Across 32 CIFAR-10 configurations and five training seeds per configuration, positional information consistently improved the leading models over the no-position baseline. Learnable absolute PE remained the strongest core reference, while shifted multiplicative PE was the strongest tested fixed encoding. Alternative patch-to-position assignments had little effect on learnable PE but interacted more strongly with several fixed encodings. Hybrid and fusion studies provide useful boundary evidence, yet their confounds prevent them from supporting headline </w:t>
      </w:r>
      <w:proofErr w:type="spellStart"/>
      <w:r>
        <w:t>optimisation</w:t>
      </w:r>
      <w:proofErr w:type="spellEnd"/>
      <w:r>
        <w:t xml:space="preserve"> claims. The conclusions remain specific to the evaluated architecture, dataset, split and training protocol until the planned </w:t>
      </w:r>
      <w:proofErr w:type="spellStart"/>
      <w:r>
        <w:t>generalisation</w:t>
      </w:r>
      <w:proofErr w:type="spellEnd"/>
      <w:r>
        <w:t xml:space="preserve"> experiments are complete.</w:t>
      </w:r>
    </w:p>
    <w:p w14:paraId="75257167" w14:textId="77777777" w:rsidR="006C3F57" w:rsidRDefault="00551678">
      <w:pPr>
        <w:pStyle w:val="Heading2"/>
      </w:pPr>
      <w:r>
        <w:t>6.1 Future work</w:t>
      </w:r>
    </w:p>
    <w:p w14:paraId="387C6C83" w14:textId="77777777" w:rsidR="006C3F57" w:rsidRDefault="00551678">
      <w:pPr>
        <w:numPr>
          <w:ilvl w:val="0"/>
          <w:numId w:val="1"/>
        </w:numPr>
        <w:spacing w:line="360" w:lineRule="auto"/>
      </w:pPr>
      <w:r>
        <w:t xml:space="preserve">Evaluate the strongest methods on higher-resolution datasets and larger </w:t>
      </w:r>
      <w:proofErr w:type="spellStart"/>
      <w:r>
        <w:t>ViT</w:t>
      </w:r>
      <w:proofErr w:type="spellEnd"/>
      <w:r>
        <w:t xml:space="preserve"> scales.</w:t>
      </w:r>
    </w:p>
    <w:p w14:paraId="185BAD3E" w14:textId="77777777" w:rsidR="006C3F57" w:rsidRDefault="00551678">
      <w:pPr>
        <w:numPr>
          <w:ilvl w:val="0"/>
          <w:numId w:val="1"/>
        </w:numPr>
        <w:spacing w:line="360" w:lineRule="auto"/>
      </w:pPr>
      <w:r>
        <w:t>Test transfer learning and interpolation to unseen image resolutions.</w:t>
      </w:r>
    </w:p>
    <w:p w14:paraId="1011DA39" w14:textId="77777777" w:rsidR="006C3F57" w:rsidRDefault="00551678">
      <w:pPr>
        <w:numPr>
          <w:ilvl w:val="0"/>
          <w:numId w:val="1"/>
        </w:numPr>
        <w:spacing w:line="360" w:lineRule="auto"/>
      </w:pPr>
      <w:r>
        <w:t>Separate token permutation from coordinate reassignment in a factorial experiment.</w:t>
      </w:r>
    </w:p>
    <w:p w14:paraId="17ED871D" w14:textId="77777777" w:rsidR="006C3F57" w:rsidRDefault="00551678">
      <w:pPr>
        <w:numPr>
          <w:ilvl w:val="0"/>
          <w:numId w:val="1"/>
        </w:numPr>
        <w:spacing w:line="360" w:lineRule="auto"/>
      </w:pPr>
      <w:proofErr w:type="spellStart"/>
      <w:r>
        <w:t>Analyse</w:t>
      </w:r>
      <w:proofErr w:type="spellEnd"/>
      <w:r>
        <w:t xml:space="preserve"> attention patterns or learned representations only if the analysis answers a pre-stated mechanism question.</w:t>
      </w:r>
    </w:p>
    <w:p w14:paraId="0E65252D" w14:textId="77777777" w:rsidR="006C3F57" w:rsidRDefault="00551678">
      <w:pPr>
        <w:numPr>
          <w:ilvl w:val="0"/>
          <w:numId w:val="1"/>
        </w:numPr>
        <w:spacing w:line="360" w:lineRule="auto"/>
      </w:pPr>
      <w:r>
        <w:t>Compare accuracy gains against parameters, memory, runtime and calibration.</w:t>
      </w:r>
    </w:p>
    <w:sectPr w:rsidR="006C3F57" w:rsidSect="00034616">
      <w:headerReference w:type="default" r:id="rId18"/>
      <w:footerReference w:type="default" r:id="rId19"/>
      <w:headerReference w:type="first" r:id="rId20"/>
      <w:footerReference w:type="first" r:id="rId21"/>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EED5B" w14:textId="77777777" w:rsidR="005A69F6" w:rsidRDefault="005A69F6">
      <w:pPr>
        <w:spacing w:after="0" w:line="240" w:lineRule="auto"/>
      </w:pPr>
      <w:r>
        <w:separator/>
      </w:r>
    </w:p>
  </w:endnote>
  <w:endnote w:type="continuationSeparator" w:id="0">
    <w:p w14:paraId="241C24FC" w14:textId="77777777" w:rsidR="005A69F6" w:rsidRDefault="005A69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7C93" w14:textId="77777777" w:rsidR="006C3F57" w:rsidRDefault="00551678">
    <w:pPr>
      <w:pStyle w:val="Footer"/>
      <w:jc w:val="center"/>
    </w:pPr>
    <w:r>
      <w:rPr>
        <w:sz w:val="18"/>
      </w:rPr>
      <w:t xml:space="preserve">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98449" w14:textId="77777777" w:rsidR="006C3F57" w:rsidRDefault="006C3F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0B1FD" w14:textId="77777777" w:rsidR="005A69F6" w:rsidRDefault="005A69F6">
      <w:pPr>
        <w:spacing w:after="0" w:line="240" w:lineRule="auto"/>
      </w:pPr>
      <w:r>
        <w:separator/>
      </w:r>
    </w:p>
  </w:footnote>
  <w:footnote w:type="continuationSeparator" w:id="0">
    <w:p w14:paraId="15EDD449" w14:textId="77777777" w:rsidR="005A69F6" w:rsidRDefault="005A69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4667D" w14:textId="77777777" w:rsidR="006C3F57" w:rsidRDefault="00551678">
    <w:pPr>
      <w:pStyle w:val="Header"/>
      <w:jc w:val="right"/>
    </w:pPr>
    <w:r>
      <w:t xml:space="preserve">MSc Dissertation Draft | Positional Encoding in </w:t>
    </w:r>
    <w:proofErr w:type="spellStart"/>
    <w:r>
      <w:t>ViTs</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77CC0" w14:textId="77777777" w:rsidR="006C3F57" w:rsidRDefault="006C3F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rPr>
        <w:rFonts w:ascii="Arial" w:eastAsia="Arial" w:hAnsi="Arial" w:cs="Arial"/>
        <w:color w:val="000000"/>
      </w:r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rPr>
        <w:rFonts w:ascii="Arial" w:eastAsia="Arial" w:hAnsi="Arial" w:cs="Arial"/>
        <w:color w:val="000000"/>
      </w:r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rPr>
        <w:rFonts w:ascii="Arial" w:eastAsia="Arial" w:hAnsi="Arial" w:cs="Arial"/>
        <w:color w:val="000000"/>
      </w:r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rPr>
        <w:rFonts w:ascii="Arial" w:eastAsia="Arial" w:hAnsi="Arial" w:cs="Arial"/>
        <w:color w:val="000000"/>
      </w:r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Arial" w:eastAsia="Arial" w:hAnsi="Arial" w:cs="Arial" w:hint="default"/>
        <w:color w:val="000000"/>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Arial" w:eastAsia="Arial" w:hAnsi="Arial" w:cs="Arial" w:hint="default"/>
        <w:color w:val="000000"/>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Arial" w:eastAsia="Arial" w:hAnsi="Arial" w:cs="Arial" w:hint="default"/>
        <w:color w:val="000000"/>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rPr>
        <w:rFonts w:ascii="Arial" w:eastAsia="Arial" w:hAnsi="Arial" w:cs="Arial"/>
        <w:color w:val="000000"/>
      </w:r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Arial" w:eastAsia="Arial" w:hAnsi="Arial" w:cs="Arial" w:hint="default"/>
        <w:color w:val="000000"/>
      </w:rPr>
    </w:lvl>
  </w:abstractNum>
  <w:abstractNum w:abstractNumId="9" w15:restartNumberingAfterBreak="0">
    <w:nsid w:val="050D6891"/>
    <w:multiLevelType w:val="singleLevel"/>
    <w:tmpl w:val="9A3A289E"/>
    <w:lvl w:ilvl="0">
      <w:start w:val="1"/>
      <w:numFmt w:val="decimal"/>
      <w:lvlText w:val="%1."/>
      <w:lvlJc w:val="left"/>
      <w:pPr>
        <w:tabs>
          <w:tab w:val="num" w:pos="540"/>
        </w:tabs>
        <w:spacing w:after="80" w:line="290" w:lineRule="auto"/>
        <w:ind w:left="540" w:hanging="280"/>
      </w:pPr>
      <w:rPr>
        <w:rFonts w:ascii="Arial" w:eastAsia="Arial" w:hAnsi="Arial" w:cs="Arial"/>
        <w:color w:val="000000"/>
      </w:rPr>
    </w:lvl>
  </w:abstractNum>
  <w:abstractNum w:abstractNumId="10" w15:restartNumberingAfterBreak="0">
    <w:nsid w:val="6F0E2B29"/>
    <w:multiLevelType w:val="singleLevel"/>
    <w:tmpl w:val="D7C2BBFA"/>
    <w:lvl w:ilvl="0">
      <w:start w:val="1"/>
      <w:numFmt w:val="decimal"/>
      <w:pStyle w:val="ListBullet"/>
      <w:lvlText w:val="%1."/>
      <w:lvlJc w:val="left"/>
      <w:pPr>
        <w:tabs>
          <w:tab w:val="num" w:pos="540"/>
        </w:tabs>
        <w:spacing w:after="80" w:line="290" w:lineRule="auto"/>
        <w:ind w:left="540" w:hanging="280"/>
      </w:pPr>
      <w:rPr>
        <w:rFonts w:ascii="Arial" w:eastAsia="Arial" w:hAnsi="Arial" w:cs="Arial"/>
        <w:color w:val="000000"/>
      </w:rPr>
    </w:lvl>
  </w:abstractNum>
  <w:abstractNum w:abstractNumId="11" w15:restartNumberingAfterBreak="0">
    <w:nsid w:val="7A1E2432"/>
    <w:multiLevelType w:val="singleLevel"/>
    <w:tmpl w:val="9760CB16"/>
    <w:lvl w:ilvl="0">
      <w:start w:val="1"/>
      <w:numFmt w:val="bullet"/>
      <w:lvlText w:val="•"/>
      <w:lvlJc w:val="left"/>
      <w:pPr>
        <w:tabs>
          <w:tab w:val="num" w:pos="540"/>
        </w:tabs>
        <w:spacing w:after="80" w:line="290" w:lineRule="auto"/>
        <w:ind w:left="540" w:hanging="280"/>
      </w:pPr>
      <w:rPr>
        <w:rFonts w:ascii="Arial" w:eastAsia="Arial" w:hAnsi="Arial" w:cs="Arial"/>
        <w:color w:val="000000"/>
      </w:rPr>
    </w:lvl>
  </w:abstractNum>
  <w:num w:numId="1" w16cid:durableId="8244698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F39"/>
    <w:rsid w:val="00024CC3"/>
    <w:rsid w:val="00034616"/>
    <w:rsid w:val="0006063C"/>
    <w:rsid w:val="000D6288"/>
    <w:rsid w:val="000E1728"/>
    <w:rsid w:val="001058F8"/>
    <w:rsid w:val="001325A6"/>
    <w:rsid w:val="0015074B"/>
    <w:rsid w:val="001700FB"/>
    <w:rsid w:val="00202DEC"/>
    <w:rsid w:val="00247A40"/>
    <w:rsid w:val="0029639D"/>
    <w:rsid w:val="002B78A9"/>
    <w:rsid w:val="002C0669"/>
    <w:rsid w:val="002D455D"/>
    <w:rsid w:val="00326F90"/>
    <w:rsid w:val="00364BE0"/>
    <w:rsid w:val="00365849"/>
    <w:rsid w:val="003B04D7"/>
    <w:rsid w:val="003B5D53"/>
    <w:rsid w:val="003D3896"/>
    <w:rsid w:val="003F42E2"/>
    <w:rsid w:val="00401446"/>
    <w:rsid w:val="00433592"/>
    <w:rsid w:val="004365E2"/>
    <w:rsid w:val="00461848"/>
    <w:rsid w:val="004B7BE7"/>
    <w:rsid w:val="004D01EB"/>
    <w:rsid w:val="004D4448"/>
    <w:rsid w:val="004E69DC"/>
    <w:rsid w:val="004F00C1"/>
    <w:rsid w:val="004F4861"/>
    <w:rsid w:val="00501731"/>
    <w:rsid w:val="00505F65"/>
    <w:rsid w:val="00511C79"/>
    <w:rsid w:val="00522DE2"/>
    <w:rsid w:val="00551678"/>
    <w:rsid w:val="00580266"/>
    <w:rsid w:val="005A460A"/>
    <w:rsid w:val="005A69F6"/>
    <w:rsid w:val="006325C0"/>
    <w:rsid w:val="00640829"/>
    <w:rsid w:val="0065681E"/>
    <w:rsid w:val="006676C7"/>
    <w:rsid w:val="006C3F57"/>
    <w:rsid w:val="006E4D2E"/>
    <w:rsid w:val="00773D84"/>
    <w:rsid w:val="0079500F"/>
    <w:rsid w:val="007C349F"/>
    <w:rsid w:val="00835D2D"/>
    <w:rsid w:val="008A4B89"/>
    <w:rsid w:val="008A5BF7"/>
    <w:rsid w:val="008A788D"/>
    <w:rsid w:val="008E5E1C"/>
    <w:rsid w:val="0091500A"/>
    <w:rsid w:val="009C0CB3"/>
    <w:rsid w:val="009D4133"/>
    <w:rsid w:val="009E387B"/>
    <w:rsid w:val="00A10E6C"/>
    <w:rsid w:val="00A223E5"/>
    <w:rsid w:val="00A95CE9"/>
    <w:rsid w:val="00AA1D8D"/>
    <w:rsid w:val="00AF28B9"/>
    <w:rsid w:val="00B073C8"/>
    <w:rsid w:val="00B11500"/>
    <w:rsid w:val="00B47730"/>
    <w:rsid w:val="00B72D3B"/>
    <w:rsid w:val="00BC76C1"/>
    <w:rsid w:val="00BD3F93"/>
    <w:rsid w:val="00BE45AA"/>
    <w:rsid w:val="00BF0975"/>
    <w:rsid w:val="00C05F83"/>
    <w:rsid w:val="00CB0664"/>
    <w:rsid w:val="00CC704C"/>
    <w:rsid w:val="00D01B35"/>
    <w:rsid w:val="00D178D8"/>
    <w:rsid w:val="00D45184"/>
    <w:rsid w:val="00D61C53"/>
    <w:rsid w:val="00D73A8E"/>
    <w:rsid w:val="00DD6BB0"/>
    <w:rsid w:val="00E63352"/>
    <w:rsid w:val="00F249F7"/>
    <w:rsid w:val="00F61519"/>
    <w:rsid w:val="00F945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1CB505"/>
  <w14:defaultImageDpi w14:val="330"/>
  <w15:docId w15:val="{7291748D-71CD-4940-A8D7-1F8246E01DE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宋体" w:hAnsi="Arial" w:cs="Arial"/>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eastAsia="Arial"/>
    </w:rPr>
  </w:style>
  <w:style w:type="paragraph" w:styleId="Heading1">
    <w:name w:val="heading 1"/>
    <w:basedOn w:val="Normal"/>
    <w:next w:val="Normal"/>
    <w:link w:val="Heading1Char"/>
    <w:uiPriority w:val="9"/>
    <w:qFormat/>
    <w:rsid w:val="00FC693F"/>
    <w:pPr>
      <w:keepNext/>
      <w:keepLines/>
      <w:spacing w:before="24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color w:val="000000"/>
    </w:rPr>
  </w:style>
  <w:style w:type="paragraph" w:styleId="NoSpacing">
    <w:name w:val="No Spacing"/>
    <w:uiPriority w:val="1"/>
    <w:qFormat/>
    <w:rsid w:val="00FC693F"/>
    <w:pPr>
      <w:spacing w:after="0" w:line="240" w:lineRule="auto"/>
    </w:pPr>
    <w:rPr>
      <w:rFonts w:eastAsia="Arial"/>
    </w:rPr>
  </w:style>
  <w:style w:type="character" w:customStyle="1" w:styleId="Heading1Char">
    <w:name w:val="Heading 1 Char"/>
    <w:basedOn w:val="DefaultParagraphFont"/>
    <w:link w:val="Heading1"/>
    <w:uiPriority w:val="9"/>
    <w:rsid w:val="00FC693F"/>
    <w:rPr>
      <w:rFonts w:ascii="Arial" w:eastAsia="Arial" w:hAnsi="Arial" w:cs="Arial"/>
      <w:b/>
      <w:bCs/>
      <w:color w:val="000000"/>
      <w:sz w:val="28"/>
      <w:szCs w:val="28"/>
    </w:rPr>
  </w:style>
  <w:style w:type="character" w:customStyle="1" w:styleId="Heading2Char">
    <w:name w:val="Heading 2 Char"/>
    <w:basedOn w:val="DefaultParagraphFont"/>
    <w:link w:val="Heading2"/>
    <w:uiPriority w:val="9"/>
    <w:rsid w:val="00FC693F"/>
    <w:rPr>
      <w:rFonts w:ascii="Arial" w:eastAsia="Arial" w:hAnsi="Arial" w:cs="Arial"/>
      <w:b/>
      <w:bCs/>
      <w:color w:val="000000"/>
      <w:sz w:val="26"/>
      <w:szCs w:val="26"/>
    </w:rPr>
  </w:style>
  <w:style w:type="character" w:customStyle="1" w:styleId="Heading3Char">
    <w:name w:val="Heading 3 Char"/>
    <w:basedOn w:val="DefaultParagraphFont"/>
    <w:link w:val="Heading3"/>
    <w:uiPriority w:val="9"/>
    <w:rsid w:val="00FC693F"/>
    <w:rPr>
      <w:rFonts w:ascii="Arial" w:eastAsia="Arial" w:hAnsi="Arial" w:cs="Arial"/>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b/>
      <w:spacing w:val="5"/>
      <w:kern w:val="28"/>
      <w:sz w:val="56"/>
      <w:szCs w:val="52"/>
    </w:rPr>
  </w:style>
  <w:style w:type="character" w:customStyle="1" w:styleId="TitleChar">
    <w:name w:val="Title Char"/>
    <w:basedOn w:val="DefaultParagraphFont"/>
    <w:link w:val="Title"/>
    <w:uiPriority w:val="10"/>
    <w:rsid w:val="00FC693F"/>
    <w:rPr>
      <w:rFonts w:ascii="Arial" w:eastAsia="Arial" w:hAnsi="Arial" w:cs="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Arial" w:eastAsia="Arial" w:hAnsi="Arial" w:cs="Arial"/>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color w:val="000000"/>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color w:val="000000"/>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eastAsia="Arial"/>
      <w:sz w:val="20"/>
      <w:szCs w:val="20"/>
    </w:rPr>
  </w:style>
  <w:style w:type="character" w:customStyle="1" w:styleId="MacroTextChar">
    <w:name w:val="Macro Text Char"/>
    <w:basedOn w:val="DefaultParagraphFont"/>
    <w:link w:val="MacroText"/>
    <w:uiPriority w:val="99"/>
    <w:rsid w:val="0029639D"/>
    <w:rPr>
      <w:rFonts w:ascii="Arial" w:eastAsia="Arial" w:hAnsi="Arial" w:cs="Arial"/>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rial" w:eastAsia="Arial" w:hAnsi="Arial" w:cs="Arial"/>
      <w:i/>
      <w:iCs/>
      <w:color w:val="000000"/>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000000"/>
    </w:rPr>
  </w:style>
  <w:style w:type="character" w:customStyle="1" w:styleId="Heading5Char">
    <w:name w:val="Heading 5 Char"/>
    <w:basedOn w:val="DefaultParagraphFont"/>
    <w:link w:val="Heading5"/>
    <w:uiPriority w:val="9"/>
    <w:semiHidden/>
    <w:rsid w:val="00FC693F"/>
    <w:rPr>
      <w:rFonts w:ascii="Arial" w:eastAsia="Arial" w:hAnsi="Arial" w:cs="Arial"/>
      <w:color w:val="000000"/>
    </w:rPr>
  </w:style>
  <w:style w:type="character" w:customStyle="1" w:styleId="Heading6Char">
    <w:name w:val="Heading 6 Char"/>
    <w:basedOn w:val="DefaultParagraphFont"/>
    <w:link w:val="Heading6"/>
    <w:uiPriority w:val="9"/>
    <w:semiHidden/>
    <w:rsid w:val="00FC693F"/>
    <w:rPr>
      <w:rFonts w:ascii="Arial" w:eastAsia="Arial" w:hAnsi="Arial" w:cs="Arial"/>
      <w:i/>
      <w:iCs/>
      <w:color w:val="000000"/>
    </w:rPr>
  </w:style>
  <w:style w:type="character" w:customStyle="1" w:styleId="Heading7Char">
    <w:name w:val="Heading 7 Char"/>
    <w:basedOn w:val="DefaultParagraphFont"/>
    <w:link w:val="Heading7"/>
    <w:uiPriority w:val="9"/>
    <w:semiHidden/>
    <w:rsid w:val="00FC693F"/>
    <w:rPr>
      <w:rFonts w:ascii="Arial" w:eastAsia="Arial" w:hAnsi="Arial" w:cs="Arial"/>
      <w:i/>
      <w:iCs/>
      <w:color w:val="000000"/>
    </w:rPr>
  </w:style>
  <w:style w:type="character" w:customStyle="1" w:styleId="Heading8Char">
    <w:name w:val="Heading 8 Char"/>
    <w:basedOn w:val="DefaultParagraphFont"/>
    <w:link w:val="Heading8"/>
    <w:uiPriority w:val="9"/>
    <w:semiHidden/>
    <w:rsid w:val="00FC693F"/>
    <w:rPr>
      <w:rFonts w:ascii="Arial" w:eastAsia="Arial" w:hAnsi="Arial" w:cs="Arial"/>
      <w:color w:val="000000"/>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000000"/>
      <w:sz w:val="20"/>
      <w:szCs w:val="20"/>
    </w:rPr>
  </w:style>
  <w:style w:type="paragraph" w:styleId="Caption">
    <w:name w:val="caption"/>
    <w:basedOn w:val="Normal"/>
    <w:next w:val="Normal"/>
    <w:uiPriority w:val="35"/>
    <w:unhideWhenUsed/>
    <w:qFormat/>
    <w:rsid w:val="00FC693F"/>
    <w:pPr>
      <w:spacing w:line="240" w:lineRule="auto"/>
      <w:jc w:val="left"/>
    </w:pPr>
    <w:rPr>
      <w:b/>
      <w:bCs/>
      <w:i/>
      <w:sz w:val="18"/>
      <w:szCs w:val="18"/>
    </w:rPr>
  </w:style>
  <w:style w:type="character" w:styleId="Strong">
    <w:name w:val="Strong"/>
    <w:basedOn w:val="DefaultParagraphFont"/>
    <w:uiPriority w:val="22"/>
    <w:qFormat/>
    <w:rsid w:val="00FC693F"/>
    <w:rPr>
      <w:rFonts w:ascii="Arial" w:eastAsia="Arial" w:hAnsi="Arial" w:cs="Arial"/>
      <w:b/>
      <w:bCs/>
      <w:color w:val="000000"/>
    </w:rPr>
  </w:style>
  <w:style w:type="character" w:styleId="Emphasis">
    <w:name w:val="Emphasis"/>
    <w:basedOn w:val="DefaultParagraphFont"/>
    <w:uiPriority w:val="20"/>
    <w:qFormat/>
    <w:rsid w:val="00FC693F"/>
    <w:rPr>
      <w:rFonts w:ascii="Arial" w:eastAsia="Arial" w:hAnsi="Arial" w:cs="Arial"/>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000000"/>
    </w:rPr>
  </w:style>
  <w:style w:type="character" w:styleId="SubtleEmphasis">
    <w:name w:val="Subtle Emphasis"/>
    <w:basedOn w:val="DefaultParagraphFont"/>
    <w:uiPriority w:val="19"/>
    <w:qFormat/>
    <w:rsid w:val="00FC693F"/>
    <w:rPr>
      <w:rFonts w:ascii="Arial" w:eastAsia="Arial" w:hAnsi="Arial" w:cs="Arial"/>
      <w:i/>
      <w:iCs/>
      <w:color w:val="000000"/>
    </w:rPr>
  </w:style>
  <w:style w:type="character" w:styleId="IntenseEmphasis">
    <w:name w:val="Intense Emphasis"/>
    <w:basedOn w:val="DefaultParagraphFont"/>
    <w:uiPriority w:val="21"/>
    <w:qFormat/>
    <w:rsid w:val="00FC693F"/>
    <w:rPr>
      <w:rFonts w:ascii="Arial" w:eastAsia="Arial" w:hAnsi="Arial" w:cs="Arial"/>
      <w:b/>
      <w:bCs/>
      <w:i/>
      <w:iCs/>
      <w:color w:val="000000"/>
    </w:rPr>
  </w:style>
  <w:style w:type="character" w:styleId="SubtleReference">
    <w:name w:val="Subtle Reference"/>
    <w:basedOn w:val="DefaultParagraphFont"/>
    <w:uiPriority w:val="31"/>
    <w:qFormat/>
    <w:rsid w:val="00FC693F"/>
    <w:rPr>
      <w:rFonts w:ascii="Arial" w:eastAsia="Arial" w:hAnsi="Arial" w:cs="Arial"/>
      <w:smallCaps/>
      <w:color w:val="000000"/>
      <w:u w:val="single"/>
    </w:rPr>
  </w:style>
  <w:style w:type="character" w:styleId="IntenseReference">
    <w:name w:val="Intense Reference"/>
    <w:basedOn w:val="DefaultParagraphFont"/>
    <w:uiPriority w:val="32"/>
    <w:qFormat/>
    <w:rsid w:val="00FC693F"/>
    <w:rPr>
      <w:rFonts w:ascii="Arial" w:eastAsia="Arial" w:hAnsi="Arial" w:cs="Arial"/>
      <w:b/>
      <w:bCs/>
      <w:smallCaps/>
      <w:color w:val="000000"/>
      <w:spacing w:val="5"/>
      <w:u w:val="single"/>
    </w:rPr>
  </w:style>
  <w:style w:type="character" w:styleId="BookTitle">
    <w:name w:val="Book Title"/>
    <w:basedOn w:val="DefaultParagraphFont"/>
    <w:uiPriority w:val="33"/>
    <w:qFormat/>
    <w:rsid w:val="00FC693F"/>
    <w:rPr>
      <w:rFonts w:ascii="Arial" w:eastAsia="Arial" w:hAnsi="Arial" w:cs="Arial"/>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eastAsia="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color w:val="000000"/>
      </w:rPr>
      <w:tblPr/>
      <w:tcPr>
        <w:tcBorders>
          <w:top w:val="nil"/>
          <w:bottom w:val="single" w:sz="8" w:space="0" w:color="000000" w:themeColor="text1"/>
        </w:tcBorders>
      </w:tcPr>
    </w:tblStylePr>
    <w:tblStylePr w:type="lastRow">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color w:val="000000"/>
      </w:rPr>
      <w:tblPr/>
      <w:tcPr>
        <w:tcBorders>
          <w:top w:val="nil"/>
          <w:bottom w:val="single" w:sz="8" w:space="0" w:color="4F81BD" w:themeColor="accent1"/>
        </w:tcBorders>
      </w:tcPr>
    </w:tblStylePr>
    <w:tblStylePr w:type="lastRow">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color w:val="000000"/>
      </w:rPr>
      <w:tblPr/>
      <w:tcPr>
        <w:tcBorders>
          <w:top w:val="nil"/>
          <w:bottom w:val="single" w:sz="8" w:space="0" w:color="C0504D" w:themeColor="accent2"/>
        </w:tcBorders>
      </w:tcPr>
    </w:tblStylePr>
    <w:tblStylePr w:type="lastRow">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color w:val="000000"/>
      </w:rPr>
      <w:tblPr/>
      <w:tcPr>
        <w:tcBorders>
          <w:top w:val="nil"/>
          <w:bottom w:val="single" w:sz="8" w:space="0" w:color="9BBB59" w:themeColor="accent3"/>
        </w:tcBorders>
      </w:tcPr>
    </w:tblStylePr>
    <w:tblStylePr w:type="lastRow">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color w:val="000000"/>
      </w:rPr>
      <w:tblPr/>
      <w:tcPr>
        <w:tcBorders>
          <w:top w:val="nil"/>
          <w:bottom w:val="single" w:sz="8" w:space="0" w:color="8064A2" w:themeColor="accent4"/>
        </w:tcBorders>
      </w:tcPr>
    </w:tblStylePr>
    <w:tblStylePr w:type="lastRow">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color w:val="000000"/>
      </w:rPr>
      <w:tblPr/>
      <w:tcPr>
        <w:tcBorders>
          <w:top w:val="nil"/>
          <w:bottom w:val="single" w:sz="8" w:space="0" w:color="4BACC6" w:themeColor="accent5"/>
        </w:tcBorders>
      </w:tcPr>
    </w:tblStylePr>
    <w:tblStylePr w:type="lastRow">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color w:val="000000"/>
      </w:rPr>
      <w:tblPr/>
      <w:tcPr>
        <w:tcBorders>
          <w:top w:val="nil"/>
          <w:bottom w:val="single" w:sz="8" w:space="0" w:color="F79646" w:themeColor="accent6"/>
        </w:tcBorders>
      </w:tcPr>
    </w:tblStylePr>
    <w:tblStylePr w:type="lastRow">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rPr>
      <w:tblPr/>
      <w:tcPr>
        <w:shd w:val="clear" w:color="auto" w:fill="E6E6E6" w:themeFill="tex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rPr>
      <w:tblPr/>
      <w:tcPr>
        <w:shd w:val="clear" w:color="auto" w:fill="EDF2F8" w:themeFill="accen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rPr>
      <w:tblPr/>
      <w:tcPr>
        <w:shd w:val="clear" w:color="auto" w:fill="F8EDED" w:themeFill="accent2"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rPr>
      <w:tblPr/>
      <w:tcPr>
        <w:shd w:val="clear" w:color="auto" w:fill="F5F8EE" w:themeFill="accent3"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rPr>
      <w:tblPr/>
      <w:tcPr>
        <w:shd w:val="clear" w:color="auto" w:fill="F2EFF6" w:themeFill="accent4"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rPr>
      <w:tblPr/>
      <w:tcPr>
        <w:shd w:val="clear" w:color="auto" w:fill="EDF6F9" w:themeFill="accent5"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rPr>
      <w:tblPr/>
      <w:tcPr>
        <w:shd w:val="clear" w:color="auto" w:fill="FEF4EC" w:themeFill="accent6"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tblPr>
      <w:tblStyleRowBandSize w:val="1"/>
      <w:tblStyleColBandSize w:val="1"/>
    </w:tblPr>
    <w:tcPr>
      <w:shd w:val="clear" w:color="auto" w:fill="000000" w:themeFill="tex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tblPr>
      <w:tblStyleRowBandSize w:val="1"/>
      <w:tblStyleColBandSize w:val="1"/>
    </w:tblPr>
    <w:tcPr>
      <w:shd w:val="clear" w:color="auto" w:fill="4F81BD" w:themeFill="accen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tblPr>
      <w:tblStyleRowBandSize w:val="1"/>
      <w:tblStyleColBandSize w:val="1"/>
    </w:tblPr>
    <w:tcPr>
      <w:shd w:val="clear" w:color="auto" w:fill="C0504D" w:themeFill="accent2"/>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tblPr>
      <w:tblStyleRowBandSize w:val="1"/>
      <w:tblStyleColBandSize w:val="1"/>
    </w:tblPr>
    <w:tcPr>
      <w:shd w:val="clear" w:color="auto" w:fill="9BBB59" w:themeFill="accent3"/>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tblPr>
      <w:tblStyleRowBandSize w:val="1"/>
      <w:tblStyleColBandSize w:val="1"/>
    </w:tblPr>
    <w:tcPr>
      <w:shd w:val="clear" w:color="auto" w:fill="8064A2" w:themeFill="accent4"/>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tblPr>
      <w:tblStyleRowBandSize w:val="1"/>
      <w:tblStyleColBandSize w:val="1"/>
    </w:tblPr>
    <w:tcPr>
      <w:shd w:val="clear" w:color="auto" w:fill="4BACC6" w:themeFill="accent5"/>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tblPr>
      <w:tblStyleRowBandSize w:val="1"/>
      <w:tblStyleColBandSize w:val="1"/>
    </w:tblPr>
    <w:tcPr>
      <w:shd w:val="clear" w:color="auto" w:fill="F79646" w:themeFill="accent6"/>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1">
    <w:name w:val="Colorful Shading Accent 1"/>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2">
    <w:name w:val="Colorful Shading Accent 2"/>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3">
    <w:name w:val="Colorful Shading Accent 3"/>
    <w:basedOn w:val="TableNormal"/>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5">
    <w:name w:val="Colorful Shading Accent 5"/>
    <w:basedOn w:val="TableNormal"/>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6">
    <w:name w:val="Colorful Shading Accent 6"/>
    <w:basedOn w:val="TableNormal"/>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List">
    <w:name w:val="Colorful List"/>
    <w:basedOn w:val="TableNormal"/>
    <w:uiPriority w:val="72"/>
    <w:rsid w:val="00CB0664"/>
    <w:pPr>
      <w:spacing w:after="0" w:line="240" w:lineRule="auto"/>
    </w:pPr>
    <w:tblPr>
      <w:tblStyleRowBandSize w:val="1"/>
      <w:tblStyleColBandSize w:val="1"/>
    </w:tblPr>
    <w:tcPr>
      <w:shd w:val="clear" w:color="auto" w:fill="E6E6E6" w:themeFill="tex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tblPr>
      <w:tblStyleRowBandSize w:val="1"/>
      <w:tblStyleColBandSize w:val="1"/>
    </w:tblPr>
    <w:tcPr>
      <w:shd w:val="clear" w:color="auto" w:fill="EDF2F8" w:themeFill="accen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tblPr>
      <w:tblStyleRowBandSize w:val="1"/>
      <w:tblStyleColBandSize w:val="1"/>
    </w:tblPr>
    <w:tcPr>
      <w:shd w:val="clear" w:color="auto" w:fill="F8EDED" w:themeFill="accent2"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tblPr>
      <w:tblStyleRowBandSize w:val="1"/>
      <w:tblStyleColBandSize w:val="1"/>
    </w:tblPr>
    <w:tcPr>
      <w:shd w:val="clear" w:color="auto" w:fill="F5F8EE" w:themeFill="accent3" w:themeFillTint="19"/>
    </w:tcPr>
    <w:tblStylePr w:type="firstRow">
      <w:rPr>
        <w:rFonts w:ascii="Arial" w:eastAsia="Arial" w:hAnsi="Arial" w:cs="Arial"/>
        <w:b/>
        <w:bCs/>
        <w:color w:val="000000"/>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tblPr>
      <w:tblStyleRowBandSize w:val="1"/>
      <w:tblStyleColBandSize w:val="1"/>
    </w:tblPr>
    <w:tcPr>
      <w:shd w:val="clear" w:color="auto" w:fill="F2EFF6" w:themeFill="accent4" w:themeFillTint="19"/>
    </w:tcPr>
    <w:tblStylePr w:type="firstRow">
      <w:rPr>
        <w:rFonts w:ascii="Arial" w:eastAsia="Arial" w:hAnsi="Arial" w:cs="Arial"/>
        <w:b/>
        <w:bCs/>
        <w:color w:val="000000"/>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tblPr>
      <w:tblStyleRowBandSize w:val="1"/>
      <w:tblStyleColBandSize w:val="1"/>
    </w:tblPr>
    <w:tcPr>
      <w:shd w:val="clear" w:color="auto" w:fill="EDF6F9" w:themeFill="accent5" w:themeFillTint="19"/>
    </w:tcPr>
    <w:tblStylePr w:type="firstRow">
      <w:rPr>
        <w:rFonts w:ascii="Arial" w:eastAsia="Arial" w:hAnsi="Arial" w:cs="Arial"/>
        <w:b/>
        <w:bCs/>
        <w:color w:val="000000"/>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tblPr>
      <w:tblStyleRowBandSize w:val="1"/>
      <w:tblStyleColBandSize w:val="1"/>
    </w:tblPr>
    <w:tcPr>
      <w:shd w:val="clear" w:color="auto" w:fill="FEF4EC" w:themeFill="accent6" w:themeFillTint="19"/>
    </w:tcPr>
    <w:tblStylePr w:type="firstRow">
      <w:rPr>
        <w:rFonts w:ascii="Arial" w:eastAsia="Arial" w:hAnsi="Arial" w:cs="Arial"/>
        <w:b/>
        <w:bCs/>
        <w:color w:val="000000"/>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color w:val="000000"/>
      </w:rPr>
      <w:tblPr/>
      <w:tcPr>
        <w:shd w:val="clear" w:color="auto" w:fill="999999" w:themeFill="text1" w:themeFillTint="66"/>
      </w:tcPr>
    </w:tblStylePr>
    <w:tblStylePr w:type="lastRow">
      <w:rPr>
        <w:rFonts w:ascii="Arial" w:eastAsia="Arial" w:hAnsi="Arial" w:cs="Arial"/>
        <w:b/>
        <w:bCs/>
        <w:color w:val="000000"/>
      </w:rPr>
      <w:tblPr/>
      <w:tcPr>
        <w:shd w:val="clear" w:color="auto" w:fill="999999" w:themeFill="text1" w:themeFillTint="66"/>
      </w:tcPr>
    </w:tblStylePr>
    <w:tblStylePr w:type="firstCol">
      <w:rPr>
        <w:rFonts w:ascii="Arial" w:eastAsia="Arial" w:hAnsi="Arial" w:cs="Arial"/>
        <w:color w:val="000000"/>
      </w:rPr>
      <w:tblPr/>
      <w:tcPr>
        <w:shd w:val="clear" w:color="auto" w:fill="000000" w:themeFill="text1" w:themeFillShade="BF"/>
      </w:tcPr>
    </w:tblStylePr>
    <w:tblStylePr w:type="lastCol">
      <w:rPr>
        <w:rFonts w:ascii="Arial" w:eastAsia="Arial" w:hAnsi="Arial" w:cs="Arial"/>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color w:val="000000"/>
      </w:rPr>
      <w:tblPr/>
      <w:tcPr>
        <w:shd w:val="clear" w:color="auto" w:fill="B8CCE4" w:themeFill="accent1" w:themeFillTint="66"/>
      </w:tcPr>
    </w:tblStylePr>
    <w:tblStylePr w:type="lastRow">
      <w:rPr>
        <w:rFonts w:ascii="Arial" w:eastAsia="Arial" w:hAnsi="Arial" w:cs="Arial"/>
        <w:b/>
        <w:bCs/>
        <w:color w:val="000000"/>
      </w:rPr>
      <w:tblPr/>
      <w:tcPr>
        <w:shd w:val="clear" w:color="auto" w:fill="B8CCE4" w:themeFill="accent1" w:themeFillTint="66"/>
      </w:tcPr>
    </w:tblStylePr>
    <w:tblStylePr w:type="firstCol">
      <w:rPr>
        <w:rFonts w:ascii="Arial" w:eastAsia="Arial" w:hAnsi="Arial" w:cs="Arial"/>
        <w:color w:val="000000"/>
      </w:rPr>
      <w:tblPr/>
      <w:tcPr>
        <w:shd w:val="clear" w:color="auto" w:fill="365F91" w:themeFill="accent1" w:themeFillShade="BF"/>
      </w:tcPr>
    </w:tblStylePr>
    <w:tblStylePr w:type="lastCol">
      <w:rPr>
        <w:rFonts w:ascii="Arial" w:eastAsia="Arial" w:hAnsi="Arial" w:cs="Arial"/>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color w:val="000000"/>
      </w:rPr>
      <w:tblPr/>
      <w:tcPr>
        <w:shd w:val="clear" w:color="auto" w:fill="E5B8B7" w:themeFill="accent2" w:themeFillTint="66"/>
      </w:tcPr>
    </w:tblStylePr>
    <w:tblStylePr w:type="lastRow">
      <w:rPr>
        <w:rFonts w:ascii="Arial" w:eastAsia="Arial" w:hAnsi="Arial" w:cs="Arial"/>
        <w:b/>
        <w:bCs/>
        <w:color w:val="000000"/>
      </w:rPr>
      <w:tblPr/>
      <w:tcPr>
        <w:shd w:val="clear" w:color="auto" w:fill="E5B8B7" w:themeFill="accent2" w:themeFillTint="66"/>
      </w:tcPr>
    </w:tblStylePr>
    <w:tblStylePr w:type="firstCol">
      <w:rPr>
        <w:rFonts w:ascii="Arial" w:eastAsia="Arial" w:hAnsi="Arial" w:cs="Arial"/>
        <w:color w:val="000000"/>
      </w:rPr>
      <w:tblPr/>
      <w:tcPr>
        <w:shd w:val="clear" w:color="auto" w:fill="943634" w:themeFill="accent2" w:themeFillShade="BF"/>
      </w:tcPr>
    </w:tblStylePr>
    <w:tblStylePr w:type="lastCol">
      <w:rPr>
        <w:rFonts w:ascii="Arial" w:eastAsia="Arial" w:hAnsi="Arial" w:cs="Arial"/>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color w:val="000000"/>
      </w:rPr>
      <w:tblPr/>
      <w:tcPr>
        <w:shd w:val="clear" w:color="auto" w:fill="D6E3BC" w:themeFill="accent3" w:themeFillTint="66"/>
      </w:tcPr>
    </w:tblStylePr>
    <w:tblStylePr w:type="lastRow">
      <w:rPr>
        <w:rFonts w:ascii="Arial" w:eastAsia="Arial" w:hAnsi="Arial" w:cs="Arial"/>
        <w:b/>
        <w:bCs/>
        <w:color w:val="000000"/>
      </w:rPr>
      <w:tblPr/>
      <w:tcPr>
        <w:shd w:val="clear" w:color="auto" w:fill="D6E3BC" w:themeFill="accent3" w:themeFillTint="66"/>
      </w:tcPr>
    </w:tblStylePr>
    <w:tblStylePr w:type="firstCol">
      <w:rPr>
        <w:rFonts w:ascii="Arial" w:eastAsia="Arial" w:hAnsi="Arial" w:cs="Arial"/>
        <w:color w:val="000000"/>
      </w:rPr>
      <w:tblPr/>
      <w:tcPr>
        <w:shd w:val="clear" w:color="auto" w:fill="76923C" w:themeFill="accent3" w:themeFillShade="BF"/>
      </w:tcPr>
    </w:tblStylePr>
    <w:tblStylePr w:type="lastCol">
      <w:rPr>
        <w:rFonts w:ascii="Arial" w:eastAsia="Arial" w:hAnsi="Arial" w:cs="Arial"/>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color w:val="000000"/>
      </w:rPr>
      <w:tblPr/>
      <w:tcPr>
        <w:shd w:val="clear" w:color="auto" w:fill="CCC0D9" w:themeFill="accent4" w:themeFillTint="66"/>
      </w:tcPr>
    </w:tblStylePr>
    <w:tblStylePr w:type="lastRow">
      <w:rPr>
        <w:rFonts w:ascii="Arial" w:eastAsia="Arial" w:hAnsi="Arial" w:cs="Arial"/>
        <w:b/>
        <w:bCs/>
        <w:color w:val="000000"/>
      </w:rPr>
      <w:tblPr/>
      <w:tcPr>
        <w:shd w:val="clear" w:color="auto" w:fill="CCC0D9" w:themeFill="accent4" w:themeFillTint="66"/>
      </w:tcPr>
    </w:tblStylePr>
    <w:tblStylePr w:type="firstCol">
      <w:rPr>
        <w:rFonts w:ascii="Arial" w:eastAsia="Arial" w:hAnsi="Arial" w:cs="Arial"/>
        <w:color w:val="000000"/>
      </w:rPr>
      <w:tblPr/>
      <w:tcPr>
        <w:shd w:val="clear" w:color="auto" w:fill="5F497A" w:themeFill="accent4" w:themeFillShade="BF"/>
      </w:tcPr>
    </w:tblStylePr>
    <w:tblStylePr w:type="lastCol">
      <w:rPr>
        <w:rFonts w:ascii="Arial" w:eastAsia="Arial" w:hAnsi="Arial" w:cs="Arial"/>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color w:val="000000"/>
      </w:rPr>
      <w:tblPr/>
      <w:tcPr>
        <w:shd w:val="clear" w:color="auto" w:fill="B6DDE8" w:themeFill="accent5" w:themeFillTint="66"/>
      </w:tcPr>
    </w:tblStylePr>
    <w:tblStylePr w:type="lastRow">
      <w:rPr>
        <w:rFonts w:ascii="Arial" w:eastAsia="Arial" w:hAnsi="Arial" w:cs="Arial"/>
        <w:b/>
        <w:bCs/>
        <w:color w:val="000000"/>
      </w:rPr>
      <w:tblPr/>
      <w:tcPr>
        <w:shd w:val="clear" w:color="auto" w:fill="B6DDE8" w:themeFill="accent5" w:themeFillTint="66"/>
      </w:tcPr>
    </w:tblStylePr>
    <w:tblStylePr w:type="firstCol">
      <w:rPr>
        <w:rFonts w:ascii="Arial" w:eastAsia="Arial" w:hAnsi="Arial" w:cs="Arial"/>
        <w:color w:val="000000"/>
      </w:rPr>
      <w:tblPr/>
      <w:tcPr>
        <w:shd w:val="clear" w:color="auto" w:fill="31849B" w:themeFill="accent5" w:themeFillShade="BF"/>
      </w:tcPr>
    </w:tblStylePr>
    <w:tblStylePr w:type="lastCol">
      <w:rPr>
        <w:rFonts w:ascii="Arial" w:eastAsia="Arial" w:hAnsi="Arial" w:cs="Arial"/>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color w:val="000000"/>
      </w:rPr>
      <w:tblPr/>
      <w:tcPr>
        <w:shd w:val="clear" w:color="auto" w:fill="FBD4B4" w:themeFill="accent6" w:themeFillTint="66"/>
      </w:tcPr>
    </w:tblStylePr>
    <w:tblStylePr w:type="lastRow">
      <w:rPr>
        <w:rFonts w:ascii="Arial" w:eastAsia="Arial" w:hAnsi="Arial" w:cs="Arial"/>
        <w:b/>
        <w:bCs/>
        <w:color w:val="000000"/>
      </w:rPr>
      <w:tblPr/>
      <w:tcPr>
        <w:shd w:val="clear" w:color="auto" w:fill="FBD4B4" w:themeFill="accent6" w:themeFillTint="66"/>
      </w:tcPr>
    </w:tblStylePr>
    <w:tblStylePr w:type="firstCol">
      <w:rPr>
        <w:rFonts w:ascii="Arial" w:eastAsia="Arial" w:hAnsi="Arial" w:cs="Arial"/>
        <w:color w:val="000000"/>
      </w:rPr>
      <w:tblPr/>
      <w:tcPr>
        <w:shd w:val="clear" w:color="auto" w:fill="E36C0A" w:themeFill="accent6" w:themeFillShade="BF"/>
      </w:tcPr>
    </w:tblStylePr>
    <w:tblStylePr w:type="lastCol">
      <w:rPr>
        <w:rFonts w:ascii="Arial" w:eastAsia="Arial" w:hAnsi="Arial" w:cs="Arial"/>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40" w:line="276" w:lineRule="auto"/>
      <w:ind w:left="160" w:right="160"/>
    </w:pPr>
    <w:rPr>
      <w:sz w:val="19"/>
    </w:rPr>
  </w:style>
  <w:style w:type="paragraph" w:customStyle="1" w:styleId="StarterParagraph">
    <w:name w:val="Starter Paragraph"/>
    <w:basedOn w:val="Normal"/>
    <w:pPr>
      <w:spacing w:line="300" w:lineRule="auto"/>
      <w:ind w:left="283" w:right="283"/>
    </w:pPr>
    <w:rPr>
      <w:i/>
      <w:sz w:val="21"/>
    </w:rPr>
  </w:style>
  <w:style w:type="paragraph" w:customStyle="1" w:styleId="ReferenceEntry">
    <w:name w:val="Reference Entry"/>
    <w:basedOn w:val="Normal"/>
    <w:pPr>
      <w:spacing w:after="40" w:line="276" w:lineRule="auto"/>
      <w:ind w:left="369" w:hanging="369"/>
    </w:pPr>
    <w:rPr>
      <w:sz w:val="19"/>
    </w:rPr>
  </w:style>
  <w:style w:type="paragraph" w:customStyle="1" w:styleId="ReferenceNote">
    <w:name w:val="Reference Note"/>
    <w:basedOn w:val="Normal"/>
    <w:pPr>
      <w:spacing w:after="140" w:line="264" w:lineRule="auto"/>
      <w:ind w:left="369"/>
    </w:pPr>
    <w:rPr>
      <w:i/>
      <w:sz w:val="18"/>
    </w:rPr>
  </w:style>
  <w:style w:type="character" w:styleId="PlaceholderText">
    <w:name w:val="Placeholder Text"/>
    <w:basedOn w:val="DefaultParagraphFont"/>
    <w:uiPriority w:val="99"/>
    <w:semiHidden/>
    <w:rsid w:val="00D01B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35</Pages>
  <Words>16421</Words>
  <Characters>99348</Characters>
  <Application>Microsoft Office Word</Application>
  <DocSecurity>0</DocSecurity>
  <Lines>2207</Lines>
  <Paragraphs>1346</Paragraphs>
  <ScaleCrop>false</ScaleCrop>
  <HeadingPairs>
    <vt:vector size="2" baseType="variant">
      <vt:variant>
        <vt:lpstr>Title</vt:lpstr>
      </vt:variant>
      <vt:variant>
        <vt:i4>1</vt:i4>
      </vt:variant>
    </vt:vector>
  </HeadingPairs>
  <TitlesOfParts>
    <vt:vector size="1" baseType="lpstr">
      <vt:lpstr>Positional Encoding in Compact Vision Transformers: A Controlled Evaluation</vt:lpstr>
    </vt:vector>
  </TitlesOfParts>
  <Manager/>
  <Company/>
  <LinksUpToDate>false</LinksUpToDate>
  <CharactersWithSpaces>114423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Positional Encoding in Compact Vision Transformers: A Controlled Evaluation</dc:title>
  <dc:subject>Core MSc dissertation draft structure</dc:subject>
  <dc:creator>Yikai Zhao</dc:creator>
  <cp:keywords>Vision Transformer; positional encoding; CIFAR-10; dissertation framework</cp:keywords>
  <dc:description>Core structure v3: cover to Abstract; Conclusion is the final section; no figures embedded.</dc:description>
  <cp:lastModifiedBy>yk 赵</cp:lastModifiedBy>
  <cp:revision>38</cp:revision>
  <dcterms:created xsi:type="dcterms:W3CDTF">2026-08-05T14:38:00Z</dcterms:created>
  <dcterms:modified xsi:type="dcterms:W3CDTF">2026-08-10T16:33:00Z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id="XIOczFVh"/&gt;&lt;style id="http://www.zotero.org/styles/ieee" locale="zh-CN"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