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8bjsi49dpv8" w:id="0"/>
      <w:bookmarkEnd w:id="0"/>
      <w:r w:rsidDel="00000000" w:rsidR="00000000" w:rsidRPr="00000000">
        <w:rPr>
          <w:rtl w:val="0"/>
        </w:rPr>
        <w:t xml:space="preserve">RSE Asia Australia Unconference Prospectus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Building the Research Software Engineer community across Asia and Australia</w:t>
      </w:r>
    </w:p>
    <w:p w:rsidR="00000000" w:rsidDel="00000000" w:rsidP="00000000" w:rsidRDefault="00000000" w:rsidRPr="00000000" w14:paraId="00000004">
      <w:pPr>
        <w:pageBreakBefore w:val="0"/>
        <w:rPr/>
      </w:pPr>
      <w:r w:rsidDel="00000000" w:rsidR="00000000" w:rsidRPr="00000000">
        <w:rPr>
          <w:rtl w:val="0"/>
        </w:rPr>
        <w:t xml:space="preserve">September 2023</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Key Partners from 2022 were QCIF, the Australian Research Data Commons (ARDC). Accessibility Partner from 2022  was the Society of Research Software Engineering.</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rPr/>
      </w:pPr>
      <w:bookmarkStart w:colFirst="0" w:colLast="0" w:name="_p4y68k9oxtx" w:id="1"/>
      <w:bookmarkEnd w:id="1"/>
      <w:r w:rsidDel="00000000" w:rsidR="00000000" w:rsidRPr="00000000">
        <w:rPr>
          <w:rtl w:val="0"/>
        </w:rPr>
        <w:t xml:space="preserve">Current Community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RSE Association of Australia and New Zealand (RSE-AUNZ) currently has 414 members. The RSE Asia Association has recently been established and has 70 members.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nahnxtbo2avk" w:id="2"/>
      <w:bookmarkEnd w:id="2"/>
      <w:r w:rsidDel="00000000" w:rsidR="00000000" w:rsidRPr="00000000">
        <w:rPr>
          <w:rtl w:val="0"/>
        </w:rPr>
        <w:t xml:space="preserve">About the Unconference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the second online Research Software Engineer (RSE) Asia Australia Unconference. This gives you a unique opportunity to reach an emerging international community of RSEs.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joint partnership will allow you to reach an international multi-disciplinary audience of RSEs that are critical to underpinning the reproducibility and accuracy of research now and in the future.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During the 2022 Unconference: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141 participants were registered for the unconference,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17 different community-led sessions, and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 maximum of 77 participants in one session.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rPr/>
      </w:pPr>
      <w:bookmarkStart w:colFirst="0" w:colLast="0" w:name="_673qmyvzuya" w:id="3"/>
      <w:bookmarkEnd w:id="3"/>
      <w:r w:rsidDel="00000000" w:rsidR="00000000" w:rsidRPr="00000000">
        <w:rPr>
          <w:rtl w:val="0"/>
        </w:rPr>
        <w:t xml:space="preserve">Partnership Opportunities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partnering with us, you will be helping to raise awareness not only of your organisation, but of the importance and value of RSEs as a community and as individuals. This would be especially advantageous for organisations wanting to target a technology-savvy, multi-disciplinary audience that is relied on to provide advice for technology decisions.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Key partnerships are available for an investment of $3,000 AUD and the Allied partnerships are available for an investment of $1,000 AUD.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is also an Accessibility Partner option. This is based on providing accessibility to participants and is a flexible package that starts at $2000 AUD.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r1ie6xnvzijj" w:id="4"/>
      <w:bookmarkEnd w:id="4"/>
      <w:r w:rsidDel="00000000" w:rsidR="00000000" w:rsidRPr="00000000">
        <w:rPr>
          <w:rtl w:val="0"/>
        </w:rPr>
        <w:t xml:space="preserve">Offerings table</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1620"/>
        <w:gridCol w:w="3120"/>
        <w:tblGridChange w:id="0">
          <w:tblGrid>
            <w:gridCol w:w="4620"/>
            <w:gridCol w:w="1620"/>
            <w:gridCol w:w="3120"/>
          </w:tblGrid>
        </w:tblGridChange>
      </w:tblGrid>
      <w:tr>
        <w:trPr>
          <w:cantSplit w:val="0"/>
          <w:tblHeader w:val="0"/>
        </w:trPr>
        <w:tc>
          <w:tcPr>
            <w:shd w:fill="auto" w:val="clear"/>
            <w:tcMar>
              <w:top w:w="-476.64" w:type="dxa"/>
              <w:left w:w="-476.64" w:type="dxa"/>
              <w:bottom w:w="-476.64" w:type="dxa"/>
              <w:right w:w="-476.64" w:type="dxa"/>
            </w:tcMar>
            <w:vAlign w:val="center"/>
          </w:tcPr>
          <w:p w:rsidR="00000000" w:rsidDel="00000000" w:rsidP="00000000" w:rsidRDefault="00000000" w:rsidRPr="00000000" w14:paraId="00000023">
            <w:pPr>
              <w:spacing w:after="240" w:before="240" w:lineRule="auto"/>
              <w:jc w:val="center"/>
              <w:rPr/>
            </w:pPr>
            <w:r w:rsidDel="00000000" w:rsidR="00000000" w:rsidRPr="00000000">
              <w:rPr>
                <w:rtl w:val="0"/>
              </w:rPr>
              <w:t xml:space="preserve">Offerings </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partners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Allied partners</w:t>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6">
            <w:pPr>
              <w:spacing w:after="240" w:before="240" w:lineRule="auto"/>
              <w:rPr/>
            </w:pPr>
            <w:r w:rsidDel="00000000" w:rsidR="00000000" w:rsidRPr="00000000">
              <w:rPr>
                <w:rtl w:val="0"/>
              </w:rPr>
              <w:t xml:space="preserve">Logo, link and info on website</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Yes</w:t>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9">
            <w:pPr>
              <w:spacing w:after="240" w:before="240" w:lineRule="auto"/>
              <w:rPr/>
            </w:pPr>
            <w:r w:rsidDel="00000000" w:rsidR="00000000" w:rsidRPr="00000000">
              <w:rPr>
                <w:rtl w:val="0"/>
              </w:rPr>
              <w:t xml:space="preserve">Logo on welcome slide</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Yes</w:t>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C">
            <w:pPr>
              <w:spacing w:after="240" w:before="240" w:lineRule="auto"/>
              <w:rPr/>
            </w:pPr>
            <w:r w:rsidDel="00000000" w:rsidR="00000000" w:rsidRPr="00000000">
              <w:rPr>
                <w:rtl w:val="0"/>
              </w:rPr>
              <w:t xml:space="preserve">Mention during welcome and closing speeches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Yes</w:t>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F">
            <w:pPr>
              <w:spacing w:after="240" w:before="240" w:lineRule="auto"/>
              <w:rPr/>
            </w:pPr>
            <w:r w:rsidDel="00000000" w:rsidR="00000000" w:rsidRPr="00000000">
              <w:rPr>
                <w:rtl w:val="0"/>
              </w:rPr>
              <w:t xml:space="preserve">Final report/event wrap-up</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Yes</w:t>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32">
            <w:pPr>
              <w:spacing w:after="240" w:before="240" w:lineRule="auto"/>
              <w:rPr/>
            </w:pPr>
            <w:r w:rsidDel="00000000" w:rsidR="00000000" w:rsidRPr="00000000">
              <w:rPr>
                <w:rtl w:val="0"/>
              </w:rPr>
              <w:t xml:space="preserve">Number of tickets included</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35">
            <w:pPr>
              <w:spacing w:after="240" w:before="240" w:lineRule="auto"/>
              <w:rPr/>
            </w:pPr>
            <w:r w:rsidDel="00000000" w:rsidR="00000000" w:rsidRPr="00000000">
              <w:rPr>
                <w:rtl w:val="0"/>
              </w:rPr>
              <w:t xml:space="preserve">Access to a virtual booth</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38">
            <w:pPr>
              <w:spacing w:after="240" w:before="240" w:lineRule="auto"/>
              <w:rPr/>
            </w:pPr>
            <w:r w:rsidDel="00000000" w:rsidR="00000000" w:rsidRPr="00000000">
              <w:rPr>
                <w:rtl w:val="0"/>
              </w:rPr>
              <w:t xml:space="preserve">5 minute introduction to participants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1"/>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3B">
            <w:pPr>
              <w:spacing w:after="240" w:before="240" w:lineRule="auto"/>
              <w:rPr/>
            </w:pPr>
            <w:r w:rsidDel="00000000" w:rsidR="00000000" w:rsidRPr="00000000">
              <w:rPr>
                <w:rtl w:val="0"/>
              </w:rPr>
              <w:t xml:space="preserve">Logo on event emails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Yes</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rPr/>
      </w:pPr>
      <w:bookmarkStart w:colFirst="0" w:colLast="0" w:name="_emwabjlgknww" w:id="5"/>
      <w:bookmarkEnd w:id="5"/>
      <w:r w:rsidDel="00000000" w:rsidR="00000000" w:rsidRPr="00000000">
        <w:rPr>
          <w:rtl w:val="0"/>
        </w:rPr>
        <w:t xml:space="preserve">Accessibility for the 2022 Unconference</w:t>
      </w:r>
    </w:p>
    <w:p w:rsidR="00000000" w:rsidDel="00000000" w:rsidP="00000000" w:rsidRDefault="00000000" w:rsidRPr="00000000" w14:paraId="00000041">
      <w:pPr>
        <w:rPr/>
      </w:pPr>
      <w:r w:rsidDel="00000000" w:rsidR="00000000" w:rsidRPr="00000000">
        <w:rPr>
          <w:rtl w:val="0"/>
        </w:rPr>
        <w:t xml:space="preserve">In the 2022 unconference we were able to improve the accessibility of the event. We made it more accessible than a normal event by making the event online, the tickets were relatively cheap with scholarships available, and used Zoom which was recommended for being more accessible.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provided two accessibility micro-grants, and an accessibility report was commissioned to help us be accountable for the accessibility of the event. We did relatively well given the circumstances, but we do need to improve the live captions, increasing the uptake of the micro-grants, and speaker awareness.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Partnership Benefits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By partnering with us, you will help to build on the foundations that we created in the 2022 event, as well as setting the precedent of having Accessibility Partnerships and auditing on accessibility reports as standard for events.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partnership would contribute to:</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identifying an individual to focus on improving accessibility,</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benchmark the accessibility report with an external audit,</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provide accessibility micro-grants, and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provide live captions for all keynote speakers.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after="160" w:before="300" w:line="264" w:lineRule="auto"/>
        <w:rPr/>
      </w:pPr>
      <w:bookmarkStart w:colFirst="0" w:colLast="0" w:name="_lpooo179mlpf" w:id="6"/>
      <w:bookmarkEnd w:id="6"/>
      <w:r w:rsidDel="00000000" w:rsidR="00000000" w:rsidRPr="00000000">
        <w:rPr>
          <w:rtl w:val="0"/>
        </w:rPr>
        <w:t xml:space="preserve">Overview of the Accessibility Report</w:t>
      </w:r>
    </w:p>
    <w:p w:rsidR="00000000" w:rsidDel="00000000" w:rsidP="00000000" w:rsidRDefault="00000000" w:rsidRPr="00000000" w14:paraId="00000052">
      <w:pPr>
        <w:pStyle w:val="Heading4"/>
        <w:keepNext w:val="0"/>
        <w:keepLines w:val="0"/>
        <w:shd w:fill="ffffff" w:val="clear"/>
        <w:spacing w:after="160" w:before="160" w:line="264" w:lineRule="auto"/>
        <w:rPr>
          <w:color w:val="333333"/>
          <w:sz w:val="27"/>
          <w:szCs w:val="27"/>
        </w:rPr>
      </w:pPr>
      <w:bookmarkStart w:colFirst="0" w:colLast="0" w:name="_gw7ap319v1p5" w:id="7"/>
      <w:bookmarkEnd w:id="7"/>
      <w:r w:rsidDel="00000000" w:rsidR="00000000" w:rsidRPr="00000000">
        <w:rPr>
          <w:color w:val="333333"/>
          <w:sz w:val="27"/>
          <w:szCs w:val="27"/>
          <w:rtl w:val="0"/>
        </w:rPr>
        <w:t xml:space="preserve">Liz Hare, Ph.D.</w:t>
      </w:r>
    </w:p>
    <w:p w:rsidR="00000000" w:rsidDel="00000000" w:rsidP="00000000" w:rsidRDefault="00000000" w:rsidRPr="00000000" w14:paraId="00000053">
      <w:pPr>
        <w:shd w:fill="ffffff" w:val="clear"/>
        <w:rPr>
          <w:color w:val="337ab7"/>
          <w:sz w:val="21"/>
          <w:szCs w:val="21"/>
        </w:rPr>
      </w:pPr>
      <w:r w:rsidDel="00000000" w:rsidR="00000000" w:rsidRPr="00000000">
        <w:rPr>
          <w:color w:val="337ab7"/>
          <w:sz w:val="21"/>
          <w:szCs w:val="21"/>
          <w:rtl w:val="0"/>
        </w:rPr>
        <w:t xml:space="preserve">LizHare@DogGenetics.com</w:t>
      </w:r>
    </w:p>
    <w:p w:rsidR="00000000" w:rsidDel="00000000" w:rsidP="00000000" w:rsidRDefault="00000000" w:rsidRPr="00000000" w14:paraId="00000054">
      <w:pPr>
        <w:pStyle w:val="Heading4"/>
        <w:keepNext w:val="0"/>
        <w:keepLines w:val="0"/>
        <w:shd w:fill="ffffff" w:val="clear"/>
        <w:spacing w:after="160" w:before="160" w:line="264" w:lineRule="auto"/>
        <w:rPr>
          <w:color w:val="333333"/>
          <w:sz w:val="27"/>
          <w:szCs w:val="27"/>
        </w:rPr>
      </w:pPr>
      <w:bookmarkStart w:colFirst="0" w:colLast="0" w:name="_maa8yuwud1en" w:id="8"/>
      <w:bookmarkEnd w:id="8"/>
      <w:r w:rsidDel="00000000" w:rsidR="00000000" w:rsidRPr="00000000">
        <w:rPr>
          <w:color w:val="333333"/>
          <w:sz w:val="27"/>
          <w:szCs w:val="27"/>
          <w:rtl w:val="0"/>
        </w:rPr>
        <w:t xml:space="preserve">2022-10-12</w:t>
      </w:r>
    </w:p>
    <w:p w:rsidR="00000000" w:rsidDel="00000000" w:rsidP="00000000" w:rsidRDefault="00000000" w:rsidRPr="00000000" w14:paraId="00000055">
      <w:pPr>
        <w:numPr>
          <w:ilvl w:val="0"/>
          <w:numId w:val="3"/>
        </w:numPr>
        <w:spacing w:after="0" w:afterAutospacing="0" w:lineRule="auto"/>
        <w:ind w:left="720" w:hanging="360"/>
      </w:pPr>
      <w:hyperlink r:id="rId6">
        <w:r w:rsidDel="00000000" w:rsidR="00000000" w:rsidRPr="00000000">
          <w:rPr>
            <w:color w:val="337ab7"/>
            <w:sz w:val="21"/>
            <w:szCs w:val="21"/>
            <w:rtl w:val="0"/>
          </w:rPr>
          <w:t xml:space="preserve">1 Overall Communication Strategy</w:t>
        </w:r>
      </w:hyperlink>
      <w:r w:rsidDel="00000000" w:rsidR="00000000" w:rsidRPr="00000000">
        <w:rPr>
          <w:rtl w:val="0"/>
        </w:rPr>
      </w:r>
    </w:p>
    <w:p w:rsidR="00000000" w:rsidDel="00000000" w:rsidP="00000000" w:rsidRDefault="00000000" w:rsidRPr="00000000" w14:paraId="00000056">
      <w:pPr>
        <w:numPr>
          <w:ilvl w:val="0"/>
          <w:numId w:val="3"/>
        </w:numPr>
        <w:spacing w:after="0" w:afterAutospacing="0" w:lineRule="auto"/>
        <w:ind w:left="720" w:hanging="360"/>
      </w:pPr>
      <w:hyperlink r:id="rId7">
        <w:r w:rsidDel="00000000" w:rsidR="00000000" w:rsidRPr="00000000">
          <w:rPr>
            <w:color w:val="337ab7"/>
            <w:sz w:val="21"/>
            <w:szCs w:val="21"/>
            <w:rtl w:val="0"/>
          </w:rPr>
          <w:t xml:space="preserve">2 Software Components and their Accessibility</w:t>
        </w:r>
      </w:hyperlink>
      <w:r w:rsidDel="00000000" w:rsidR="00000000" w:rsidRPr="00000000">
        <w:rPr>
          <w:rtl w:val="0"/>
        </w:rPr>
      </w:r>
    </w:p>
    <w:p w:rsidR="00000000" w:rsidDel="00000000" w:rsidP="00000000" w:rsidRDefault="00000000" w:rsidRPr="00000000" w14:paraId="00000057">
      <w:pPr>
        <w:numPr>
          <w:ilvl w:val="1"/>
          <w:numId w:val="3"/>
        </w:numPr>
        <w:spacing w:after="0" w:afterAutospacing="0" w:lineRule="auto"/>
        <w:ind w:left="1440" w:hanging="360"/>
      </w:pPr>
      <w:hyperlink r:id="rId8">
        <w:r w:rsidDel="00000000" w:rsidR="00000000" w:rsidRPr="00000000">
          <w:rPr>
            <w:color w:val="337ab7"/>
            <w:sz w:val="21"/>
            <w:szCs w:val="21"/>
            <w:rtl w:val="0"/>
          </w:rPr>
          <w:t xml:space="preserve">2.1 EventBrite</w:t>
        </w:r>
      </w:hyperlink>
      <w:r w:rsidDel="00000000" w:rsidR="00000000" w:rsidRPr="00000000">
        <w:rPr>
          <w:rtl w:val="0"/>
        </w:rPr>
      </w:r>
    </w:p>
    <w:p w:rsidR="00000000" w:rsidDel="00000000" w:rsidP="00000000" w:rsidRDefault="00000000" w:rsidRPr="00000000" w14:paraId="00000058">
      <w:pPr>
        <w:numPr>
          <w:ilvl w:val="2"/>
          <w:numId w:val="3"/>
        </w:numPr>
        <w:spacing w:after="0" w:afterAutospacing="0" w:lineRule="auto"/>
        <w:ind w:left="2160" w:hanging="360"/>
      </w:pPr>
      <w:hyperlink r:id="rId9">
        <w:r w:rsidDel="00000000" w:rsidR="00000000" w:rsidRPr="00000000">
          <w:rPr>
            <w:color w:val="337ab7"/>
            <w:sz w:val="21"/>
            <w:szCs w:val="21"/>
            <w:rtl w:val="0"/>
          </w:rPr>
          <w:t xml:space="preserve">2.1.1 Suggestions</w:t>
        </w:r>
      </w:hyperlink>
      <w:r w:rsidDel="00000000" w:rsidR="00000000" w:rsidRPr="00000000">
        <w:rPr>
          <w:rtl w:val="0"/>
        </w:rPr>
      </w:r>
    </w:p>
    <w:p w:rsidR="00000000" w:rsidDel="00000000" w:rsidP="00000000" w:rsidRDefault="00000000" w:rsidRPr="00000000" w14:paraId="00000059">
      <w:pPr>
        <w:numPr>
          <w:ilvl w:val="1"/>
          <w:numId w:val="3"/>
        </w:numPr>
        <w:spacing w:after="0" w:afterAutospacing="0" w:lineRule="auto"/>
        <w:ind w:left="1440" w:hanging="360"/>
      </w:pPr>
      <w:hyperlink r:id="rId10">
        <w:r w:rsidDel="00000000" w:rsidR="00000000" w:rsidRPr="00000000">
          <w:rPr>
            <w:color w:val="337ab7"/>
            <w:sz w:val="21"/>
            <w:szCs w:val="21"/>
            <w:rtl w:val="0"/>
          </w:rPr>
          <w:t xml:space="preserve">2.2 Website</w:t>
        </w:r>
      </w:hyperlink>
      <w:r w:rsidDel="00000000" w:rsidR="00000000" w:rsidRPr="00000000">
        <w:rPr>
          <w:rtl w:val="0"/>
        </w:rPr>
      </w:r>
    </w:p>
    <w:p w:rsidR="00000000" w:rsidDel="00000000" w:rsidP="00000000" w:rsidRDefault="00000000" w:rsidRPr="00000000" w14:paraId="0000005A">
      <w:pPr>
        <w:numPr>
          <w:ilvl w:val="2"/>
          <w:numId w:val="3"/>
        </w:numPr>
        <w:spacing w:after="0" w:afterAutospacing="0" w:lineRule="auto"/>
        <w:ind w:left="2160" w:hanging="360"/>
      </w:pPr>
      <w:hyperlink r:id="rId11">
        <w:r w:rsidDel="00000000" w:rsidR="00000000" w:rsidRPr="00000000">
          <w:rPr>
            <w:color w:val="337ab7"/>
            <w:sz w:val="21"/>
            <w:szCs w:val="21"/>
            <w:rtl w:val="0"/>
          </w:rPr>
          <w:t xml:space="preserve">2.2.1 Suggestions</w:t>
        </w:r>
      </w:hyperlink>
      <w:r w:rsidDel="00000000" w:rsidR="00000000" w:rsidRPr="00000000">
        <w:rPr>
          <w:rtl w:val="0"/>
        </w:rPr>
      </w:r>
    </w:p>
    <w:p w:rsidR="00000000" w:rsidDel="00000000" w:rsidP="00000000" w:rsidRDefault="00000000" w:rsidRPr="00000000" w14:paraId="0000005B">
      <w:pPr>
        <w:numPr>
          <w:ilvl w:val="1"/>
          <w:numId w:val="3"/>
        </w:numPr>
        <w:spacing w:after="0" w:afterAutospacing="0" w:lineRule="auto"/>
        <w:ind w:left="1440" w:hanging="360"/>
      </w:pPr>
      <w:hyperlink r:id="rId12">
        <w:r w:rsidDel="00000000" w:rsidR="00000000" w:rsidRPr="00000000">
          <w:rPr>
            <w:color w:val="337ab7"/>
            <w:sz w:val="21"/>
            <w:szCs w:val="21"/>
            <w:rtl w:val="0"/>
          </w:rPr>
          <w:t xml:space="preserve">2.3 Zoom</w:t>
        </w:r>
      </w:hyperlink>
      <w:r w:rsidDel="00000000" w:rsidR="00000000" w:rsidRPr="00000000">
        <w:rPr>
          <w:rtl w:val="0"/>
        </w:rPr>
      </w:r>
    </w:p>
    <w:p w:rsidR="00000000" w:rsidDel="00000000" w:rsidP="00000000" w:rsidRDefault="00000000" w:rsidRPr="00000000" w14:paraId="0000005C">
      <w:pPr>
        <w:numPr>
          <w:ilvl w:val="2"/>
          <w:numId w:val="3"/>
        </w:numPr>
        <w:spacing w:after="0" w:afterAutospacing="0" w:lineRule="auto"/>
        <w:ind w:left="2160" w:hanging="360"/>
      </w:pPr>
      <w:hyperlink r:id="rId13">
        <w:r w:rsidDel="00000000" w:rsidR="00000000" w:rsidRPr="00000000">
          <w:rPr>
            <w:color w:val="337ab7"/>
            <w:sz w:val="21"/>
            <w:szCs w:val="21"/>
            <w:rtl w:val="0"/>
          </w:rPr>
          <w:t xml:space="preserve">2.3.1 Suggestions</w:t>
        </w:r>
      </w:hyperlink>
      <w:r w:rsidDel="00000000" w:rsidR="00000000" w:rsidRPr="00000000">
        <w:rPr>
          <w:rtl w:val="0"/>
        </w:rPr>
      </w:r>
    </w:p>
    <w:p w:rsidR="00000000" w:rsidDel="00000000" w:rsidP="00000000" w:rsidRDefault="00000000" w:rsidRPr="00000000" w14:paraId="0000005D">
      <w:pPr>
        <w:numPr>
          <w:ilvl w:val="0"/>
          <w:numId w:val="3"/>
        </w:numPr>
        <w:spacing w:after="0" w:afterAutospacing="0" w:lineRule="auto"/>
        <w:ind w:left="720" w:hanging="360"/>
      </w:pPr>
      <w:hyperlink r:id="rId14">
        <w:r w:rsidDel="00000000" w:rsidR="00000000" w:rsidRPr="00000000">
          <w:rPr>
            <w:color w:val="337ab7"/>
            <w:sz w:val="21"/>
            <w:szCs w:val="21"/>
            <w:rtl w:val="0"/>
          </w:rPr>
          <w:t xml:space="preserve">3 Accessibility Standards for Presenters</w:t>
        </w:r>
      </w:hyperlink>
      <w:r w:rsidDel="00000000" w:rsidR="00000000" w:rsidRPr="00000000">
        <w:rPr>
          <w:rtl w:val="0"/>
        </w:rPr>
      </w:r>
    </w:p>
    <w:p w:rsidR="00000000" w:rsidDel="00000000" w:rsidP="00000000" w:rsidRDefault="00000000" w:rsidRPr="00000000" w14:paraId="0000005E">
      <w:pPr>
        <w:numPr>
          <w:ilvl w:val="1"/>
          <w:numId w:val="3"/>
        </w:numPr>
        <w:spacing w:after="0" w:afterAutospacing="0" w:lineRule="auto"/>
        <w:ind w:left="1440" w:hanging="360"/>
      </w:pPr>
      <w:hyperlink r:id="rId15">
        <w:r w:rsidDel="00000000" w:rsidR="00000000" w:rsidRPr="00000000">
          <w:rPr>
            <w:color w:val="337ab7"/>
            <w:sz w:val="21"/>
            <w:szCs w:val="21"/>
            <w:rtl w:val="0"/>
          </w:rPr>
          <w:t xml:space="preserve">3.1 The Slides</w:t>
        </w:r>
      </w:hyperlink>
      <w:r w:rsidDel="00000000" w:rsidR="00000000" w:rsidRPr="00000000">
        <w:rPr>
          <w:rtl w:val="0"/>
        </w:rPr>
      </w:r>
    </w:p>
    <w:p w:rsidR="00000000" w:rsidDel="00000000" w:rsidP="00000000" w:rsidRDefault="00000000" w:rsidRPr="00000000" w14:paraId="0000005F">
      <w:pPr>
        <w:numPr>
          <w:ilvl w:val="1"/>
          <w:numId w:val="3"/>
        </w:numPr>
        <w:spacing w:after="0" w:afterAutospacing="0" w:lineRule="auto"/>
        <w:ind w:left="1440" w:hanging="360"/>
      </w:pPr>
      <w:hyperlink r:id="rId16">
        <w:r w:rsidDel="00000000" w:rsidR="00000000" w:rsidRPr="00000000">
          <w:rPr>
            <w:color w:val="337ab7"/>
            <w:sz w:val="21"/>
            <w:szCs w:val="21"/>
            <w:rtl w:val="0"/>
          </w:rPr>
          <w:t xml:space="preserve">3.2 Giving the Talk</w:t>
        </w:r>
      </w:hyperlink>
      <w:r w:rsidDel="00000000" w:rsidR="00000000" w:rsidRPr="00000000">
        <w:rPr>
          <w:rtl w:val="0"/>
        </w:rPr>
      </w:r>
    </w:p>
    <w:p w:rsidR="00000000" w:rsidDel="00000000" w:rsidP="00000000" w:rsidRDefault="00000000" w:rsidRPr="00000000" w14:paraId="00000060">
      <w:pPr>
        <w:numPr>
          <w:ilvl w:val="0"/>
          <w:numId w:val="3"/>
        </w:numPr>
        <w:spacing w:after="160" w:lineRule="auto"/>
        <w:ind w:left="720" w:hanging="360"/>
      </w:pPr>
      <w:hyperlink r:id="rId17">
        <w:r w:rsidDel="00000000" w:rsidR="00000000" w:rsidRPr="00000000">
          <w:rPr>
            <w:color w:val="337ab7"/>
            <w:sz w:val="21"/>
            <w:szCs w:val="21"/>
            <w:rtl w:val="0"/>
          </w:rPr>
          <w:t xml:space="preserve">4 After the Unconference</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se-aunz.github.io/RSEAUNZAccessibility.html#suggestions-1" TargetMode="External"/><Relationship Id="rId10" Type="http://schemas.openxmlformats.org/officeDocument/2006/relationships/hyperlink" Target="https://rse-aunz.github.io/RSEAUNZAccessibility.html#website" TargetMode="External"/><Relationship Id="rId13" Type="http://schemas.openxmlformats.org/officeDocument/2006/relationships/hyperlink" Target="https://rse-aunz.github.io/RSEAUNZAccessibility.html#suggestions-2" TargetMode="External"/><Relationship Id="rId12" Type="http://schemas.openxmlformats.org/officeDocument/2006/relationships/hyperlink" Target="https://rse-aunz.github.io/RSEAUNZAccessibility.html#zo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e-aunz.github.io/RSEAUNZAccessibility.html#suggestions" TargetMode="External"/><Relationship Id="rId15" Type="http://schemas.openxmlformats.org/officeDocument/2006/relationships/hyperlink" Target="https://rse-aunz.github.io/RSEAUNZAccessibility.html#the-slides" TargetMode="External"/><Relationship Id="rId14" Type="http://schemas.openxmlformats.org/officeDocument/2006/relationships/hyperlink" Target="https://rse-aunz.github.io/RSEAUNZAccessibility.html#accessibility-standards-for-presenters" TargetMode="External"/><Relationship Id="rId17" Type="http://schemas.openxmlformats.org/officeDocument/2006/relationships/hyperlink" Target="https://rse-aunz.github.io/RSEAUNZAccessibility.html#after-the-unconference" TargetMode="External"/><Relationship Id="rId16" Type="http://schemas.openxmlformats.org/officeDocument/2006/relationships/hyperlink" Target="https://rse-aunz.github.io/RSEAUNZAccessibility.html#giving-the-talk" TargetMode="External"/><Relationship Id="rId5" Type="http://schemas.openxmlformats.org/officeDocument/2006/relationships/styles" Target="styles.xml"/><Relationship Id="rId6" Type="http://schemas.openxmlformats.org/officeDocument/2006/relationships/hyperlink" Target="https://rse-aunz.github.io/RSEAUNZAccessibility.html#overall-communication-strategy" TargetMode="External"/><Relationship Id="rId7" Type="http://schemas.openxmlformats.org/officeDocument/2006/relationships/hyperlink" Target="https://rse-aunz.github.io/RSEAUNZAccessibility.html#software-components-and-their-accessibility" TargetMode="External"/><Relationship Id="rId8" Type="http://schemas.openxmlformats.org/officeDocument/2006/relationships/hyperlink" Target="https://rse-aunz.github.io/RSEAUNZAccessibility.html#eventb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