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esdmng5mb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Macro Fusion Signal — Minimal-Viable Build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wmeyixs2b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0. Guiding principles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embedded engine (</w:t>
      </w:r>
      <w:r w:rsidDel="00000000" w:rsidR="00000000" w:rsidRPr="00000000">
        <w:rPr>
          <w:b w:val="1"/>
          <w:rtl w:val="0"/>
        </w:rPr>
        <w:t xml:space="preserve">DuckDB</w:t>
      </w:r>
      <w:r w:rsidDel="00000000" w:rsidR="00000000" w:rsidRPr="00000000">
        <w:rPr>
          <w:rtl w:val="0"/>
        </w:rPr>
        <w:t xml:space="preserve">) handles storage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analytics — no external metastore needed.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bauplanlabs.com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DuckDB’s </w:t>
      </w:r>
      <w:r w:rsidDel="00000000" w:rsidR="00000000" w:rsidRPr="00000000">
        <w:rPr>
          <w:b w:val="1"/>
          <w:rtl w:val="0"/>
        </w:rPr>
        <w:t xml:space="preserve">native Delta-Lake extension</w:t>
      </w:r>
      <w:r w:rsidDel="00000000" w:rsidR="00000000" w:rsidRPr="00000000">
        <w:rPr>
          <w:rtl w:val="0"/>
        </w:rPr>
        <w:t xml:space="preserve"> for ACID versioning &amp; time-travel.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duckdb.org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deliver </w:t>
      </w:r>
      <w:r w:rsidDel="00000000" w:rsidR="00000000" w:rsidRPr="00000000">
        <w:rPr>
          <w:b w:val="1"/>
          <w:rtl w:val="0"/>
        </w:rPr>
        <w:t xml:space="preserve">daily data + probabilities</w:t>
      </w:r>
      <w:r w:rsidDel="00000000" w:rsidR="00000000" w:rsidRPr="00000000">
        <w:rPr>
          <w:rtl w:val="0"/>
        </w:rPr>
        <w:t xml:space="preserve">; dashboards are optional sugar; no PDFs or model cards yet.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1y8dftw59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 up the lake (Day 1-2)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DuckDB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duckdb_extension_manager install delta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single Delta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mfs_raw</w:t>
      </w:r>
      <w:r w:rsidDel="00000000" w:rsidR="00000000" w:rsidRPr="00000000">
        <w:rPr>
          <w:rtl w:val="0"/>
        </w:rPr>
        <w:t xml:space="preserve"> with partition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d_snap</w:t>
      </w:r>
      <w:r w:rsidDel="00000000" w:rsidR="00000000" w:rsidRPr="00000000">
        <w:rPr>
          <w:rtl w:val="0"/>
        </w:rPr>
        <w:t xml:space="preserve"> (YYYY-MM-DD).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ingest run,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new parquet/CSV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@mfs_raw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 to avoid duplicates.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Great Expectations</w:t>
      </w:r>
      <w:r w:rsidDel="00000000" w:rsidR="00000000" w:rsidRPr="00000000">
        <w:rPr>
          <w:rtl w:val="0"/>
        </w:rPr>
        <w:t xml:space="preserve"> suite for nulls, ranges, schema drift (works with DuckDB driver).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pran-kohli-1990.medium.com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byhrqgrvg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Ingest public feeds (Day 1-6)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310.6586826347304"/>
        <w:gridCol w:w="663.9520958083833"/>
        <w:gridCol w:w="1763.3532934131736"/>
        <w:gridCol w:w="2228.982035928144"/>
        <w:gridCol w:w="3393.053892215569"/>
        <w:tblGridChange w:id="0">
          <w:tblGrid>
            <w:gridCol w:w="1310.6586826347304"/>
            <w:gridCol w:w="663.9520958083833"/>
            <w:gridCol w:w="1763.3532934131736"/>
            <w:gridCol w:w="2228.982035928144"/>
            <w:gridCol w:w="3393.053892215569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Pull time (ET)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 / 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File → staging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Cleveland Fed CPI/PCE nowcast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08:10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clev_nowcast_{d}.csv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Free redistributable feed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reddit.com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UST par-yield curve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18:05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Treasury 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ust_curve_{d}.csv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30-yr history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dataengineeringcentral.substack.com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NY Fed GSCPI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09:00 (if new)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HTTP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gscpi_{m}.csv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Lag ≤10 d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plotly.com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Policy- &amp; World-Uncertainty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09:15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CSV download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epu_{m}.csv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Headline + categorical 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medium.com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Baltic Dry 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07:00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TradingEconomics RSS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bdi_{d}.csv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Free RSS (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pran-kohli-1990.medium.com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duckdb.org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Commodities (WTI, Gold, CRB)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07:05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fredapi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commod_{d}.csv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WTI =DCOILWTICO etc. (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Google-Trends keywords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07:15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pytrends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gtrend_{d}.csv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GDP-nowcast keywords set (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bauplanlabs.com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Wrap each pull in Prefect/cron; after QC,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INSERT</w:t>
      </w:r>
      <w:r w:rsidDel="00000000" w:rsidR="00000000" w:rsidRPr="00000000">
        <w:rPr>
          <w:i w:val="1"/>
          <w:rtl w:val="0"/>
        </w:rPr>
        <w:t xml:space="preserve"> into Delta.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f0wg5vfut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Harmonise &amp; transform (Day 7-9)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global-trading-day calendar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pandas_market_calendars</w:t>
      </w:r>
      <w:r w:rsidDel="00000000" w:rsidR="00000000" w:rsidRPr="00000000">
        <w:rPr>
          <w:rtl w:val="0"/>
        </w:rPr>
        <w:t xml:space="preserve"> to align dates.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High-freq → daily; low-freq (GSCPI/EPU) use </w:t>
      </w:r>
      <w:r w:rsidDel="00000000" w:rsidR="00000000" w:rsidRPr="00000000">
        <w:rPr>
          <w:b w:val="1"/>
          <w:rtl w:val="0"/>
        </w:rPr>
        <w:t xml:space="preserve">state-space MIDAS interpolation</w:t>
      </w:r>
      <w:r w:rsidDel="00000000" w:rsidR="00000000" w:rsidRPr="00000000">
        <w:rPr>
          <w:rtl w:val="0"/>
        </w:rPr>
        <w:t xml:space="preserve"> (see Xu Chen notes).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faculty.washington.edu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each series to </w:t>
      </w:r>
      <w:r w:rsidDel="00000000" w:rsidR="00000000" w:rsidRPr="00000000">
        <w:rPr>
          <w:b w:val="1"/>
          <w:rtl w:val="0"/>
        </w:rPr>
        <w:t xml:space="preserve">rolling 5-yr percentile rank</w:t>
      </w:r>
      <w:r w:rsidDel="00000000" w:rsidR="00000000" w:rsidRPr="00000000">
        <w:rPr>
          <w:rtl w:val="0"/>
        </w:rPr>
        <w:t xml:space="preserve"> to stabilise regimes (robust to outliers).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youtube.com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Materialise a wide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mfs_aligned</w:t>
      </w:r>
      <w:r w:rsidDel="00000000" w:rsidR="00000000" w:rsidRPr="00000000">
        <w:rPr>
          <w:rtl w:val="0"/>
        </w:rPr>
        <w:t xml:space="preserve"> in DuckDB.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0h9pgsvei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&amp; output (Day 10-15)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Bayesian Dynamic Factor Model</w:t>
      </w:r>
      <w:r w:rsidDel="00000000" w:rsidR="00000000" w:rsidRPr="00000000">
        <w:rPr>
          <w:rtl w:val="0"/>
        </w:rPr>
        <w:t xml:space="preserve"> (three factors)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latent scores.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youtube.com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 latest factors + lagged series into </w:t>
      </w:r>
      <w:r w:rsidDel="00000000" w:rsidR="00000000" w:rsidRPr="00000000">
        <w:rPr>
          <w:b w:val="1"/>
          <w:rtl w:val="0"/>
        </w:rPr>
        <w:t xml:space="preserve">LightGBM</w:t>
      </w:r>
      <w:r w:rsidDel="00000000" w:rsidR="00000000" w:rsidRPr="00000000">
        <w:rPr>
          <w:rtl w:val="0"/>
        </w:rPr>
        <w:t xml:space="preserve"> (simpler than full GBM/SHAP stack) to predict: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p_cpi_surprise_1m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p_cpi_surprise_3m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p_cpi_surprise_12m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p_curve_steepen_30d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predictions in Delta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mfs_pred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9iey781v1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Validation (Day 16-18)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Walk-forward expanding window (2008-2025).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ROC-AUC ≥ 0.70 for CPI; ≥ 0.65 for curve.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structural-break sanity: check factor loadings pre-/post-2020.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qkexygcwd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Serve (Day 19-22)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/mfs/latest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JSON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mfs_pred ORDER BY d_snap DESC LIMIT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DuckDB connection per request</w:t>
      </w:r>
      <w:r w:rsidDel="00000000" w:rsidR="00000000" w:rsidRPr="00000000">
        <w:rPr>
          <w:rtl w:val="0"/>
        </w:rPr>
        <w:t xml:space="preserve"> to avoid concurrency stalls (see GitHub issue).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</w:t>
      </w:r>
      <w:r w:rsidDel="00000000" w:rsidR="00000000" w:rsidRPr="00000000">
        <w:rPr>
          <w:b w:val="1"/>
          <w:rtl w:val="0"/>
        </w:rPr>
        <w:t xml:space="preserve">Plotly Dash</w:t>
      </w:r>
      <w:r w:rsidDel="00000000" w:rsidR="00000000" w:rsidRPr="00000000">
        <w:rPr>
          <w:rtl w:val="0"/>
        </w:rPr>
        <w:t xml:space="preserve"> page (optional) with gauge + bar chart (Plotly widely used in finance).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plotly.com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qzbm6ax5w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Final checklist (Day 23-24)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feeds load &amp; pass expectations.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duckdb</w:t>
      </w:r>
      <w:r w:rsidDel="00000000" w:rsidR="00000000" w:rsidRPr="00000000">
        <w:rPr>
          <w:rtl w:val="0"/>
        </w:rPr>
        <w:t xml:space="preserve"> + Delta queries run in &lt; 200 ms locally.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FastAPI returns valid JSON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Back-test metrics logged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/reports/metrics.csv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ingest.py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serve.py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no extra docs for now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a lean, DuckDB-powered macro signal that asset managers can hit via REST or query directly with DuckDB’s Delta reader—delivering daily probabilities without the overhead of Iceberg, heavy dashboards, or compliance docs (yet).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4HoWSchC4D4&amp;utm_source=chatgpt.com" TargetMode="External"/><Relationship Id="rId11" Type="http://schemas.openxmlformats.org/officeDocument/2006/relationships/hyperlink" Target="https://plotly.com/solutions/finance/?utm_source=chatgpt.com" TargetMode="External"/><Relationship Id="rId22" Type="http://schemas.openxmlformats.org/officeDocument/2006/relationships/hyperlink" Target="https://plotly.com/solutions/finance/?utm_source=chatgpt.com" TargetMode="External"/><Relationship Id="rId10" Type="http://schemas.openxmlformats.org/officeDocument/2006/relationships/hyperlink" Target="https://dataengineeringcentral.substack.com/p/delta-lake-vs-apache-iceberg-the?utm_source=chatgpt.com" TargetMode="External"/><Relationship Id="rId21" Type="http://schemas.openxmlformats.org/officeDocument/2006/relationships/hyperlink" Target="https://github.com/duckdb/duckdb/discussions/13719?utm_source=chatgpt.com" TargetMode="External"/><Relationship Id="rId13" Type="http://schemas.openxmlformats.org/officeDocument/2006/relationships/hyperlink" Target="https://pran-kohli-1990.medium.com/duckdb-dbt-great-expectations-awesome-data-pipelines-8b459ccd7afc?utm_source=chatgpt.com" TargetMode="External"/><Relationship Id="rId12" Type="http://schemas.openxmlformats.org/officeDocument/2006/relationships/hyperlink" Target="https://medium.com/datamatiks/building-an-iot-platform-using-modern-data-stack-part-1-02c5460e3f6c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dit.com/r/dataengineering/comments/1im5kgl/when_is_duckdb_and_iceberg_enough/?utm_source=chatgpt.com" TargetMode="External"/><Relationship Id="rId15" Type="http://schemas.openxmlformats.org/officeDocument/2006/relationships/hyperlink" Target="https://duckdb.org/2024/06/10/delta.html?utm_source=chatgpt.com" TargetMode="External"/><Relationship Id="rId14" Type="http://schemas.openxmlformats.org/officeDocument/2006/relationships/hyperlink" Target="https://duckdb.org/2024/06/10/delta.html?utm_source=chatgpt.com" TargetMode="External"/><Relationship Id="rId17" Type="http://schemas.openxmlformats.org/officeDocument/2006/relationships/hyperlink" Target="https://www.bauplanlabs.com/blog/blending-duckdb-and-iceberg-for-optimal-olap?utm_source=chatgpt.com" TargetMode="External"/><Relationship Id="rId16" Type="http://schemas.openxmlformats.org/officeDocument/2006/relationships/hyperlink" Target="https://github.com/MCG-NJU/VFIMamba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4HoWSchC4D4&amp;utm_source=chatgpt.com" TargetMode="External"/><Relationship Id="rId6" Type="http://schemas.openxmlformats.org/officeDocument/2006/relationships/hyperlink" Target="https://www.bauplanlabs.com/blog/blending-duckdb-and-iceberg-for-optimal-olap?utm_source=chatgpt.com" TargetMode="External"/><Relationship Id="rId18" Type="http://schemas.openxmlformats.org/officeDocument/2006/relationships/hyperlink" Target="https://faculty.washington.edu/chx/teaching/python/state-space-basics/?utm_source=chatgpt.com" TargetMode="External"/><Relationship Id="rId7" Type="http://schemas.openxmlformats.org/officeDocument/2006/relationships/hyperlink" Target="https://duckdb.org/2024/06/10/delta.html?utm_source=chatgpt.com" TargetMode="External"/><Relationship Id="rId8" Type="http://schemas.openxmlformats.org/officeDocument/2006/relationships/hyperlink" Target="https://pran-kohli-1990.medium.com/duckdb-dbt-great-expectations-awesome-data-pipelines-8b459ccd7afc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