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Arial" w:cs="Arial" w:eastAsia="Arial" w:hAnsi="Arial"/>
          <w:b/>
          <w:bCs/>
          <w:color w:val="1B3F72"/>
          <w:sz w:val="58"/>
          <w:szCs w:val="58"/>
        </w:rPr>
        <w:t xml:space="preserve">Richard Priest</w:t>
      </w:r>
    </w:p>
    <w:p>
      <w:pPr>
        <w:spacing w:after="50" w:before="0"/>
        <w:jc w:val="center"/>
      </w:pPr>
      <w:r>
        <w:rPr>
          <w:rFonts w:ascii="Arial" w:cs="Arial" w:eastAsia="Arial" w:hAnsi="Arial"/>
          <w:color w:val="555555"/>
          <w:sz w:val="22"/>
          <w:szCs w:val="22"/>
        </w:rPr>
        <w:t xml:space="preserve">Chief Technology Officer  |  Digital Transformation  |  AI &amp; Cloud Strategy  |  Multi-Sector</w:t>
      </w:r>
    </w:p>
    <w:p>
      <w:pPr>
        <w:spacing w:after="50" w:before="0"/>
        <w:jc w:val="center"/>
      </w:pPr>
      <w:r>
        <w:rPr>
          <w:rFonts w:ascii="Arial" w:cs="Arial" w:eastAsia="Arial" w:hAnsi="Arial"/>
          <w:i/>
          <w:iCs/>
          <w:color w:val="888888"/>
          <w:sz w:val="19"/>
          <w:szCs w:val="19"/>
        </w:rPr>
        <w:t xml:space="preserve">North of England  |  Open to UK-wide &amp; Remote</w:t>
      </w:r>
    </w:p>
    <w:p>
      <w:pPr>
        <w:spacing w:after="70" w:before="0"/>
        <w:jc w:val="center"/>
      </w:pPr>
      <w:r>
        <w:rPr>
          <w:rFonts w:ascii="Arial" w:cs="Arial" w:eastAsia="Arial" w:hAnsi="Arial"/>
          <w:color w:val="555555"/>
          <w:sz w:val="19"/>
          <w:szCs w:val="19"/>
        </w:rPr>
        <w:t xml:space="preserve">RichardPriest19@gmail.com</w:t>
      </w:r>
      <w:r>
        <w:rPr>
          <w:rFonts w:ascii="Arial" w:cs="Arial" w:eastAsia="Arial" w:hAnsi="Arial"/>
          <w:color w:val="888888"/>
          <w:sz w:val="19"/>
          <w:szCs w:val="19"/>
        </w:rPr>
        <w:t xml:space="preserve">   |   07871 781 180   |   </w:t>
      </w:r>
      <w:r>
        <w:rPr>
          <w:rFonts w:ascii="Arial" w:cs="Arial" w:eastAsia="Arial" w:hAnsi="Arial"/>
          <w:color w:val="1B5299"/>
          <w:sz w:val="19"/>
          <w:szCs w:val="19"/>
        </w:rPr>
        <w:t xml:space="preserve">linkedin.com/in/richardpriest  (profile active)</w:t>
      </w:r>
    </w:p>
    <w:p>
      <w:pPr>
        <w:pBdr>
          <w:bottom w:val="single" w:color="1B3F72" w:sz="18" w:space="1"/>
        </w:pBdr>
        <w:spacing w:after="220" w:before="60"/>
      </w:pPr>
      <w:r>
        <w:t xml:space="preserve"/>
      </w:r>
    </w:p>
    <w:p>
      <w:pPr>
        <w:pBdr>
          <w:bottom w:val="single" w:color="1B3F72" w:sz="10" w:space="2"/>
        </w:pBdr>
        <w:spacing w:after="80" w:before="260"/>
      </w:pPr>
      <w:r>
        <w:rPr>
          <w:rFonts w:ascii="Arial" w:cs="Arial" w:eastAsia="Arial" w:hAnsi="Arial"/>
          <w:b/>
          <w:bCs/>
          <w:color w:val="1B3F72"/>
          <w:sz w:val="22"/>
          <w:szCs w:val="22"/>
        </w:rPr>
        <w:t xml:space="preserve">Executive Profile</w:t>
      </w:r>
    </w:p>
    <w:p>
      <w:pPr>
        <w:spacing w:after="60" w:before="80"/>
      </w:pPr>
      <w:r>
        <w:rPr>
          <w:rFonts w:ascii="Arial" w:cs="Arial" w:eastAsia="Arial" w:hAnsi="Arial"/>
          <w:i/>
          <w:iCs/>
          <w:color w:val="111111"/>
          <w:sz w:val="20"/>
          <w:szCs w:val="20"/>
        </w:rPr>
        <w:t xml:space="preserve">Technology strategies fail not through lack of ideas, but through failure to prioritise — too many initiatives diluting focus and budget until nothing moves fast enough to matter. My career has been built on reversing that pattern: defining the technology vision that actually matters, applying 80/20 discipline to every portfolio decision, and building the executive alignment that makes sustained delivery possible.</w:t>
      </w:r>
    </w:p>
    <w:p>
      <w:pPr>
        <w:spacing w:after="180" w:before="60"/>
      </w:pPr>
      <w:r>
        <w:rPr>
          <w:rFonts w:ascii="Arial" w:cs="Arial" w:eastAsia="Arial" w:hAnsi="Arial"/>
          <w:color w:val="111111"/>
          <w:sz w:val="20"/>
          <w:szCs w:val="20"/>
        </w:rPr>
        <w:t xml:space="preserve">I am a commercially focused Chief Technology Officer with over 20 years of senior technology leadership spanning manufacturing, professional services, renewable energy, financial services, retail, defence, and cleantech. I bring a consistent record of defining enterprise-wide technology vision, shaping multi-year roadmaps, and building high-performing technology organisations that deliver measurable business value. I have led major cloud transformations (Microsoft Azure / M365), driven M&amp;A IT integration across hundreds of acquisitions, and aligned technology investment to board-level strategy across private equity, listed, and public-sector environments. I am increasingly focused on translating AI and automation into practical, governed business outcomes — and I bring the technical depth to challenge vendors and architects alongside the commercial acumen to own the investment case at executive and board level.</w:t>
      </w:r>
    </w:p>
    <w:p>
      <w:pPr>
        <w:pBdr>
          <w:bottom w:val="single" w:color="1B3F72" w:sz="10" w:space="2"/>
        </w:pBdr>
        <w:spacing w:after="80" w:before="260"/>
      </w:pPr>
      <w:r>
        <w:rPr>
          <w:rFonts w:ascii="Arial" w:cs="Arial" w:eastAsia="Arial" w:hAnsi="Arial"/>
          <w:b/>
          <w:bCs/>
          <w:color w:val="1B3F72"/>
          <w:sz w:val="22"/>
          <w:szCs w:val="22"/>
        </w:rPr>
        <w:t xml:space="preserve">Key Career Achievements</w:t>
      </w:r>
    </w:p>
    <w:p>
      <w:pPr>
        <w:spacing w:after="20" w:before="60"/>
      </w:pPr>
    </w:p>
    <w:p>
      <w:pPr>
        <w:pStyle w:val="ListParagraph"/>
        <w:numPr>
          <w:ilvl w:val="0"/>
          <w:numId w:val="2"/>
        </w:numPr>
        <w:spacing w:after="70"/>
      </w:pPr>
      <w:r>
        <w:rPr>
          <w:rFonts w:ascii="Arial" w:cs="Arial" w:eastAsia="Arial" w:hAnsi="Arial"/>
          <w:color w:val="111111"/>
          <w:sz w:val="19"/>
          <w:szCs w:val="19"/>
        </w:rPr>
        <w:t xml:space="preserve">Defined and delivered technology strategies across 10+ organisations — from £160M PE-backed consumer brands and £23M-funded cleantech scale-ups to EDF Group energy subsidiaries and FCA-regulated professional services firms.</w:t>
      </w:r>
    </w:p>
    <w:p>
      <w:pPr>
        <w:pStyle w:val="ListParagraph"/>
        <w:numPr>
          <w:ilvl w:val="0"/>
          <w:numId w:val="2"/>
        </w:numPr>
        <w:spacing w:after="70"/>
      </w:pPr>
      <w:r>
        <w:rPr>
          <w:rFonts w:ascii="Arial" w:cs="Arial" w:eastAsia="Arial" w:hAnsi="Arial"/>
          <w:color w:val="111111"/>
          <w:sz w:val="19"/>
          <w:szCs w:val="19"/>
        </w:rPr>
        <w:t xml:space="preserve">Led post-merger IT integration for 80+ acquisitions annually (VetPartners) and multiple EMEA/Asia acquisitions (HID Global / ASSA ABLOY) — consistently delivering zero-disruption onboarding at pace.</w:t>
      </w:r>
    </w:p>
    <w:p>
      <w:pPr>
        <w:pStyle w:val="ListParagraph"/>
        <w:numPr>
          <w:ilvl w:val="0"/>
          <w:numId w:val="2"/>
        </w:numPr>
        <w:spacing w:after="70"/>
      </w:pPr>
      <w:r>
        <w:rPr>
          <w:rFonts w:ascii="Arial" w:cs="Arial" w:eastAsia="Arial" w:hAnsi="Arial"/>
          <w:color w:val="111111"/>
          <w:sz w:val="19"/>
          <w:szCs w:val="19"/>
        </w:rPr>
        <w:t xml:space="preserve">Managed IT budgets up to £4.5M and teams of up to 22 across UK, EMEA, and Asia Pacific; delivered 12% IT spend reduction at Armstrong Watson LLP and improved system uptime from 98.5% to 99.8% at Great Places Housing.</w:t>
      </w:r>
    </w:p>
    <w:p>
      <w:pPr>
        <w:pStyle w:val="ListParagraph"/>
        <w:numPr>
          <w:ilvl w:val="0"/>
          <w:numId w:val="2"/>
        </w:numPr>
        <w:spacing w:after="70"/>
      </w:pPr>
      <w:r>
        <w:rPr>
          <w:rFonts w:ascii="Arial" w:cs="Arial" w:eastAsia="Arial" w:hAnsi="Arial"/>
          <w:color w:val="111111"/>
          <w:sz w:val="19"/>
          <w:szCs w:val="19"/>
        </w:rPr>
        <w:t xml:space="preserve">Achieved ISO 27001, Cyber Essentials Plus, NIS OES compliance, and NCSC CAF alignment concurrently — satisfying institutional investor, regulatory, and government partner scrutiny at the highest level.</w:t>
      </w:r>
    </w:p>
    <w:p>
      <w:pPr>
        <w:pBdr>
          <w:bottom w:val="single" w:color="1B3F72" w:sz="10" w:space="2"/>
        </w:pBdr>
        <w:spacing w:after="80" w:before="260"/>
      </w:pPr>
      <w:r>
        <w:rPr>
          <w:rFonts w:ascii="Arial" w:cs="Arial" w:eastAsia="Arial" w:hAnsi="Arial"/>
          <w:b/>
          <w:bCs/>
          <w:color w:val="1B3F72"/>
          <w:sz w:val="22"/>
          <w:szCs w:val="22"/>
        </w:rPr>
        <w:t xml:space="preserve">Core Competencies</w:t>
      </w:r>
    </w:p>
    <w:p>
      <w:pPr>
        <w:spacing w:after="20" w:before="60"/>
      </w:pPr>
    </w:p>
    <w:p>
      <w:pPr>
        <w:spacing w:after="40" w:before="40"/>
      </w:pPr>
      <w:r>
        <w:rPr>
          <w:rFonts w:ascii="Arial" w:cs="Arial" w:eastAsia="Arial" w:hAnsi="Arial"/>
          <w:color w:val="222222"/>
          <w:sz w:val="19"/>
          <w:szCs w:val="19"/>
        </w:rPr>
        <w:t xml:space="preserve">Technology Vision &amp; Roadmap   |   Digital Transformation Leadership   |   AI &amp; Emerging Technology</w:t>
      </w:r>
    </w:p>
    <w:p>
      <w:pPr>
        <w:spacing w:after="40" w:before="40"/>
      </w:pPr>
      <w:r>
        <w:rPr>
          <w:rFonts w:ascii="Arial" w:cs="Arial" w:eastAsia="Arial" w:hAnsi="Arial"/>
          <w:color w:val="222222"/>
          <w:sz w:val="19"/>
          <w:szCs w:val="19"/>
        </w:rPr>
        <w:t xml:space="preserve">Enterprise Architecture   |   Cloud Strategy (Azure / M365)   |   M&amp;A IT Integration</w:t>
      </w:r>
    </w:p>
    <w:p>
      <w:pPr>
        <w:spacing w:after="40" w:before="40"/>
      </w:pPr>
      <w:r>
        <w:rPr>
          <w:rFonts w:ascii="Arial" w:cs="Arial" w:eastAsia="Arial" w:hAnsi="Arial"/>
          <w:color w:val="222222"/>
          <w:sz w:val="19"/>
          <w:szCs w:val="19"/>
        </w:rPr>
        <w:t xml:space="preserve">Board &amp; Executive Engagement   |   Team Leadership &amp; Talent Building   |   IT/OT Convergence &amp; SCADA</w:t>
      </w:r>
    </w:p>
    <w:p>
      <w:pPr>
        <w:spacing w:after="40" w:before="40"/>
      </w:pPr>
      <w:r>
        <w:rPr>
          <w:rFonts w:ascii="Arial" w:cs="Arial" w:eastAsia="Arial" w:hAnsi="Arial"/>
          <w:color w:val="222222"/>
          <w:sz w:val="19"/>
          <w:szCs w:val="19"/>
        </w:rPr>
        <w:t xml:space="preserve">Cybersecurity Governance   |   Budget &amp; CapEx Management   |   Vendor Strategy &amp; Contracts</w:t>
      </w:r>
    </w:p>
    <w:p>
      <w:pPr>
        <w:spacing w:after="40" w:before="40"/>
      </w:pPr>
      <w:r>
        <w:rPr>
          <w:rFonts w:ascii="Arial" w:cs="Arial" w:eastAsia="Arial" w:hAnsi="Arial"/>
          <w:color w:val="222222"/>
          <w:sz w:val="19"/>
          <w:szCs w:val="19"/>
        </w:rPr>
        <w:t xml:space="preserve">ERP / CRM / CPQ / PLM Strategy   |   Business Intelligence &amp; Analytics   |   80/20 Portfolio Prioritisation</w:t>
      </w:r>
    </w:p>
    <w:p>
      <w:pPr>
        <w:spacing w:after="40" w:before="40"/>
      </w:pPr>
      <w:r>
        <w:rPr>
          <w:rFonts w:ascii="Arial" w:cs="Arial" w:eastAsia="Arial" w:hAnsi="Arial"/>
          <w:color w:val="222222"/>
          <w:sz w:val="19"/>
          <w:szCs w:val="19"/>
        </w:rPr>
        <w:t xml:space="preserve">Scrum / Agile Methodology   |   CI/CD Pipeline Management   |   MSP Relationship Management (25+ years)</w:t>
      </w:r>
    </w:p>
    <w:p>
      <w:pPr>
        <w:pBdr>
          <w:bottom w:val="single" w:color="1B3F72" w:sz="10" w:space="2"/>
        </w:pBdr>
        <w:spacing w:after="80" w:before="260"/>
      </w:pPr>
      <w:r>
        <w:rPr>
          <w:rFonts w:ascii="Arial" w:cs="Arial" w:eastAsia="Arial" w:hAnsi="Arial"/>
          <w:b/>
          <w:bCs/>
          <w:color w:val="1B3F72"/>
          <w:sz w:val="22"/>
          <w:szCs w:val="22"/>
        </w:rPr>
        <w:t xml:space="preserve">Career History</w:t>
      </w:r>
    </w:p>
    <w:p>
      <w:pPr>
        <w:keepNext/>
        <w:spacing w:after="80" w:before="200"/>
      </w:pPr>
      <w:r>
        <w:rPr>
          <w:rFonts w:ascii="Arial" w:cs="Arial" w:eastAsia="Arial" w:hAnsi="Arial"/>
          <w:b/>
          <w:bCs/>
          <w:color w:val="111111"/>
          <w:sz w:val="21"/>
          <w:szCs w:val="21"/>
        </w:rPr>
        <w:t xml:space="preserve">Independent Technology Consultant</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Self-Employed</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May 2025 – Present</w:t>
      </w:r>
    </w:p>
    <w:p>
      <w:pPr>
        <w:pStyle w:val="ListParagraph"/>
        <w:numPr>
          <w:ilvl w:val="0"/>
          <w:numId w:val="3"/>
        </w:numPr>
        <w:spacing w:after="70"/>
      </w:pPr>
      <w:r>
        <w:rPr>
          <w:rFonts w:ascii="Arial" w:cs="Arial" w:eastAsia="Arial" w:hAnsi="Arial"/>
          <w:sz w:val="19"/>
          <w:szCs w:val="19"/>
        </w:rPr>
        <w:t xml:space="preserve">Providing technology strategy advisory and interim IT leadership to organisations in the North of England — covering IT roadmap development, cybersecurity governance, cloud readiness, and AI adoption planning.</w:t>
      </w:r>
    </w:p>
    <w:p>
      <w:pPr>
        <w:pStyle w:val="ListParagraph"/>
        <w:numPr>
          <w:ilvl w:val="0"/>
          <w:numId w:val="3"/>
        </w:numPr>
        <w:spacing w:after="70"/>
      </w:pPr>
      <w:r>
        <w:rPr>
          <w:rFonts w:ascii="Arial" w:cs="Arial" w:eastAsia="Arial" w:hAnsi="Arial"/>
          <w:sz w:val="19"/>
          <w:szCs w:val="19"/>
        </w:rPr>
        <w:t xml:space="preserve">Maintaining active professional development across enterprise GenAI tooling, cloud platform evolution, and cybersecurity frameworks in advance of a return to a permanent senior leadership role; available for immediate start.</w:t>
      </w:r>
    </w:p>
    <w:p>
      <w:pPr>
        <w:keepNext/>
        <w:spacing w:after="80" w:before="200"/>
      </w:pPr>
      <w:r>
        <w:rPr>
          <w:rFonts w:ascii="Arial" w:cs="Arial" w:eastAsia="Arial" w:hAnsi="Arial"/>
          <w:b/>
          <w:bCs/>
          <w:color w:val="111111"/>
          <w:sz w:val="21"/>
          <w:szCs w:val="21"/>
        </w:rPr>
        <w:t xml:space="preserve">Head of Technology</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Armstrong Watson LLP</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Oct 2024 – May 2025</w:t>
      </w:r>
    </w:p>
    <w:p>
      <w:pPr>
        <w:keepNext/>
        <w:spacing w:after="80" w:before="30"/>
      </w:pPr>
      <w:r>
        <w:rPr>
          <w:rFonts w:ascii="Arial" w:cs="Arial" w:eastAsia="Arial" w:hAnsi="Arial"/>
          <w:i/>
          <w:iCs/>
          <w:color w:val="444444"/>
          <w:sz w:val="19"/>
          <w:szCs w:val="19"/>
        </w:rPr>
        <w:t xml:space="preserve">Executive technology leadership for one of the largest independent accountancy firms in the North of England and Scotland — 800+ colleagues, 19 offices — during an active acquisition and growth phase.</w:t>
      </w:r>
    </w:p>
    <w:p>
      <w:pPr>
        <w:pStyle w:val="ListParagraph"/>
        <w:numPr>
          <w:ilvl w:val="0"/>
          <w:numId w:val="3"/>
        </w:numPr>
        <w:spacing w:after="70"/>
      </w:pPr>
      <w:r>
        <w:rPr>
          <w:rFonts w:ascii="Arial" w:cs="Arial" w:eastAsia="Arial" w:hAnsi="Arial"/>
          <w:sz w:val="19"/>
          <w:szCs w:val="19"/>
        </w:rPr>
        <w:t xml:space="preserve">Delivered a 12% reduction in IT spend over 7 months through contract renegotiation, platform consolidation, and structured SLA governance across MSPs and SaaS vendors.</w:t>
      </w:r>
    </w:p>
    <w:p>
      <w:pPr>
        <w:pStyle w:val="ListParagraph"/>
        <w:numPr>
          <w:ilvl w:val="0"/>
          <w:numId w:val="3"/>
        </w:numPr>
        <w:spacing w:after="70"/>
      </w:pPr>
      <w:r>
        <w:rPr>
          <w:rFonts w:ascii="Arial" w:cs="Arial" w:eastAsia="Arial" w:hAnsi="Arial"/>
          <w:sz w:val="19"/>
          <w:szCs w:val="19"/>
        </w:rPr>
        <w:t xml:space="preserve">Drove an AI-powered processing automation programme — reducing document and data processing workflows from weeks to seconds, delivering a step-change productivity improvement across the firm's accountancy and compliance operations.</w:t>
      </w:r>
    </w:p>
    <w:p>
      <w:pPr>
        <w:pStyle w:val="ListParagraph"/>
        <w:numPr>
          <w:ilvl w:val="0"/>
          <w:numId w:val="3"/>
        </w:numPr>
        <w:spacing w:after="70"/>
      </w:pPr>
      <w:r>
        <w:rPr>
          <w:rFonts w:ascii="Arial" w:cs="Arial" w:eastAsia="Arial" w:hAnsi="Arial"/>
          <w:sz w:val="19"/>
          <w:szCs w:val="19"/>
        </w:rPr>
        <w:t xml:space="preserve">Closed 70% of identified cybersecurity policy gaps and maintained Cyber Essentials Plus certification; identified and addressed technology shortfalls in the firm's anti-money laundering (AML) controls, ensuring alignment to ICAEW AML requirements, NCSC guidelines, GDPR, and FCA regulatory obligations.</w:t>
      </w:r>
    </w:p>
    <w:p>
      <w:pPr>
        <w:pStyle w:val="ListParagraph"/>
        <w:numPr>
          <w:ilvl w:val="0"/>
          <w:numId w:val="3"/>
        </w:numPr>
        <w:spacing w:after="70"/>
      </w:pPr>
      <w:r>
        <w:rPr>
          <w:rFonts w:ascii="Arial" w:cs="Arial" w:eastAsia="Arial" w:hAnsi="Arial"/>
          <w:sz w:val="19"/>
          <w:szCs w:val="19"/>
        </w:rPr>
        <w:t xml:space="preserve">Defined and owned the multi-year technology strategy and roadmap, leading a centralised IT team across infrastructure, cybersecurity, and digital transformation for 800+ colleagues and 19 offices.</w:t>
      </w:r>
    </w:p>
    <w:p>
      <w:pPr>
        <w:pStyle w:val="ListParagraph"/>
        <w:numPr>
          <w:ilvl w:val="0"/>
          <w:numId w:val="3"/>
        </w:numPr>
        <w:spacing w:after="70"/>
      </w:pPr>
      <w:r>
        <w:rPr>
          <w:rFonts w:ascii="Arial" w:cs="Arial" w:eastAsia="Arial" w:hAnsi="Arial"/>
          <w:sz w:val="19"/>
          <w:szCs w:val="19"/>
        </w:rPr>
        <w:t xml:space="preserve">Drove the technology vision for M&amp;A integration, ensuring each acquired practice was onboarded into the central technology estate with zero disruption to client-facing operations.</w:t>
      </w:r>
    </w:p>
    <w:p>
      <w:pPr>
        <w:pStyle w:val="ListParagraph"/>
        <w:numPr>
          <w:ilvl w:val="0"/>
          <w:numId w:val="3"/>
        </w:numPr>
        <w:spacing w:after="70"/>
      </w:pPr>
      <w:r>
        <w:rPr>
          <w:rFonts w:ascii="Arial" w:cs="Arial" w:eastAsia="Arial" w:hAnsi="Arial"/>
          <w:sz w:val="19"/>
          <w:szCs w:val="19"/>
        </w:rPr>
        <w:t xml:space="preserve">Led cloud-first adoption across Microsoft 365 and cloud accounting platforms (Xero), establishing the digital workplace foundation for future growth.</w:t>
      </w:r>
    </w:p>
    <w:p>
      <w:pPr>
        <w:keepNext/>
        <w:spacing w:after="80" w:before="200"/>
      </w:pPr>
      <w:r>
        <w:rPr>
          <w:rFonts w:ascii="Arial" w:cs="Arial" w:eastAsia="Arial" w:hAnsi="Arial"/>
          <w:b/>
          <w:bCs/>
          <w:color w:val="111111"/>
          <w:sz w:val="21"/>
          <w:szCs w:val="21"/>
        </w:rPr>
        <w:t xml:space="preserve">IT Director</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Nova Pangaea Technologies (UK) Ltd</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Sep 2023 – Sep 2024</w:t>
      </w:r>
    </w:p>
    <w:p>
      <w:pPr>
        <w:keepNext/>
        <w:spacing w:after="80" w:before="30"/>
      </w:pPr>
      <w:r>
        <w:rPr>
          <w:rFonts w:ascii="Arial" w:cs="Arial" w:eastAsia="Arial" w:hAnsi="Arial"/>
          <w:i/>
          <w:iCs/>
          <w:color w:val="444444"/>
          <w:sz w:val="19"/>
          <w:szCs w:val="19"/>
        </w:rPr>
        <w:t xml:space="preserve">CTO-equivalent role for a high-growth cleantech scale-up developing REFNOVA® sustainable aviation fuel technology — partnered with British Airways and LanzaJet on the UK's flagship SAF initiative, Project Speedbird — sole IT leader at the point of joining, building the team and function from the ground up as the business secured a £23M funding round.</w:t>
      </w:r>
    </w:p>
    <w:p>
      <w:pPr>
        <w:pStyle w:val="ListParagraph"/>
        <w:numPr>
          <w:ilvl w:val="0"/>
          <w:numId w:val="3"/>
        </w:numPr>
        <w:spacing w:after="70"/>
      </w:pPr>
      <w:r>
        <w:rPr>
          <w:rFonts w:ascii="Arial" w:cs="Arial" w:eastAsia="Arial" w:hAnsi="Arial"/>
          <w:sz w:val="19"/>
          <w:szCs w:val="19"/>
        </w:rPr>
        <w:t xml:space="preserve">Built the IT function from a sole initial leader to a team of 8 external technology professionals — establishing team structure, governance, and vendor framework aligned to the NOVAONE commercial plant programme.</w:t>
      </w:r>
    </w:p>
    <w:p>
      <w:pPr>
        <w:pStyle w:val="ListParagraph"/>
        <w:numPr>
          <w:ilvl w:val="0"/>
          <w:numId w:val="3"/>
        </w:numPr>
        <w:spacing w:after="70"/>
      </w:pPr>
      <w:r>
        <w:rPr>
          <w:rFonts w:ascii="Arial" w:cs="Arial" w:eastAsia="Arial" w:hAnsi="Arial"/>
          <w:sz w:val="19"/>
          <w:szCs w:val="19"/>
        </w:rPr>
        <w:t xml:space="preserve">Defined and executed the technology strategy and infrastructure roadmap to take the business from demonstration stage to commercial operation; built the IT function from scratch as sole initial IT leader, scaling team and capability alongside rapid headcount growth.</w:t>
      </w:r>
    </w:p>
    <w:p>
      <w:pPr>
        <w:pStyle w:val="ListParagraph"/>
        <w:numPr>
          <w:ilvl w:val="0"/>
          <w:numId w:val="3"/>
        </w:numPr>
        <w:spacing w:after="70"/>
      </w:pPr>
      <w:r>
        <w:rPr>
          <w:rFonts w:ascii="Arial" w:cs="Arial" w:eastAsia="Arial" w:hAnsi="Arial"/>
          <w:sz w:val="19"/>
          <w:szCs w:val="19"/>
        </w:rPr>
        <w:t xml:space="preserve">Partnered with the CHRO, CCO, and CFO at executive level to shape enterprise application strategy across ERP, CPQ, LIMS, and OT systems, directly enabling British Airways and LanzaJet to progress joint operations under Project Speedbird.</w:t>
      </w:r>
    </w:p>
    <w:p>
      <w:pPr>
        <w:pStyle w:val="ListParagraph"/>
        <w:numPr>
          <w:ilvl w:val="0"/>
          <w:numId w:val="3"/>
        </w:numPr>
        <w:spacing w:after="70"/>
      </w:pPr>
      <w:r>
        <w:rPr>
          <w:rFonts w:ascii="Arial" w:cs="Arial" w:eastAsia="Arial" w:hAnsi="Arial"/>
          <w:sz w:val="19"/>
          <w:szCs w:val="19"/>
        </w:rPr>
        <w:t xml:space="preserve">Led cybersecurity strategy and compliance (ISO 27001, Cyber Essentials Plus, UK GDPR) to satisfy institutional investors, DfT grant bodies, and strategic partners including British Airways and IAG.</w:t>
      </w:r>
    </w:p>
    <w:p>
      <w:pPr>
        <w:pStyle w:val="ListParagraph"/>
        <w:numPr>
          <w:ilvl w:val="0"/>
          <w:numId w:val="3"/>
        </w:numPr>
        <w:spacing w:after="70"/>
      </w:pPr>
      <w:r>
        <w:rPr>
          <w:rFonts w:ascii="Arial" w:cs="Arial" w:eastAsia="Arial" w:hAnsi="Arial"/>
          <w:sz w:val="19"/>
          <w:szCs w:val="19"/>
        </w:rPr>
        <w:t xml:space="preserve">Consolidated Microsoft 365 and Google Cloud platforms into a unified, secure digital workplace; led IT provisioning for rapid headcount expansion across operations, HR, finance, and commercial functions.</w:t>
      </w:r>
    </w:p>
    <w:p>
      <w:pPr>
        <w:keepNext/>
        <w:spacing w:after="80" w:before="200"/>
      </w:pPr>
      <w:r>
        <w:rPr>
          <w:rFonts w:ascii="Arial" w:cs="Arial" w:eastAsia="Arial" w:hAnsi="Arial"/>
          <w:b/>
          <w:bCs/>
          <w:color w:val="111111"/>
          <w:sz w:val="21"/>
          <w:szCs w:val="21"/>
        </w:rPr>
        <w:t xml:space="preserve">IT Director</w:t>
      </w:r>
      <w:r>
        <w:rPr>
          <w:rFonts w:ascii="Arial" w:cs="Arial" w:eastAsia="Arial" w:hAnsi="Arial"/>
          <w:color w:val="888888"/>
          <w:sz w:val="21"/>
          <w:szCs w:val="21"/>
        </w:rPr>
        <w:t xml:space="preserve"> [Interim]</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EDF Renewables UK &amp; Ireland</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Mar 2023 – Aug 2023</w:t>
      </w:r>
    </w:p>
    <w:p>
      <w:pPr>
        <w:keepNext/>
        <w:spacing w:after="80" w:before="30"/>
      </w:pPr>
      <w:r>
        <w:rPr>
          <w:rFonts w:ascii="Arial" w:cs="Arial" w:eastAsia="Arial" w:hAnsi="Arial"/>
          <w:i/>
          <w:iCs/>
          <w:color w:val="444444"/>
          <w:sz w:val="19"/>
          <w:szCs w:val="19"/>
        </w:rPr>
        <w:t xml:space="preserve">Technology leadership for an EDF Group subsidiary operating onshore wind, offshore wind, solar, and BESS assets — driving toward a 10GW operational target by 2035 — based across the UK and Paris, France.</w:t>
      </w:r>
    </w:p>
    <w:p>
      <w:pPr>
        <w:pStyle w:val="ListParagraph"/>
        <w:numPr>
          <w:ilvl w:val="0"/>
          <w:numId w:val="3"/>
        </w:numPr>
        <w:spacing w:after="70"/>
      </w:pPr>
      <w:r>
        <w:rPr>
          <w:rFonts w:ascii="Arial" w:cs="Arial" w:eastAsia="Arial" w:hAnsi="Arial"/>
          <w:sz w:val="19"/>
          <w:szCs w:val="19"/>
        </w:rPr>
        <w:t xml:space="preserve">Led a 12-person IT team with indirect management accountability for the EDF technology team in Paris — operating across the UK and France.</w:t>
      </w:r>
    </w:p>
    <w:p>
      <w:pPr>
        <w:pStyle w:val="ListParagraph"/>
        <w:numPr>
          <w:ilvl w:val="0"/>
          <w:numId w:val="3"/>
        </w:numPr>
        <w:spacing w:after="70"/>
      </w:pPr>
      <w:r>
        <w:rPr>
          <w:rFonts w:ascii="Arial" w:cs="Arial" w:eastAsia="Arial" w:hAnsi="Arial"/>
          <w:sz w:val="19"/>
          <w:szCs w:val="19"/>
        </w:rPr>
        <w:t xml:space="preserve">Partnered with Ernst &amp; Young (EY) to independently validate the technology roadmap and regulatory compliance frameworks — providing institutional-grade assurance for board and investor reporting.</w:t>
      </w:r>
    </w:p>
    <w:p>
      <w:pPr>
        <w:pStyle w:val="ListParagraph"/>
        <w:numPr>
          <w:ilvl w:val="0"/>
          <w:numId w:val="3"/>
        </w:numPr>
        <w:spacing w:after="70"/>
      </w:pPr>
      <w:r>
        <w:rPr>
          <w:rFonts w:ascii="Arial" w:cs="Arial" w:eastAsia="Arial" w:hAnsi="Arial"/>
          <w:sz w:val="19"/>
          <w:szCs w:val="19"/>
        </w:rPr>
        <w:t xml:space="preserve">Maintained Cyber Essentials Plus certification across the organisation and ensured ongoing compliance with NIS Regulations as an Operator of Essential Services.</w:t>
      </w:r>
    </w:p>
    <w:p>
      <w:pPr>
        <w:pStyle w:val="ListParagraph"/>
        <w:numPr>
          <w:ilvl w:val="0"/>
          <w:numId w:val="3"/>
        </w:numPr>
        <w:spacing w:after="70"/>
      </w:pPr>
      <w:r>
        <w:rPr>
          <w:rFonts w:ascii="Arial" w:cs="Arial" w:eastAsia="Arial" w:hAnsi="Arial"/>
          <w:sz w:val="19"/>
          <w:szCs w:val="19"/>
        </w:rPr>
        <w:t xml:space="preserve">Reported to the Executive Leadership Team with full accountability for IT strategy across wind, solar, and battery energy storage — aligning technology roadmap to a 10GW growth ambition.</w:t>
      </w:r>
    </w:p>
    <w:p>
      <w:pPr>
        <w:pStyle w:val="ListParagraph"/>
        <w:numPr>
          <w:ilvl w:val="0"/>
          <w:numId w:val="3"/>
        </w:numPr>
        <w:spacing w:after="70"/>
      </w:pPr>
      <w:r>
        <w:rPr>
          <w:rFonts w:ascii="Arial" w:cs="Arial" w:eastAsia="Arial" w:hAnsi="Arial"/>
          <w:sz w:val="19"/>
          <w:szCs w:val="19"/>
        </w:rPr>
        <w:t xml:space="preserve">Led cloud migration to Microsoft Azure / M365 and directed IT/OT convergence with accountability for SCADA integration across wind farm and BESS sites.</w:t>
      </w:r>
    </w:p>
    <w:p>
      <w:pPr>
        <w:keepNext/>
        <w:spacing w:after="80" w:before="200"/>
      </w:pPr>
      <w:r>
        <w:rPr>
          <w:rFonts w:ascii="Arial" w:cs="Arial" w:eastAsia="Arial" w:hAnsi="Arial"/>
          <w:b/>
          <w:bCs/>
          <w:color w:val="111111"/>
          <w:sz w:val="21"/>
          <w:szCs w:val="21"/>
        </w:rPr>
        <w:t xml:space="preserve">IT Director</w:t>
      </w:r>
      <w:r>
        <w:rPr>
          <w:rFonts w:ascii="Arial" w:cs="Arial" w:eastAsia="Arial" w:hAnsi="Arial"/>
          <w:color w:val="888888"/>
          <w:sz w:val="21"/>
          <w:szCs w:val="21"/>
        </w:rPr>
        <w:t xml:space="preserve"> [Interim]</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VetPartners Group Limited</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Mar 2022 – Sep 2022</w:t>
      </w:r>
    </w:p>
    <w:p>
      <w:pPr>
        <w:keepNext/>
        <w:spacing w:after="80" w:before="30"/>
      </w:pPr>
      <w:r>
        <w:rPr>
          <w:rFonts w:ascii="Arial" w:cs="Arial" w:eastAsia="Arial" w:hAnsi="Arial"/>
          <w:i/>
          <w:iCs/>
          <w:color w:val="444444"/>
          <w:sz w:val="19"/>
          <w:szCs w:val="19"/>
        </w:rPr>
        <w:t xml:space="preserve">IT Director at the UK's fastest-growing veterinary healthcare group consolidator — executive accountability for IT strategy and digital transformation across 350+ clinical sites nationally.</w:t>
      </w:r>
    </w:p>
    <w:p>
      <w:pPr>
        <w:pStyle w:val="ListParagraph"/>
        <w:numPr>
          <w:ilvl w:val="0"/>
          <w:numId w:val="3"/>
        </w:numPr>
        <w:spacing w:after="70"/>
      </w:pPr>
      <w:r>
        <w:rPr>
          <w:rFonts w:ascii="Arial" w:cs="Arial" w:eastAsia="Arial" w:hAnsi="Arial"/>
          <w:sz w:val="19"/>
          <w:szCs w:val="19"/>
        </w:rPr>
        <w:t xml:space="preserve">Led a 32-person IT team across infrastructure, service desk, and clinical applications; authored over 30 technology policies governing cybersecurity, clinical data management, and IT operations across the 350+ site estate.</w:t>
      </w:r>
    </w:p>
    <w:p>
      <w:pPr>
        <w:pStyle w:val="ListParagraph"/>
        <w:numPr>
          <w:ilvl w:val="0"/>
          <w:numId w:val="3"/>
        </w:numPr>
        <w:spacing w:after="70"/>
      </w:pPr>
      <w:r>
        <w:rPr>
          <w:rFonts w:ascii="Arial" w:cs="Arial" w:eastAsia="Arial" w:hAnsi="Arial"/>
          <w:sz w:val="19"/>
          <w:szCs w:val="19"/>
        </w:rPr>
        <w:t xml:space="preserve">Reduced new practice onboarding time by 30% by creating a repeatable, templated IT integration model deployed across approximately 80 acquisitions per year.</w:t>
      </w:r>
    </w:p>
    <w:p>
      <w:pPr>
        <w:pStyle w:val="ListParagraph"/>
        <w:numPr>
          <w:ilvl w:val="0"/>
          <w:numId w:val="3"/>
        </w:numPr>
        <w:spacing w:after="70"/>
      </w:pPr>
      <w:r>
        <w:rPr>
          <w:rFonts w:ascii="Arial" w:cs="Arial" w:eastAsia="Arial" w:hAnsi="Arial"/>
          <w:sz w:val="19"/>
          <w:szCs w:val="19"/>
        </w:rPr>
        <w:t xml:space="preserve">Shaped and executed IT strategy supporting VetPartners' rapid consolidation model — standardising clinical technology across 350+ veterinary healthcare sites while enabling integration of approximately 80 acquisitions per year.</w:t>
      </w:r>
    </w:p>
    <w:p>
      <w:pPr>
        <w:pStyle w:val="ListParagraph"/>
        <w:numPr>
          <w:ilvl w:val="0"/>
          <w:numId w:val="3"/>
        </w:numPr>
        <w:spacing w:after="70"/>
      </w:pPr>
      <w:r>
        <w:rPr>
          <w:rFonts w:ascii="Arial" w:cs="Arial" w:eastAsia="Arial" w:hAnsi="Arial"/>
          <w:sz w:val="19"/>
          <w:szCs w:val="19"/>
        </w:rPr>
        <w:t xml:space="preserve">Directed IT due diligence and integration for Goddard Veterinary Group (CMA clearance, September 2022), managing network integration, system onboarding, and infrastructure harmonisation across a patient-critical clinical estate.</w:t>
      </w:r>
    </w:p>
    <w:p>
      <w:pPr>
        <w:pStyle w:val="ListParagraph"/>
        <w:numPr>
          <w:ilvl w:val="0"/>
          <w:numId w:val="3"/>
        </w:numPr>
        <w:spacing w:after="70"/>
      </w:pPr>
      <w:r>
        <w:rPr>
          <w:rFonts w:ascii="Arial" w:cs="Arial" w:eastAsia="Arial" w:hAnsi="Arial"/>
          <w:sz w:val="19"/>
          <w:szCs w:val="19"/>
        </w:rPr>
        <w:t xml:space="preserve">Oversaw cloud infrastructure on Microsoft Azure and enterprise-wide M365 deployment, ensuring high availability and security across a nationally dispersed clinical workforce.</w:t>
      </w:r>
    </w:p>
    <w:p>
      <w:pPr>
        <w:keepNext/>
        <w:spacing w:after="80" w:before="200"/>
      </w:pPr>
      <w:r>
        <w:rPr>
          <w:rFonts w:ascii="Arial" w:cs="Arial" w:eastAsia="Arial" w:hAnsi="Arial"/>
          <w:b/>
          <w:bCs/>
          <w:color w:val="111111"/>
          <w:sz w:val="21"/>
          <w:szCs w:val="21"/>
        </w:rPr>
        <w:t xml:space="preserve">IT Director</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Bidwells LLP</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Jan 2020 – Mar 2022</w:t>
      </w:r>
    </w:p>
    <w:p>
      <w:pPr>
        <w:keepNext/>
        <w:spacing w:after="80" w:before="30"/>
      </w:pPr>
      <w:r>
        <w:rPr>
          <w:rFonts w:ascii="Arial" w:cs="Arial" w:eastAsia="Arial" w:hAnsi="Arial"/>
          <w:i/>
          <w:iCs/>
          <w:color w:val="444444"/>
          <w:sz w:val="19"/>
          <w:szCs w:val="19"/>
        </w:rPr>
        <w:t xml:space="preserve">Technology leadership for one of the UK's largest independent property consultancies managing over £5.2 billion in assets — 500 staff — leading a multi-disciplinary technology team, reporting directly to senior partnership.</w:t>
      </w:r>
    </w:p>
    <w:p>
      <w:pPr>
        <w:pStyle w:val="ListParagraph"/>
        <w:numPr>
          <w:ilvl w:val="0"/>
          <w:numId w:val="3"/>
        </w:numPr>
        <w:spacing w:after="70"/>
      </w:pPr>
      <w:r>
        <w:rPr>
          <w:rFonts w:ascii="Arial" w:cs="Arial" w:eastAsia="Arial" w:hAnsi="Arial"/>
          <w:sz w:val="19"/>
          <w:szCs w:val="19"/>
        </w:rPr>
        <w:t xml:space="preserve">Directed a multi-year cloud-first digital transformation programme, retiring on-premise infrastructure and introducing modern, scalable platforms across the firm.</w:t>
      </w:r>
    </w:p>
    <w:p>
      <w:pPr>
        <w:pStyle w:val="ListParagraph"/>
        <w:numPr>
          <w:ilvl w:val="0"/>
          <w:numId w:val="3"/>
        </w:numPr>
        <w:spacing w:after="70"/>
      </w:pPr>
      <w:r>
        <w:rPr>
          <w:rFonts w:ascii="Arial" w:cs="Arial" w:eastAsia="Arial" w:hAnsi="Arial"/>
          <w:sz w:val="19"/>
          <w:szCs w:val="19"/>
        </w:rPr>
        <w:t xml:space="preserve">Led the firm's AI and data strategy foundations — identifying GenAI and automation opportunities and establishing a governance framework for safe, measurable deployment.</w:t>
      </w:r>
    </w:p>
    <w:p>
      <w:pPr>
        <w:pStyle w:val="ListParagraph"/>
        <w:numPr>
          <w:ilvl w:val="0"/>
          <w:numId w:val="3"/>
        </w:numPr>
        <w:spacing w:after="70"/>
      </w:pPr>
      <w:r>
        <w:rPr>
          <w:rFonts w:ascii="Arial" w:cs="Arial" w:eastAsia="Arial" w:hAnsi="Arial"/>
          <w:sz w:val="19"/>
          <w:szCs w:val="19"/>
        </w:rPr>
        <w:t xml:space="preserve">Led zero-downtime COVID-19 transition to full remote working across all UK offices for 500+ staff; led digital website transformation winning Best New Website at the Property Marketing Awards 2022.</w:t>
      </w:r>
    </w:p>
    <w:p>
      <w:pPr>
        <w:pStyle w:val="ListParagraph"/>
        <w:numPr>
          <w:ilvl w:val="0"/>
          <w:numId w:val="3"/>
        </w:numPr>
        <w:spacing w:after="70"/>
      </w:pPr>
      <w:r>
        <w:rPr>
          <w:rFonts w:ascii="Arial" w:cs="Arial" w:eastAsia="Arial" w:hAnsi="Arial"/>
          <w:sz w:val="19"/>
          <w:szCs w:val="19"/>
        </w:rPr>
        <w:t xml:space="preserve">Introduced Power BI analytics and BI tooling for management reporting and client services across the firm.</w:t>
      </w:r>
    </w:p>
    <w:p>
      <w:pPr>
        <w:keepNext/>
        <w:spacing w:after="80" w:before="200"/>
      </w:pPr>
      <w:r>
        <w:rPr>
          <w:rFonts w:ascii="Arial" w:cs="Arial" w:eastAsia="Arial" w:hAnsi="Arial"/>
          <w:b/>
          <w:bCs/>
          <w:color w:val="111111"/>
          <w:sz w:val="21"/>
          <w:szCs w:val="21"/>
        </w:rPr>
        <w:t xml:space="preserve">IT Director</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Great Places Housing Association</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Mar 2017 – Dec 2019</w:t>
      </w:r>
    </w:p>
    <w:p>
      <w:pPr>
        <w:keepNext/>
        <w:spacing w:after="80" w:before="30"/>
      </w:pPr>
      <w:r>
        <w:rPr>
          <w:rFonts w:ascii="Arial" w:cs="Arial" w:eastAsia="Arial" w:hAnsi="Arial"/>
          <w:i/>
          <w:iCs/>
          <w:color w:val="444444"/>
          <w:sz w:val="19"/>
          <w:szCs w:val="19"/>
        </w:rPr>
        <w:t xml:space="preserve">Led the Technology Services function for one of the fastest-growing housing associations in the North of England — 25,000+ homes, 700+ employees.</w:t>
      </w:r>
    </w:p>
    <w:p>
      <w:pPr>
        <w:pStyle w:val="ListParagraph"/>
        <w:numPr>
          <w:ilvl w:val="0"/>
          <w:numId w:val="3"/>
        </w:numPr>
        <w:spacing w:after="70"/>
      </w:pPr>
      <w:r>
        <w:rPr>
          <w:rFonts w:ascii="Arial" w:cs="Arial" w:eastAsia="Arial" w:hAnsi="Arial"/>
          <w:sz w:val="19"/>
          <w:szCs w:val="19"/>
        </w:rPr>
        <w:t xml:space="preserve">Managed a £2.8M IT budget and led a 28-person Technology Services team across infrastructure, applications, and service desk.</w:t>
      </w:r>
    </w:p>
    <w:p>
      <w:pPr>
        <w:pStyle w:val="ListParagraph"/>
        <w:numPr>
          <w:ilvl w:val="0"/>
          <w:numId w:val="3"/>
        </w:numPr>
        <w:spacing w:after="70"/>
      </w:pPr>
      <w:r>
        <w:rPr>
          <w:rFonts w:ascii="Arial" w:cs="Arial" w:eastAsia="Arial" w:hAnsi="Arial"/>
          <w:sz w:val="19"/>
          <w:szCs w:val="19"/>
        </w:rPr>
        <w:t xml:space="preserve">Improved system uptime from 98.5% to 99.8% following migration of core application hosting to an enterprise-grade managed environment.</w:t>
      </w:r>
    </w:p>
    <w:p>
      <w:pPr>
        <w:pStyle w:val="ListParagraph"/>
        <w:numPr>
          <w:ilvl w:val="0"/>
          <w:numId w:val="3"/>
        </w:numPr>
        <w:spacing w:after="70"/>
      </w:pPr>
      <w:r>
        <w:rPr>
          <w:rFonts w:ascii="Arial" w:cs="Arial" w:eastAsia="Arial" w:hAnsi="Arial"/>
          <w:sz w:val="19"/>
          <w:szCs w:val="19"/>
        </w:rPr>
        <w:t xml:space="preserve">Implemented the Group-wide GDPR compliance framework in close partnership with the newly appointed Data Protection Officer (DPO) — delivering data mapping, policy development, staff training, Privacy Impact Assessments (PIAs), and data retention controls across three business entities ahead of the May 2018 regulatory deadline.</w:t>
      </w:r>
    </w:p>
    <w:p>
      <w:pPr>
        <w:pStyle w:val="ListParagraph"/>
        <w:numPr>
          <w:ilvl w:val="0"/>
          <w:numId w:val="3"/>
        </w:numPr>
        <w:spacing w:after="70"/>
      </w:pPr>
      <w:r>
        <w:rPr>
          <w:rFonts w:ascii="Arial" w:cs="Arial" w:eastAsia="Arial" w:hAnsi="Arial"/>
          <w:sz w:val="19"/>
          <w:szCs w:val="19"/>
        </w:rPr>
        <w:t xml:space="preserve">Maintained Cyber Essentials Plus certification across the organisation, embedding a culture of cybersecurity compliance within the 28-person team.</w:t>
      </w:r>
    </w:p>
    <w:p>
      <w:pPr>
        <w:pStyle w:val="ListParagraph"/>
        <w:numPr>
          <w:ilvl w:val="0"/>
          <w:numId w:val="3"/>
        </w:numPr>
        <w:spacing w:after="70"/>
      </w:pPr>
      <w:r>
        <w:rPr>
          <w:rFonts w:ascii="Arial" w:cs="Arial" w:eastAsia="Arial" w:hAnsi="Arial"/>
          <w:sz w:val="19"/>
          <w:szCs w:val="19"/>
        </w:rPr>
        <w:t xml:space="preserve">Directed a comprehensive digital transformation programme aligned to strategic objectives — modernising legacy housing management and ERP systems and introducing tenant-facing digital self-service.</w:t>
      </w:r>
    </w:p>
    <w:p>
      <w:pPr>
        <w:pStyle w:val="ListParagraph"/>
        <w:numPr>
          <w:ilvl w:val="0"/>
          <w:numId w:val="3"/>
        </w:numPr>
        <w:spacing w:after="70"/>
      </w:pPr>
      <w:r>
        <w:rPr>
          <w:rFonts w:ascii="Arial" w:cs="Arial" w:eastAsia="Arial" w:hAnsi="Arial"/>
          <w:sz w:val="19"/>
          <w:szCs w:val="19"/>
        </w:rPr>
        <w:t xml:space="preserve">Drove a BI and data management initiative delivering standardised executive and board-level reporting across Finance, Operations, and Customer Services.</w:t>
      </w:r>
    </w:p>
    <w:p>
      <w:pPr>
        <w:pStyle w:val="ListParagraph"/>
        <w:numPr>
          <w:ilvl w:val="0"/>
          <w:numId w:val="3"/>
        </w:numPr>
        <w:spacing w:after="70"/>
      </w:pPr>
      <w:r>
        <w:rPr>
          <w:rFonts w:ascii="Arial" w:cs="Arial" w:eastAsia="Arial" w:hAnsi="Arial"/>
          <w:sz w:val="19"/>
          <w:szCs w:val="19"/>
        </w:rPr>
        <w:t xml:space="preserve">Led the Group-wide GDPR compliance programme achieving full regulatory compliance on time across all three business entities.</w:t>
      </w:r>
    </w:p>
    <w:p>
      <w:pPr>
        <w:keepNext/>
        <w:spacing w:after="80" w:before="200"/>
      </w:pPr>
      <w:r>
        <w:rPr>
          <w:rFonts w:ascii="Arial" w:cs="Arial" w:eastAsia="Arial" w:hAnsi="Arial"/>
          <w:b/>
          <w:bCs/>
          <w:color w:val="111111"/>
          <w:sz w:val="21"/>
          <w:szCs w:val="21"/>
        </w:rPr>
        <w:t xml:space="preserve">IT Director</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Claims Advisory Group Limited</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Jun 2015 – Jan 2017</w:t>
      </w:r>
    </w:p>
    <w:p>
      <w:pPr>
        <w:keepNext/>
        <w:spacing w:after="80" w:before="30"/>
      </w:pPr>
      <w:r>
        <w:rPr>
          <w:rFonts w:ascii="Arial" w:cs="Arial" w:eastAsia="Arial" w:hAnsi="Arial"/>
          <w:i/>
          <w:iCs/>
          <w:color w:val="444444"/>
          <w:sz w:val="19"/>
          <w:szCs w:val="19"/>
        </w:rPr>
        <w:t xml:space="preserve">Executive technology leadership for an FCA-regulated CMC processing in excess of £2M per month in PPI refunds.</w:t>
      </w:r>
    </w:p>
    <w:p>
      <w:pPr>
        <w:pStyle w:val="ListParagraph"/>
        <w:numPr>
          <w:ilvl w:val="0"/>
          <w:numId w:val="3"/>
        </w:numPr>
        <w:spacing w:after="70"/>
      </w:pPr>
      <w:r>
        <w:rPr>
          <w:rFonts w:ascii="Arial" w:cs="Arial" w:eastAsia="Arial" w:hAnsi="Arial"/>
          <w:sz w:val="19"/>
          <w:szCs w:val="19"/>
        </w:rPr>
        <w:t xml:space="preserve">Led a 12-person cross-functional IT team across infrastructure, service desk, and business applications for a high-volume FCA-regulated claims environment.</w:t>
      </w:r>
    </w:p>
    <w:p>
      <w:pPr>
        <w:pStyle w:val="ListParagraph"/>
        <w:numPr>
          <w:ilvl w:val="0"/>
          <w:numId w:val="3"/>
        </w:numPr>
        <w:spacing w:after="70"/>
      </w:pPr>
      <w:r>
        <w:rPr>
          <w:rFonts w:ascii="Arial" w:cs="Arial" w:eastAsia="Arial" w:hAnsi="Arial"/>
          <w:sz w:val="19"/>
          <w:szCs w:val="19"/>
        </w:rPr>
        <w:t xml:space="preserve">Implemented PCI-DSS governance framework — establishing payment card security controls and compliance processes to protect consumer financial data across the FCA-regulated claims processing environment.</w:t>
      </w:r>
    </w:p>
    <w:p>
      <w:pPr>
        <w:pStyle w:val="ListParagraph"/>
        <w:numPr>
          <w:ilvl w:val="0"/>
          <w:numId w:val="3"/>
        </w:numPr>
        <w:spacing w:after="70"/>
      </w:pPr>
      <w:r>
        <w:rPr>
          <w:rFonts w:ascii="Arial" w:cs="Arial" w:eastAsia="Arial" w:hAnsi="Arial"/>
          <w:sz w:val="19"/>
          <w:szCs w:val="19"/>
        </w:rPr>
        <w:t xml:space="preserve">Reduced average handle time by 18% through CRM and telephony dialler integration, improving contact-centre efficiency across the claims negotiation team.</w:t>
      </w:r>
    </w:p>
    <w:p>
      <w:pPr>
        <w:pStyle w:val="ListParagraph"/>
        <w:numPr>
          <w:ilvl w:val="0"/>
          <w:numId w:val="3"/>
        </w:numPr>
        <w:spacing w:after="70"/>
      </w:pPr>
      <w:r>
        <w:rPr>
          <w:rFonts w:ascii="Arial" w:cs="Arial" w:eastAsia="Arial" w:hAnsi="Arial"/>
          <w:sz w:val="19"/>
          <w:szCs w:val="19"/>
        </w:rPr>
        <w:t xml:space="preserve">Achieved a 40% reduction in incident response times through introduction of ITIL-aligned service management processes.</w:t>
      </w:r>
    </w:p>
    <w:p>
      <w:pPr>
        <w:pStyle w:val="ListParagraph"/>
        <w:numPr>
          <w:ilvl w:val="0"/>
          <w:numId w:val="3"/>
        </w:numPr>
        <w:spacing w:after="70"/>
      </w:pPr>
      <w:r>
        <w:rPr>
          <w:rFonts w:ascii="Arial" w:cs="Arial" w:eastAsia="Arial" w:hAnsi="Arial"/>
          <w:sz w:val="19"/>
          <w:szCs w:val="19"/>
        </w:rPr>
        <w:t xml:space="preserve">Led design, procurement, and implementation of a scalable CRM platform integrating telephony and dialler systems for the claims negotiation team.</w:t>
      </w:r>
    </w:p>
    <w:p>
      <w:pPr>
        <w:keepNext/>
        <w:spacing w:after="80" w:before="200"/>
      </w:pPr>
      <w:r>
        <w:rPr>
          <w:rFonts w:ascii="Arial" w:cs="Arial" w:eastAsia="Arial" w:hAnsi="Arial"/>
          <w:b/>
          <w:bCs/>
          <w:color w:val="111111"/>
          <w:sz w:val="21"/>
          <w:szCs w:val="21"/>
        </w:rPr>
        <w:t xml:space="preserve">IT Director</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Missguided Ltd</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Mar 2014 – May 2015</w:t>
      </w:r>
    </w:p>
    <w:p>
      <w:pPr>
        <w:keepNext/>
        <w:spacing w:after="80" w:before="30"/>
      </w:pPr>
      <w:r>
        <w:rPr>
          <w:rFonts w:ascii="Arial" w:cs="Arial" w:eastAsia="Arial" w:hAnsi="Arial"/>
          <w:i/>
          <w:iCs/>
          <w:color w:val="444444"/>
          <w:sz w:val="19"/>
          <w:szCs w:val="19"/>
        </w:rPr>
        <w:t xml:space="preserve">Led end-to-end IT strategy for one of the UK's fastest-growing online fast-fashion retailers scaling toward £49M+ revenue — leading a 32-person IT team with international expansion into the US, Europe, and Australia.</w:t>
      </w:r>
    </w:p>
    <w:p>
      <w:pPr>
        <w:pStyle w:val="ListParagraph"/>
        <w:numPr>
          <w:ilvl w:val="0"/>
          <w:numId w:val="3"/>
        </w:numPr>
        <w:spacing w:after="70"/>
      </w:pPr>
      <w:r>
        <w:rPr>
          <w:rFonts w:ascii="Arial" w:cs="Arial" w:eastAsia="Arial" w:hAnsi="Arial"/>
          <w:sz w:val="19"/>
          <w:szCs w:val="19"/>
        </w:rPr>
        <w:t xml:space="preserve">Led a 32-person IT team across e-commerce, ERP, and infrastructure for a fast-scaling retailer with international operations in the US, Europe, and Australia.</w:t>
      </w:r>
    </w:p>
    <w:p>
      <w:pPr>
        <w:pStyle w:val="ListParagraph"/>
        <w:numPr>
          <w:ilvl w:val="0"/>
          <w:numId w:val="3"/>
        </w:numPr>
        <w:spacing w:after="70"/>
      </w:pPr>
      <w:r>
        <w:rPr>
          <w:rFonts w:ascii="Arial" w:cs="Arial" w:eastAsia="Arial" w:hAnsi="Arial"/>
          <w:sz w:val="19"/>
          <w:szCs w:val="19"/>
        </w:rPr>
        <w:t xml:space="preserve">Owned stability and performance of the Magento e-commerce platform through high-traffic celebrity collaboration launches.</w:t>
      </w:r>
    </w:p>
    <w:p>
      <w:pPr>
        <w:pStyle w:val="ListParagraph"/>
        <w:numPr>
          <w:ilvl w:val="0"/>
          <w:numId w:val="3"/>
        </w:numPr>
        <w:spacing w:after="70"/>
      </w:pPr>
      <w:r>
        <w:rPr>
          <w:rFonts w:ascii="Arial" w:cs="Arial" w:eastAsia="Arial" w:hAnsi="Arial"/>
          <w:sz w:val="19"/>
          <w:szCs w:val="19"/>
        </w:rPr>
        <w:t xml:space="preserve">Managed technology due diligence and integration for the Nordstrom commercial partnership and US market entry; delivered multi-currency payment processing and localisation for US and European expansion.</w:t>
      </w:r>
    </w:p>
    <w:p>
      <w:pPr>
        <w:keepNext/>
        <w:spacing w:after="80" w:before="200"/>
      </w:pPr>
      <w:r>
        <w:rPr>
          <w:rFonts w:ascii="Arial" w:cs="Arial" w:eastAsia="Arial" w:hAnsi="Arial"/>
          <w:b/>
          <w:bCs/>
          <w:color w:val="111111"/>
          <w:sz w:val="21"/>
          <w:szCs w:val="21"/>
        </w:rPr>
        <w:t xml:space="preserve">IT Director — UK, EMEA &amp; Asia</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HID Global / ASSA ABLOY Group</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Mar 2011 – Feb 2014</w:t>
      </w:r>
    </w:p>
    <w:p>
      <w:pPr>
        <w:keepNext/>
        <w:spacing w:after="80" w:before="30"/>
      </w:pPr>
      <w:r>
        <w:rPr>
          <w:rFonts w:ascii="Arial" w:cs="Arial" w:eastAsia="Arial" w:hAnsi="Arial"/>
          <w:i/>
          <w:iCs/>
          <w:color w:val="444444"/>
          <w:sz w:val="19"/>
          <w:szCs w:val="19"/>
        </w:rPr>
        <w:t xml:space="preserve">Regional IT Director for the world's leading secure identity solutions provider — directing technology teams across EMEA, UK, and Asia Pacific, with in-person leadership across Ireland, Sweden, Los Angeles, Austin (Texas), and Walluf (Germany) — reporting into global IT leadership in Stockholm.</w:t>
      </w:r>
    </w:p>
    <w:p>
      <w:pPr>
        <w:pStyle w:val="ListParagraph"/>
        <w:numPr>
          <w:ilvl w:val="0"/>
          <w:numId w:val="3"/>
        </w:numPr>
        <w:spacing w:after="70"/>
      </w:pPr>
      <w:r>
        <w:rPr>
          <w:rFonts w:ascii="Arial" w:cs="Arial" w:eastAsia="Arial" w:hAnsi="Arial"/>
          <w:sz w:val="19"/>
          <w:szCs w:val="19"/>
        </w:rPr>
        <w:t xml:space="preserve">Directed technology teams across EMEA, UK, and Asia Pacific — personally leading teams in Ireland, Sweden, Los Angeles, Austin (Texas), and Walluf (Germany), managing a £4.5M regional IT budget and a 22-person team spanning multiple time zones and cultures.</w:t>
      </w:r>
    </w:p>
    <w:p>
      <w:pPr>
        <w:pStyle w:val="ListParagraph"/>
        <w:numPr>
          <w:ilvl w:val="0"/>
          <w:numId w:val="3"/>
        </w:numPr>
        <w:spacing w:after="70"/>
      </w:pPr>
      <w:r>
        <w:rPr>
          <w:rFonts w:ascii="Arial" w:cs="Arial" w:eastAsia="Arial" w:hAnsi="Arial"/>
          <w:sz w:val="19"/>
          <w:szCs w:val="19"/>
        </w:rPr>
        <w:t xml:space="preserve">Represented the region at ASSA ABLOY Group global technology summits — contributing to group-wide IT strategy, platform standardisation, and post-merger integration governance.</w:t>
      </w:r>
    </w:p>
    <w:p>
      <w:pPr>
        <w:pStyle w:val="ListParagraph"/>
        <w:numPr>
          <w:ilvl w:val="0"/>
          <w:numId w:val="3"/>
        </w:numPr>
        <w:spacing w:after="70"/>
      </w:pPr>
      <w:r>
        <w:rPr>
          <w:rFonts w:ascii="Arial" w:cs="Arial" w:eastAsia="Arial" w:hAnsi="Arial"/>
          <w:sz w:val="19"/>
          <w:szCs w:val="19"/>
        </w:rPr>
        <w:t xml:space="preserve">Led M&amp;A IT due diligence and post-merger integration of multiple acquisitions across EMEA and Asia (LaserCard 2011, EasyLobby 2012), consolidating ERP, CRM, CPQ, and collaboration platforms.</w:t>
      </w:r>
    </w:p>
    <w:p>
      <w:pPr>
        <w:pStyle w:val="ListParagraph"/>
        <w:numPr>
          <w:ilvl w:val="0"/>
          <w:numId w:val="3"/>
        </w:numPr>
        <w:spacing w:after="70"/>
      </w:pPr>
      <w:r>
        <w:rPr>
          <w:rFonts w:ascii="Arial" w:cs="Arial" w:eastAsia="Arial" w:hAnsi="Arial"/>
          <w:sz w:val="19"/>
          <w:szCs w:val="19"/>
        </w:rPr>
        <w:t xml:space="preserve">Established IT governance frameworks across all regional sites ensuring ISO 27001 compliance and alignment to ASSA ABLOY Group standards.</w:t>
      </w:r>
    </w:p>
    <w:p>
      <w:pPr>
        <w:pStyle w:val="ListParagraph"/>
        <w:numPr>
          <w:ilvl w:val="0"/>
          <w:numId w:val="3"/>
        </w:numPr>
        <w:spacing w:after="70"/>
      </w:pPr>
      <w:r>
        <w:rPr>
          <w:rFonts w:ascii="Arial" w:cs="Arial" w:eastAsia="Arial" w:hAnsi="Arial"/>
          <w:sz w:val="19"/>
          <w:szCs w:val="19"/>
        </w:rPr>
        <w:t xml:space="preserve">Negotiated and managed regional IT contracts delivering measurable cost savings against annual budgets.</w:t>
      </w:r>
    </w:p>
    <w:p>
      <w:pPr>
        <w:keepNext/>
        <w:spacing w:after="80" w:before="200"/>
      </w:pPr>
      <w:r>
        <w:rPr>
          <w:rFonts w:ascii="Arial" w:cs="Arial" w:eastAsia="Arial" w:hAnsi="Arial"/>
          <w:b/>
          <w:bCs/>
          <w:color w:val="111111"/>
          <w:sz w:val="21"/>
          <w:szCs w:val="21"/>
        </w:rPr>
        <w:t xml:space="preserve">IT Director</w:t>
      </w:r>
      <w:r>
        <w:rPr>
          <w:rFonts w:ascii="Arial" w:cs="Arial" w:eastAsia="Arial" w:hAnsi="Arial"/>
          <w:color w:val="888888"/>
          <w:sz w:val="21"/>
          <w:szCs w:val="21"/>
        </w:rPr>
        <w:t xml:space="preserve">  |  </w:t>
      </w:r>
      <w:r>
        <w:rPr>
          <w:rFonts w:ascii="Arial" w:cs="Arial" w:eastAsia="Arial" w:hAnsi="Arial"/>
          <w:b/>
          <w:bCs/>
          <w:color w:val="1B5299"/>
          <w:sz w:val="21"/>
          <w:szCs w:val="21"/>
        </w:rPr>
        <w:t xml:space="preserve">ghd (Good Hair Day) / The Jemella Group Ltd</w:t>
      </w:r>
      <w:r>
        <w:rPr>
          <w:rFonts w:ascii="Arial" w:cs="Arial" w:eastAsia="Arial" w:hAnsi="Arial"/>
          <w:color w:val="888888"/>
          <w:sz w:val="21"/>
          <w:szCs w:val="21"/>
        </w:rPr>
        <w:t xml:space="preserve">  |  </w:t>
      </w:r>
      <w:r>
        <w:rPr>
          <w:rFonts w:ascii="Arial" w:cs="Arial" w:eastAsia="Arial" w:hAnsi="Arial"/>
          <w:i/>
          <w:iCs/>
          <w:color w:val="555555"/>
          <w:sz w:val="19"/>
          <w:szCs w:val="19"/>
        </w:rPr>
        <w:t xml:space="preserve">Jan 2008 – Jan 2011</w:t>
      </w:r>
    </w:p>
    <w:p>
      <w:pPr>
        <w:keepNext/>
        <w:spacing w:after="80" w:before="30"/>
      </w:pPr>
      <w:r>
        <w:rPr>
          <w:rFonts w:ascii="Arial" w:cs="Arial" w:eastAsia="Arial" w:hAnsi="Arial"/>
          <w:i/>
          <w:iCs/>
          <w:color w:val="444444"/>
          <w:sz w:val="19"/>
          <w:szCs w:val="19"/>
        </w:rPr>
        <w:t xml:space="preserve">Member of the senior leadership team reporting to the CEO during a £160M Montagu Private Equity ownership period — delivering a three-year technology transformation for a premium consumer goods brand with 50,000+ global salon partners; working across the UK, France, and Germany — directing the IT estate across Leeds (HQ) and London (Soho).</w:t>
      </w:r>
    </w:p>
    <w:p>
      <w:pPr>
        <w:pStyle w:val="ListParagraph"/>
        <w:numPr>
          <w:ilvl w:val="0"/>
          <w:numId w:val="3"/>
        </w:numPr>
        <w:spacing w:after="70"/>
      </w:pPr>
      <w:r>
        <w:rPr>
          <w:rFonts w:ascii="Arial" w:cs="Arial" w:eastAsia="Arial" w:hAnsi="Arial"/>
          <w:sz w:val="19"/>
          <w:szCs w:val="19"/>
        </w:rPr>
        <w:t xml:space="preserve">Led ERP evaluation, procurement, and implementation supporting rapid UK and international growth across finance, supply chain, inventory, and order management.</w:t>
      </w:r>
    </w:p>
    <w:p>
      <w:pPr>
        <w:pStyle w:val="ListParagraph"/>
        <w:numPr>
          <w:ilvl w:val="0"/>
          <w:numId w:val="3"/>
        </w:numPr>
        <w:spacing w:after="70"/>
      </w:pPr>
      <w:r>
        <w:rPr>
          <w:rFonts w:ascii="Arial" w:cs="Arial" w:eastAsia="Arial" w:hAnsi="Arial"/>
          <w:sz w:val="19"/>
          <w:szCs w:val="19"/>
        </w:rPr>
        <w:t xml:space="preserve">Delivered the DTC e-commerce platform, CRM and PLM strategy for 50,000+ global B2B trade accounts; established PCI-DSS and data governance frameworks.</w:t>
      </w:r>
    </w:p>
    <w:p>
      <w:pPr>
        <w:pBdr>
          <w:bottom w:val="single" w:color="1B3F72" w:sz="10" w:space="2"/>
        </w:pBdr>
        <w:spacing w:after="80" w:before="260"/>
      </w:pPr>
      <w:r>
        <w:rPr>
          <w:rFonts w:ascii="Arial" w:cs="Arial" w:eastAsia="Arial" w:hAnsi="Arial"/>
          <w:b/>
          <w:bCs/>
          <w:color w:val="1B3F72"/>
          <w:sz w:val="22"/>
          <w:szCs w:val="22"/>
        </w:rPr>
        <w:t xml:space="preserve">Earlier Career</w:t>
      </w:r>
    </w:p>
    <w:p>
      <w:pPr>
        <w:spacing w:after="20" w:before="60"/>
      </w:pPr>
    </w:p>
    <w:p>
      <w:pPr>
        <w:spacing w:after="60" w:before="60"/>
      </w:pPr>
      <w:r>
        <w:rPr>
          <w:rFonts w:ascii="Arial" w:cs="Arial" w:eastAsia="Arial" w:hAnsi="Arial"/>
          <w:b/>
          <w:bCs/>
          <w:sz w:val="19"/>
          <w:szCs w:val="19"/>
        </w:rPr>
        <w:t xml:space="preserve">Head of IT Business Systems, Europe</w:t>
      </w:r>
      <w:r>
        <w:rPr>
          <w:rFonts w:ascii="Arial" w:cs="Arial" w:eastAsia="Arial" w:hAnsi="Arial"/>
          <w:color w:val="888888"/>
          <w:sz w:val="19"/>
          <w:szCs w:val="19"/>
        </w:rPr>
        <w:t xml:space="preserve">   |   </w:t>
      </w:r>
      <w:r>
        <w:rPr>
          <w:rFonts w:ascii="Arial" w:cs="Arial" w:eastAsia="Arial" w:hAnsi="Arial"/>
          <w:color w:val="555555"/>
          <w:sz w:val="19"/>
          <w:szCs w:val="19"/>
        </w:rPr>
        <w:t xml:space="preserve">International Game Technology (IGT)</w:t>
      </w:r>
      <w:r>
        <w:rPr>
          <w:rFonts w:ascii="Arial" w:cs="Arial" w:eastAsia="Arial" w:hAnsi="Arial"/>
          <w:color w:val="888888"/>
          <w:sz w:val="19"/>
          <w:szCs w:val="19"/>
        </w:rPr>
        <w:t xml:space="preserve">   |   </w:t>
      </w:r>
      <w:r>
        <w:rPr>
          <w:rFonts w:ascii="Arial" w:cs="Arial" w:eastAsia="Arial" w:hAnsi="Arial"/>
          <w:i/>
          <w:iCs/>
          <w:color w:val="555555"/>
          <w:sz w:val="18"/>
          <w:szCs w:val="18"/>
        </w:rPr>
        <w:t xml:space="preserve">Aug 2004 – Nov 2007</w:t>
      </w:r>
    </w:p>
    <w:p>
      <w:pPr>
        <w:spacing w:after="60" w:before="60"/>
      </w:pPr>
      <w:r>
        <w:rPr>
          <w:rFonts w:ascii="Arial" w:cs="Arial" w:eastAsia="Arial" w:hAnsi="Arial"/>
          <w:b/>
          <w:bCs/>
          <w:sz w:val="19"/>
          <w:szCs w:val="19"/>
        </w:rPr>
        <w:t xml:space="preserve">IT Programme Director — Bowman Conversion</w:t>
      </w:r>
      <w:r>
        <w:rPr>
          <w:rFonts w:ascii="Arial" w:cs="Arial" w:eastAsia="Arial" w:hAnsi="Arial"/>
          <w:color w:val="888888"/>
          <w:sz w:val="19"/>
          <w:szCs w:val="19"/>
        </w:rPr>
        <w:t xml:space="preserve">   |   </w:t>
      </w:r>
      <w:r>
        <w:rPr>
          <w:rFonts w:ascii="Arial" w:cs="Arial" w:eastAsia="Arial" w:hAnsi="Arial"/>
          <w:color w:val="555555"/>
          <w:sz w:val="19"/>
          <w:szCs w:val="19"/>
        </w:rPr>
        <w:t xml:space="preserve">MOD Ashchurch / Defence Equipment &amp; Support</w:t>
      </w:r>
      <w:r>
        <w:rPr>
          <w:rFonts w:ascii="Arial" w:cs="Arial" w:eastAsia="Arial" w:hAnsi="Arial"/>
          <w:color w:val="888888"/>
          <w:sz w:val="19"/>
          <w:szCs w:val="19"/>
        </w:rPr>
        <w:t xml:space="preserve">   |   </w:t>
      </w:r>
      <w:r>
        <w:rPr>
          <w:rFonts w:ascii="Arial" w:cs="Arial" w:eastAsia="Arial" w:hAnsi="Arial"/>
          <w:i/>
          <w:iCs/>
          <w:color w:val="555555"/>
          <w:sz w:val="18"/>
          <w:szCs w:val="18"/>
        </w:rPr>
        <w:t xml:space="preserve">May 2002 – Aug 2004</w:t>
      </w:r>
    </w:p>
    <w:p>
      <w:pPr>
        <w:spacing w:after="60" w:before="60"/>
      </w:pPr>
      <w:r>
        <w:rPr>
          <w:rFonts w:ascii="Arial" w:cs="Arial" w:eastAsia="Arial" w:hAnsi="Arial"/>
          <w:b/>
          <w:bCs/>
          <w:sz w:val="19"/>
          <w:szCs w:val="19"/>
        </w:rPr>
        <w:t xml:space="preserve">Programmer / Application Specialist</w:t>
      </w:r>
      <w:r>
        <w:rPr>
          <w:rFonts w:ascii="Arial" w:cs="Arial" w:eastAsia="Arial" w:hAnsi="Arial"/>
          <w:color w:val="888888"/>
          <w:sz w:val="19"/>
          <w:szCs w:val="19"/>
        </w:rPr>
        <w:t xml:space="preserve">   |   </w:t>
      </w:r>
      <w:r>
        <w:rPr>
          <w:rFonts w:ascii="Arial" w:cs="Arial" w:eastAsia="Arial" w:hAnsi="Arial"/>
          <w:color w:val="555555"/>
          <w:sz w:val="19"/>
          <w:szCs w:val="19"/>
        </w:rPr>
        <w:t xml:space="preserve">BAE Systems / AlliedSignal Honeywell</w:t>
      </w:r>
      <w:r>
        <w:rPr>
          <w:rFonts w:ascii="Arial" w:cs="Arial" w:eastAsia="Arial" w:hAnsi="Arial"/>
          <w:color w:val="888888"/>
          <w:sz w:val="19"/>
          <w:szCs w:val="19"/>
        </w:rPr>
        <w:t xml:space="preserve">   |   </w:t>
      </w:r>
      <w:r>
        <w:rPr>
          <w:rFonts w:ascii="Arial" w:cs="Arial" w:eastAsia="Arial" w:hAnsi="Arial"/>
          <w:i/>
          <w:iCs/>
          <w:color w:val="555555"/>
          <w:sz w:val="18"/>
          <w:szCs w:val="18"/>
        </w:rPr>
        <w:t xml:space="preserve">Feb 1997 – Apr 2002</w:t>
      </w:r>
    </w:p>
    <w:p>
      <w:pPr>
        <w:spacing w:after="60" w:before="60"/>
      </w:pPr>
      <w:r>
        <w:rPr>
          <w:rFonts w:ascii="Arial" w:cs="Arial" w:eastAsia="Arial" w:hAnsi="Arial"/>
          <w:b/>
          <w:bCs/>
          <w:sz w:val="19"/>
          <w:szCs w:val="19"/>
        </w:rPr>
        <w:t xml:space="preserve">IT Systems Analyst</w:t>
      </w:r>
      <w:r>
        <w:rPr>
          <w:rFonts w:ascii="Arial" w:cs="Arial" w:eastAsia="Arial" w:hAnsi="Arial"/>
          <w:color w:val="888888"/>
          <w:sz w:val="19"/>
          <w:szCs w:val="19"/>
        </w:rPr>
        <w:t xml:space="preserve">   |   </w:t>
      </w:r>
      <w:r>
        <w:rPr>
          <w:rFonts w:ascii="Arial" w:cs="Arial" w:eastAsia="Arial" w:hAnsi="Arial"/>
          <w:color w:val="555555"/>
          <w:sz w:val="19"/>
          <w:szCs w:val="19"/>
        </w:rPr>
        <w:t xml:space="preserve">Philips Semiconductors (SAP R/2 &amp; R/3, MES)</w:t>
      </w:r>
      <w:r>
        <w:rPr>
          <w:rFonts w:ascii="Arial" w:cs="Arial" w:eastAsia="Arial" w:hAnsi="Arial"/>
          <w:color w:val="888888"/>
          <w:sz w:val="19"/>
          <w:szCs w:val="19"/>
        </w:rPr>
        <w:t xml:space="preserve">   |   </w:t>
      </w:r>
      <w:r>
        <w:rPr>
          <w:rFonts w:ascii="Arial" w:cs="Arial" w:eastAsia="Arial" w:hAnsi="Arial"/>
          <w:i/>
          <w:iCs/>
          <w:color w:val="555555"/>
          <w:sz w:val="18"/>
          <w:szCs w:val="18"/>
        </w:rPr>
        <w:t xml:space="preserve">Jan 1989 – Jan 1997</w:t>
      </w:r>
    </w:p>
    <w:p>
      <w:pPr>
        <w:spacing w:after="40" w:before="60"/>
      </w:pPr>
      <w:r>
        <w:rPr>
          <w:rFonts w:ascii="Arial" w:cs="Arial" w:eastAsia="Arial" w:hAnsi="Arial"/>
          <w:i/>
          <w:iCs/>
          <w:color w:val="555555"/>
          <w:sz w:val="18"/>
          <w:szCs w:val="18"/>
        </w:rPr>
        <w:t xml:space="preserve">Note: Early career includes 8 years at Philips Semiconductors implementing SAP R/2 and R/3 across European manufacturing sites — a background that informs a practical, delivery-focused approach to enterprise technology that has remained consistent throughout subsequent senior leadership roles. Full career details from 1989 available on request. At IGT (International Game Technology, NYSE-listed): directed technology across Manchester, London (Chelsea), and Birmingham in the UK, and worked directly with the technology and senior leadership teams in Nevada, USA; maintained SOX (Sarbanes-Oxley) compliance for the IT function; and represented the business at IGT global technology summits. MOD Ashchurch: IT Programme Director, Bowman Conversion programme (HMG security clearance held). BAE Systems / AlliedSignal Honeywell: programming and application specialist.</w:t>
      </w:r>
    </w:p>
    <w:p>
      <w:pPr>
        <w:pBdr>
          <w:bottom w:val="single" w:color="1B3F72" w:sz="10" w:space="2"/>
        </w:pBdr>
        <w:spacing w:after="80" w:before="260"/>
      </w:pPr>
      <w:r>
        <w:rPr>
          <w:rFonts w:ascii="Arial" w:cs="Arial" w:eastAsia="Arial" w:hAnsi="Arial"/>
          <w:b/>
          <w:bCs/>
          <w:color w:val="1B3F72"/>
          <w:sz w:val="22"/>
          <w:szCs w:val="22"/>
        </w:rPr>
        <w:t xml:space="preserve">Sector Experience</w:t>
      </w:r>
    </w:p>
    <w:p>
      <w:pPr>
        <w:spacing w:after="80" w:before="80"/>
      </w:pPr>
      <w:r>
        <w:rPr>
          <w:rFonts w:ascii="Arial" w:cs="Arial" w:eastAsia="Arial" w:hAnsi="Arial"/>
          <w:color w:val="444444"/>
          <w:sz w:val="19"/>
          <w:szCs w:val="19"/>
        </w:rPr>
        <w:t xml:space="preserve">Manufacturing &amp; Industrial  |  Professional Services  |  Renewable Energy &amp; Cleantech  |  Financial Services (FCA-regulated)  |  Veterinary Healthcare  |  Fast Fashion / Retail  |  Defence &amp; Aerospace  |  Property &amp; Real Estate  |  Social Housing  |  Gaming &amp; Entertainment</w:t>
      </w:r>
    </w:p>
    <w:p>
      <w:pPr>
        <w:pBdr>
          <w:bottom w:val="single" w:color="1B3F72" w:sz="10" w:space="2"/>
        </w:pBdr>
        <w:spacing w:after="80" w:before="260"/>
      </w:pPr>
      <w:r>
        <w:rPr>
          <w:rFonts w:ascii="Arial" w:cs="Arial" w:eastAsia="Arial" w:hAnsi="Arial"/>
          <w:b/>
          <w:bCs/>
          <w:color w:val="1B3F72"/>
          <w:sz w:val="22"/>
          <w:szCs w:val="22"/>
        </w:rPr>
        <w:t xml:space="preserve">Professional Memberships &amp; Availability</w:t>
      </w:r>
    </w:p>
    <w:p>
      <w:pPr>
        <w:spacing w:after="80" w:before="80"/>
      </w:pPr>
      <w:r>
        <w:rPr>
          <w:rFonts w:ascii="Arial" w:cs="Arial" w:eastAsia="Arial" w:hAnsi="Arial"/>
          <w:color w:val="333333"/>
          <w:sz w:val="19"/>
          <w:szCs w:val="19"/>
        </w:rPr>
        <w:t xml:space="preserve">BCS — The Chartered Institute for IT (Member)  |  ISACA (Member)  |  techUK Associate  |  25+ years of MSP contract and relationship management experience  |  Available for advisory board, panel, speaking, and senior mentoring engagements  |  Former HMG/MOD security clearance (MOD Ashchurch, 2002–04) — contact for current status</w:t>
      </w:r>
    </w:p>
    <w:p>
      <w:pPr>
        <w:pBdr>
          <w:bottom w:val="single" w:color="1B3F72" w:sz="10" w:space="2"/>
        </w:pBdr>
        <w:spacing w:after="80" w:before="260"/>
      </w:pPr>
      <w:r>
        <w:rPr>
          <w:rFonts w:ascii="Arial" w:cs="Arial" w:eastAsia="Arial" w:hAnsi="Arial"/>
          <w:b/>
          <w:bCs/>
          <w:color w:val="1B3F72"/>
          <w:sz w:val="22"/>
          <w:szCs w:val="22"/>
        </w:rPr>
        <w:t xml:space="preserve">Education &amp; Professional Development</w:t>
      </w:r>
    </w:p>
    <w:p>
      <w:pPr>
        <w:spacing w:after="50" w:before="80"/>
      </w:pPr>
      <w:r>
        <w:rPr>
          <w:rFonts w:ascii="Arial" w:cs="Arial" w:eastAsia="Arial" w:hAnsi="Arial"/>
          <w:b/>
          <w:bCs/>
          <w:sz w:val="20"/>
          <w:szCs w:val="20"/>
        </w:rPr>
        <w:t xml:space="preserve">BSc Computer Science</w:t>
      </w:r>
      <w:r>
        <w:rPr>
          <w:rFonts w:ascii="Arial" w:cs="Arial" w:eastAsia="Arial" w:hAnsi="Arial"/>
          <w:color w:val="555555"/>
          <w:sz w:val="20"/>
          <w:szCs w:val="20"/>
        </w:rPr>
        <w:t xml:space="preserve">  |  University of Manchester  |  1996</w:t>
      </w:r>
    </w:p>
    <w:p>
      <w:pPr>
        <w:spacing w:after="80" w:before="30"/>
      </w:pPr>
      <w:r>
        <w:rPr>
          <w:rFonts w:ascii="Arial" w:cs="Arial" w:eastAsia="Arial" w:hAnsi="Arial"/>
          <w:color w:val="444444"/>
          <w:sz w:val="18"/>
          <w:szCs w:val="18"/>
        </w:rPr>
        <w:t xml:space="preserve">ISO 27001 Lead Implementer (Nova Pangaea Technologies, 2023-24)  |  NIS Regulations — Operator of Essential Services Compliance (EDF Renewables, 2023)  |  NCSC Cyber Assessment Framework — CAF (EDF Renewables, 2023)  |  Cyber Essentials Plus (Nova Pangaea Technologies, 2024)  |  ICAEW AML — Anti-Money Laundering (Armstrong Watson, 2024-25)  |  PCI-DSS 4.0 (ghd / Missguided, 2009-15)  |  COSHH — Hazardous Substances &amp; Safety (Nova Pangaea / EDF Renewables, 2023-24)  |  SAP Certified &amp; Trained Trainer (Philips Semiconductors, 1995-97)</w:t>
      </w:r>
    </w:p>
    <w:sectPr>
      <w:pgSz w:w="11906" w:h="16838" w:orient="portrait"/>
      <w:pgMar w:top="820" w:right="820" w:bottom="8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190"/>
      </w:pPr>
    </w:lvl>
  </w:abstractNum>
  <w:abstractNum w:abstractNumId="3" w15:restartNumberingAfterBreak="0">
    <w:multiLevelType w:val="hybridMultilevel"/>
    <w:lvl w:ilvl="0" w15:tentative="1">
      <w:start w:val="1"/>
      <w:numFmt w:val="bullet"/>
      <w:lvlText w:val="✓"/>
      <w:lvlJc w:val="left"/>
      <w:pPr>
        <w:ind w:left="380" w:hanging="19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2026-05-17T17:26:04.105Z</dcterms:created>
  <dcterms:modified xsi:type="dcterms:W3CDTF">2026-05-17T17:26:04.124Z</dcterms:modified>
</cp:coreProperties>
</file>

<file path=docProps/custom.xml><?xml version="1.0" encoding="utf-8"?>
<Properties xmlns="http://schemas.openxmlformats.org/officeDocument/2006/custom-properties" xmlns:vt="http://schemas.openxmlformats.org/officeDocument/2006/docPropsVTypes"/>
</file>