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B2545"/>
          <w:sz w:val="56"/>
          <w:szCs w:val="56"/>
        </w:rPr>
        <w:t xml:space="preserve">RICHARD PRIEST</w:t>
      </w:r>
    </w:p>
    <w:p>
      <w:pPr>
        <w:spacing w:before="0" w:after="60"/>
      </w:pPr>
      <w:r>
        <w:rPr>
          <w:rFonts w:ascii="Arial" w:cs="Arial" w:eastAsia="Arial" w:hAnsi="Arial"/>
          <w:color w:val="2A5080"/>
          <w:sz w:val="22"/>
          <w:szCs w:val="22"/>
        </w:rPr>
        <w:t xml:space="preserve">Senior Technology Executive  ·  IT Director  ·  CISSP  ·  PMP  ·  PRINCE2  ·  ITIL v3  ·  BSc Computer Science</w:t>
      </w:r>
    </w:p>
    <w:p>
      <w:pPr>
        <w:pBdr>
          <w:bottom w:val="single" w:color="4A7C1F" w:sz="12" w:space="0"/>
        </w:pBdr>
        <w:spacing w:before="0" w:after="60"/>
      </w:pPr>
      <w:r>
        <w:rPr>
          <w:rFonts w:ascii="Arial" w:cs="Arial" w:eastAsia="Arial" w:hAnsi="Arial"/>
          <w:color w:val="888888"/>
          <w:sz w:val="21"/>
          <w:szCs w:val="21"/>
        </w:rPr>
        <w:t xml:space="preserve">Northern England  ·  Available UK-wide &amp; Remote  ·  linkedin.com/in/richard-priest</w:t>
      </w:r>
    </w:p>
    <w:p>
      <w:pPr>
        <w:spacing w:before="0" w:after="80"/>
      </w:pPr>
    </w:p>
    <w:p>
      <w:pPr>
        <w:pBdr>
          <w:bottom w:val="single" w:color="4A7C1F" w:sz="8" w:space="2"/>
        </w:pBdr>
        <w:spacing w:before="260" w:after="80"/>
      </w:pPr>
      <w:r>
        <w:rPr>
          <w:rFonts w:ascii="Arial" w:cs="Arial" w:eastAsia="Arial" w:hAnsi="Arial"/>
          <w:b/>
          <w:bCs/>
          <w:caps/>
          <w:color w:val="4A7C1F"/>
          <w:sz w:val="26"/>
          <w:szCs w:val="26"/>
        </w:rPr>
        <w:t xml:space="preserve">Professional Summary</w:t>
      </w:r>
    </w:p>
    <w:p>
      <w:pPr>
        <w:spacing w:before="0" w:after="80"/>
      </w:pPr>
      <w:r>
        <w:rPr>
          <w:rFonts w:ascii="Arial" w:cs="Arial" w:eastAsia="Arial" w:hAnsi="Arial"/>
          <w:color w:val="555555"/>
          <w:sz w:val="21"/>
          <w:szCs w:val="21"/>
        </w:rPr>
        <w:t xml:space="preserve">Senior Technology Executive and IT Director with 37 years of progressive leadership across 14 sectors, from semiconductor manufacturing and defence through to cleantech, renewable energy, property, veterinary healthcare, and professional services. Proven track record of delivering complex digital transformation programmes, leading high-performing IT teams, and operating at board level across public, private, and private-equity-backed organisations. Holder of CISSP, PMP, PRINCE2 Practitioner, and ITIL v3 Foundation certifications with a BSc in Computer Science from the University of Manchester. Experienced across Agile, Waterfall, and hybrid delivery methodologies, with practical application of prioritisation frameworks including MoSCoW, RICE, ICE, Cost of Delay (CoD), Impact-Effort Matrix, Eisenhower Matrix, and User Story Mapping. Six Sigma (DMAIC) applied in a manufacturing context at Philips Semiconductors.</w:t>
      </w:r>
    </w:p>
    <w:p>
      <w:pPr>
        <w:spacing w:before="0" w:after="80"/>
      </w:pPr>
    </w:p>
    <w:p>
      <w:pPr>
        <w:pBdr>
          <w:bottom w:val="single" w:color="4A7C1F" w:sz="8" w:space="2"/>
        </w:pBdr>
        <w:spacing w:before="260" w:after="80"/>
      </w:pPr>
      <w:r>
        <w:rPr>
          <w:rFonts w:ascii="Arial" w:cs="Arial" w:eastAsia="Arial" w:hAnsi="Arial"/>
          <w:b/>
          <w:bCs/>
          <w:caps/>
          <w:color w:val="4A7C1F"/>
          <w:sz w:val="26"/>
          <w:szCs w:val="26"/>
        </w:rPr>
        <w:t xml:space="preserve">Professional Certifications</w:t>
      </w:r>
    </w:p>
    <w:p>
      <w:pPr>
        <w:spacing w:before="0" w:after="60"/>
      </w:pPr>
      <w:r>
        <w:rPr>
          <w:rFonts w:ascii="Arial" w:cs="Arial" w:eastAsia="Arial" w:hAnsi="Arial"/>
          <w:b/>
          <w:bCs/>
          <w:color w:val="0B2545"/>
          <w:sz w:val="22"/>
          <w:szCs w:val="22"/>
        </w:rPr>
        <w:t xml:space="preserve">CISSP  </w:t>
      </w:r>
      <w:r>
        <w:rPr>
          <w:rFonts w:ascii="Arial" w:cs="Arial" w:eastAsia="Arial" w:hAnsi="Arial"/>
          <w:color w:val="555555"/>
          <w:sz w:val="21"/>
          <w:szCs w:val="21"/>
        </w:rPr>
        <w:t xml:space="preserve">Certified Information Systems Security Professional  </w:t>
      </w:r>
      <w:r>
        <w:rPr>
          <w:rFonts w:ascii="Arial" w:cs="Arial" w:eastAsia="Arial" w:hAnsi="Arial"/>
          <w:color w:val="888888"/>
          <w:sz w:val="20"/>
          <w:szCs w:val="20"/>
        </w:rPr>
        <w:t xml:space="preserve">(ISC²)</w:t>
      </w:r>
    </w:p>
    <w:p>
      <w:pPr>
        <w:spacing w:before="0" w:after="60"/>
      </w:pPr>
      <w:r>
        <w:rPr>
          <w:rFonts w:ascii="Arial" w:cs="Arial" w:eastAsia="Arial" w:hAnsi="Arial"/>
          <w:b/>
          <w:bCs/>
          <w:color w:val="0B2545"/>
          <w:sz w:val="22"/>
          <w:szCs w:val="22"/>
        </w:rPr>
        <w:t xml:space="preserve">PMP  </w:t>
      </w:r>
      <w:r>
        <w:rPr>
          <w:rFonts w:ascii="Arial" w:cs="Arial" w:eastAsia="Arial" w:hAnsi="Arial"/>
          <w:color w:val="555555"/>
          <w:sz w:val="21"/>
          <w:szCs w:val="21"/>
        </w:rPr>
        <w:t xml:space="preserve">Project Management Professional  </w:t>
      </w:r>
      <w:r>
        <w:rPr>
          <w:rFonts w:ascii="Arial" w:cs="Arial" w:eastAsia="Arial" w:hAnsi="Arial"/>
          <w:color w:val="888888"/>
          <w:sz w:val="20"/>
          <w:szCs w:val="20"/>
        </w:rPr>
        <w:t xml:space="preserve">(PMI)</w:t>
      </w:r>
    </w:p>
    <w:p>
      <w:pPr>
        <w:spacing w:before="0" w:after="60"/>
      </w:pPr>
      <w:r>
        <w:rPr>
          <w:rFonts w:ascii="Arial" w:cs="Arial" w:eastAsia="Arial" w:hAnsi="Arial"/>
          <w:b/>
          <w:bCs/>
          <w:color w:val="0B2545"/>
          <w:sz w:val="22"/>
          <w:szCs w:val="22"/>
        </w:rPr>
        <w:t xml:space="preserve">PRINCE2  </w:t>
      </w:r>
      <w:r>
        <w:rPr>
          <w:rFonts w:ascii="Arial" w:cs="Arial" w:eastAsia="Arial" w:hAnsi="Arial"/>
          <w:color w:val="555555"/>
          <w:sz w:val="21"/>
          <w:szCs w:val="21"/>
        </w:rPr>
        <w:t xml:space="preserve">PRINCE2 Practitioner  </w:t>
      </w:r>
      <w:r>
        <w:rPr>
          <w:rFonts w:ascii="Arial" w:cs="Arial" w:eastAsia="Arial" w:hAnsi="Arial"/>
          <w:color w:val="888888"/>
          <w:sz w:val="20"/>
          <w:szCs w:val="20"/>
        </w:rPr>
        <w:t xml:space="preserve">(AXELOS / PeopleCert)</w:t>
      </w:r>
    </w:p>
    <w:p>
      <w:pPr>
        <w:spacing w:before="0" w:after="60"/>
      </w:pPr>
      <w:r>
        <w:rPr>
          <w:rFonts w:ascii="Arial" w:cs="Arial" w:eastAsia="Arial" w:hAnsi="Arial"/>
          <w:b/>
          <w:bCs/>
          <w:color w:val="0B2545"/>
          <w:sz w:val="22"/>
          <w:szCs w:val="22"/>
        </w:rPr>
        <w:t xml:space="preserve">ITIL v3  </w:t>
      </w:r>
      <w:r>
        <w:rPr>
          <w:rFonts w:ascii="Arial" w:cs="Arial" w:eastAsia="Arial" w:hAnsi="Arial"/>
          <w:color w:val="555555"/>
          <w:sz w:val="21"/>
          <w:szCs w:val="21"/>
        </w:rPr>
        <w:t xml:space="preserve">ITIL v3 Foundation  </w:t>
      </w:r>
      <w:r>
        <w:rPr>
          <w:rFonts w:ascii="Arial" w:cs="Arial" w:eastAsia="Arial" w:hAnsi="Arial"/>
          <w:color w:val="888888"/>
          <w:sz w:val="20"/>
          <w:szCs w:val="20"/>
        </w:rPr>
        <w:t xml:space="preserve">(AXELOS / PeopleCert)</w:t>
      </w:r>
    </w:p>
    <w:p>
      <w:pPr>
        <w:spacing w:before="0" w:after="60"/>
      </w:pPr>
      <w:r>
        <w:rPr>
          <w:rFonts w:ascii="Arial" w:cs="Arial" w:eastAsia="Arial" w:hAnsi="Arial"/>
          <w:b/>
          <w:bCs/>
          <w:color w:val="0B2545"/>
          <w:sz w:val="22"/>
          <w:szCs w:val="22"/>
        </w:rPr>
        <w:t xml:space="preserve">BSc  </w:t>
      </w:r>
      <w:r>
        <w:rPr>
          <w:rFonts w:ascii="Arial" w:cs="Arial" w:eastAsia="Arial" w:hAnsi="Arial"/>
          <w:color w:val="555555"/>
          <w:sz w:val="21"/>
          <w:szCs w:val="21"/>
        </w:rPr>
        <w:t xml:space="preserve">BSc Computer Science  </w:t>
      </w:r>
      <w:r>
        <w:rPr>
          <w:rFonts w:ascii="Arial" w:cs="Arial" w:eastAsia="Arial" w:hAnsi="Arial"/>
          <w:color w:val="888888"/>
          <w:sz w:val="20"/>
          <w:szCs w:val="20"/>
        </w:rPr>
        <w:t xml:space="preserve">(University of Manchester)</w:t>
      </w:r>
    </w:p>
    <w:p>
      <w:pPr>
        <w:spacing w:before="0" w:after="80"/>
      </w:pPr>
    </w:p>
    <w:p>
      <w:pPr>
        <w:pBdr>
          <w:bottom w:val="single" w:color="4A7C1F" w:sz="8" w:space="2"/>
        </w:pBdr>
        <w:spacing w:before="260" w:after="80"/>
      </w:pPr>
      <w:r>
        <w:rPr>
          <w:rFonts w:ascii="Arial" w:cs="Arial" w:eastAsia="Arial" w:hAnsi="Arial"/>
          <w:b/>
          <w:bCs/>
          <w:caps/>
          <w:color w:val="4A7C1F"/>
          <w:sz w:val="26"/>
          <w:szCs w:val="26"/>
        </w:rPr>
        <w:t xml:space="preserve">Career History</w:t>
      </w:r>
    </w:p>
    <w:p>
      <w:pPr>
        <w:spacing w:before="260" w:after="30"/>
      </w:pPr>
      <w:r>
        <w:rPr>
          <w:rFonts w:ascii="Arial" w:cs="Arial" w:eastAsia="Arial" w:hAnsi="Arial"/>
          <w:b/>
          <w:bCs/>
          <w:color w:val="0B2545"/>
          <w:sz w:val="26"/>
          <w:szCs w:val="26"/>
        </w:rPr>
        <w:t xml:space="preserve">Head of Technology</w:t>
      </w:r>
    </w:p>
    <w:p>
      <w:pPr>
        <w:spacing w:before="0" w:after="20"/>
      </w:pPr>
      <w:r>
        <w:rPr>
          <w:rFonts w:ascii="Arial" w:cs="Arial" w:eastAsia="Arial" w:hAnsi="Arial"/>
          <w:b/>
          <w:bCs/>
          <w:color w:val="2A5080"/>
          <w:sz w:val="23"/>
          <w:szCs w:val="23"/>
        </w:rPr>
        <w:t xml:space="preserve">Armstrong Watson LLP</w:t>
      </w:r>
      <w:r>
        <w:rPr>
          <w:rFonts w:ascii="Arial" w:cs="Arial" w:eastAsia="Arial" w:hAnsi="Arial"/>
          <w:color w:val="888888"/>
          <w:sz w:val="22"/>
          <w:szCs w:val="22"/>
        </w:rPr>
        <w:t xml:space="preserve">  |  </w:t>
      </w:r>
      <w:r>
        <w:rPr>
          <w:rFonts w:ascii="Arial" w:cs="Arial" w:eastAsia="Arial" w:hAnsi="Arial"/>
          <w:color w:val="888888"/>
          <w:sz w:val="22"/>
          <w:szCs w:val="22"/>
        </w:rPr>
        <w:t xml:space="preserve">Accountancy &amp; Financial Services</w:t>
      </w:r>
    </w:p>
    <w:p>
      <w:pPr>
        <w:spacing w:before="0" w:after="80"/>
      </w:pPr>
      <w:r>
        <w:rPr>
          <w:rFonts w:ascii="Arial" w:cs="Arial" w:eastAsia="Arial" w:hAnsi="Arial"/>
          <w:b/>
          <w:bCs/>
          <w:color w:val="555555"/>
          <w:sz w:val="21"/>
          <w:szCs w:val="21"/>
        </w:rPr>
        <w:t xml:space="preserve">October 2024 – May 2025</w:t>
      </w:r>
      <w:r>
        <w:rPr>
          <w:rFonts w:ascii="Arial" w:cs="Arial" w:eastAsia="Arial" w:hAnsi="Arial"/>
          <w:sz w:val="21"/>
          <w:szCs w:val="21"/>
        </w:rPr>
        <w:t xml:space="preserve">   </w:t>
      </w:r>
      <w:r>
        <w:rPr>
          <w:rFonts w:ascii="Arial" w:cs="Arial" w:eastAsia="Arial" w:hAnsi="Arial"/>
          <w:color w:val="888888"/>
          <w:sz w:val="21"/>
          <w:szCs w:val="21"/>
        </w:rPr>
        <w:t xml:space="preserve">Northern England &amp; Scotland (19 offices)</w:t>
      </w:r>
    </w:p>
    <w:p>
      <w:pPr>
        <w:spacing w:before="0" w:after="80"/>
      </w:pPr>
      <w:r>
        <w:rPr>
          <w:rFonts w:ascii="Arial" w:cs="Arial" w:eastAsia="Arial" w:hAnsi="Arial"/>
          <w:color w:val="555555"/>
          <w:sz w:val="21"/>
          <w:szCs w:val="21"/>
        </w:rPr>
        <w:t xml:space="preserve">Led the firm's technology strategy and digital transformation during a period of significant organisational growth, overseeing IT infrastructure, systems architecture, cyber security, and technology governance across a 19-office network. Directed the integration of newly acquired practice IT environments, managing data migration, network connectivity, and business continuity following active M&amp;A activity.</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Championed Microsoft 365 and cloud adoption strategy across 800+ colleagues at 19 regional offices, using an Impact-Effort Matrix to sequence the rollout phases</w:t>
      </w:r>
    </w:p>
    <w:p>
      <w:pPr>
        <w:pStyle w:val="ListParagraph"/>
        <w:numPr>
          <w:ilvl w:val="0"/>
          <w:numId w:val="2"/>
        </w:numPr>
        <w:spacing w:before="0" w:after="60"/>
      </w:pPr>
      <w:r>
        <w:rPr>
          <w:rFonts w:ascii="Arial" w:cs="Arial" w:eastAsia="Arial" w:hAnsi="Arial"/>
          <w:color w:val="555555"/>
          <w:sz w:val="21"/>
          <w:szCs w:val="21"/>
        </w:rPr>
        <w:t xml:space="preserve">Developed policies and controls aligned with NCSC guidelines, GDPR obligations, and FCA regulatory requirements</w:t>
      </w:r>
    </w:p>
    <w:p>
      <w:pPr>
        <w:pStyle w:val="ListParagraph"/>
        <w:numPr>
          <w:ilvl w:val="0"/>
          <w:numId w:val="2"/>
        </w:numPr>
        <w:spacing w:before="0" w:after="60"/>
      </w:pPr>
      <w:r>
        <w:rPr>
          <w:rFonts w:ascii="Arial" w:cs="Arial" w:eastAsia="Arial" w:hAnsi="Arial"/>
          <w:color w:val="555555"/>
          <w:sz w:val="21"/>
          <w:szCs w:val="21"/>
        </w:rPr>
        <w:t xml:space="preserve">Prioritised the Copilot agent development backlog using RICE scoring (Reach, Impact, Confidence, Effort) and ICE scoring to rank agent features by colleague value</w:t>
      </w:r>
    </w:p>
    <w:p>
      <w:pPr>
        <w:pStyle w:val="ListParagraph"/>
        <w:numPr>
          <w:ilvl w:val="0"/>
          <w:numId w:val="2"/>
        </w:numPr>
        <w:spacing w:before="0" w:after="60"/>
      </w:pPr>
      <w:r>
        <w:rPr>
          <w:rFonts w:ascii="Arial" w:cs="Arial" w:eastAsia="Arial" w:hAnsi="Arial"/>
          <w:color w:val="555555"/>
          <w:sz w:val="21"/>
          <w:szCs w:val="21"/>
        </w:rPr>
        <w:t xml:space="preserve">Applied User Story Mapping to define colleague journeys for the SharePoint Copilot agents, ensuring requirements were captured from the practitioner perspective before build began</w:t>
      </w:r>
    </w:p>
    <w:p>
      <w:pPr>
        <w:pStyle w:val="ListParagraph"/>
        <w:numPr>
          <w:ilvl w:val="0"/>
          <w:numId w:val="2"/>
        </w:numPr>
        <w:spacing w:before="0" w:after="60"/>
      </w:pPr>
      <w:r>
        <w:rPr>
          <w:rFonts w:ascii="Arial" w:cs="Arial" w:eastAsia="Arial" w:hAnsi="Arial"/>
          <w:color w:val="555555"/>
          <w:sz w:val="21"/>
          <w:szCs w:val="21"/>
        </w:rPr>
        <w:t xml:space="preserve">Used the Eisenhower Matrix to triage competing IT demands across 19 offices, distinguishing urgent-and-important security issues from important-but-not-urgent infrastructure improvements</w:t>
      </w:r>
    </w:p>
    <w:p>
      <w:pPr>
        <w:pStyle w:val="ListParagraph"/>
        <w:numPr>
          <w:ilvl w:val="0"/>
          <w:numId w:val="2"/>
        </w:numPr>
        <w:spacing w:before="0" w:after="60"/>
      </w:pPr>
      <w:r>
        <w:rPr>
          <w:rFonts w:ascii="Arial" w:cs="Arial" w:eastAsia="Arial" w:hAnsi="Arial"/>
          <w:color w:val="555555"/>
          <w:sz w:val="21"/>
          <w:szCs w:val="21"/>
        </w:rPr>
        <w:t xml:space="preserve">Applied Cost of Delay (CoD) analysis to the Copilot agent project to quantify the ongoing business cost of colleagues spending two weeks per document retrieval task, making the case for accelerated investment</w:t>
      </w:r>
    </w:p>
    <w:p>
      <w:pPr>
        <w:pStyle w:val="ListParagraph"/>
        <w:numPr>
          <w:ilvl w:val="0"/>
          <w:numId w:val="2"/>
        </w:numPr>
        <w:spacing w:before="0" w:after="60"/>
      </w:pPr>
      <w:r>
        <w:rPr>
          <w:rFonts w:ascii="Arial" w:cs="Arial" w:eastAsia="Arial" w:hAnsi="Arial"/>
          <w:color w:val="555555"/>
          <w:sz w:val="21"/>
          <w:szCs w:val="21"/>
        </w:rPr>
        <w:t xml:space="preserve">Managed IT budget planning using an Agile iterative delivery model, delivering cost efficiencies through contract renegotiation and platform consolidation</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Microsoft Copilot Agents to Retrieve Client Documents Across 36,000 SharePoint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Armstrong Watson holds up to 1,500 documents per client across a SharePoint estate covering approximately 36,000 clients — a total document library running into the tens of millions of files. Colleagues needing to locate specific documents for a client engagement had to navigate manually through folder structures and apply individual searches, a process that routinely took up to two weeks per request. This was consuming significant colleague time and delaying the delivery of client services.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Head of Technology, I was asked to find a scalable solution that would allow colleagues to retrieve relevant client documents from SharePoint quickly and without specialist technical knowledge — reducing the time cost of document retrieval and freeing colleagues to focus on billable and client-facing work.</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identified Microsoft Copilot's agent capability as the appropriate solution and led a project to design and deploy a set of Copilot agents integrated directly with the firm's SharePoint environment. Each agent was configured to accept structured parameters from the colleague — such as client reference, document type, date range, or subject matter — and execute a targeted search across the SharePoint library, surfacing relevant documents in a single consolidated response. I worked with the Microsoft 365 team on the technical implementation, with compliance and data governance leads to ensure the agents operated within GDPR and FCA information security boundaries, and with practice teams to refine the search parameters to reflect real-world query patterns.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Document retrieval time was reduced from an average of approximately two weeks to under two minutes. Colleagues across the firm were able to locate and act on client documentation almost immediately, freeing up substantial capacity that had previously been absorbed by manual search activity. The Copilot agent deployment was adopted as a firm-wide productivity tool and demonstrated the practical value of AI-assisted workflows within a regulated professional services environment.</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Digital Transformation  ·  Agile  ·  Cloud Computing  ·  Microsoft 365  ·  Copilot Agents  ·  SharePoint  ·  Cyber Security  ·  NCSC  ·  GDPR  ·  FCA Compliance  ·  Making Tax Digital  ·  M&amp;A IT Integration  ·  IT Governance  ·  Risk Management  ·  Vendor Management  ·  RICE Scoring  ·  ICE Scoring  ·  User Story Mapping  ·  Impact-Effort Matrix  ·  Eisenhower Matrix  ·  Cost of Delay (CoD)</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FRC  ·  ICAEW  ·  ICAS  ·  FCA  ·  ICO  ·  ISO 27001  ·  NIST</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Nova Pangaea Technologies (UK) Ltd</w:t>
      </w:r>
      <w:r>
        <w:rPr>
          <w:rFonts w:ascii="Arial" w:cs="Arial" w:eastAsia="Arial" w:hAnsi="Arial"/>
          <w:color w:val="888888"/>
          <w:sz w:val="22"/>
          <w:szCs w:val="22"/>
        </w:rPr>
        <w:t xml:space="preserve">  |  </w:t>
      </w:r>
      <w:r>
        <w:rPr>
          <w:rFonts w:ascii="Arial" w:cs="Arial" w:eastAsia="Arial" w:hAnsi="Arial"/>
          <w:color w:val="888888"/>
          <w:sz w:val="22"/>
          <w:szCs w:val="22"/>
        </w:rPr>
        <w:t xml:space="preserve">Cleantech Manufacturing / Renewable Aviation</w:t>
      </w:r>
    </w:p>
    <w:p>
      <w:pPr>
        <w:spacing w:before="0" w:after="80"/>
      </w:pPr>
      <w:r>
        <w:rPr>
          <w:rFonts w:ascii="Arial" w:cs="Arial" w:eastAsia="Arial" w:hAnsi="Arial"/>
          <w:b/>
          <w:bCs/>
          <w:color w:val="555555"/>
          <w:sz w:val="21"/>
          <w:szCs w:val="21"/>
        </w:rPr>
        <w:t xml:space="preserve">September 2023 – September 2024</w:t>
      </w:r>
      <w:r>
        <w:rPr>
          <w:rFonts w:ascii="Arial" w:cs="Arial" w:eastAsia="Arial" w:hAnsi="Arial"/>
          <w:sz w:val="21"/>
          <w:szCs w:val="21"/>
        </w:rPr>
        <w:t xml:space="preserve">   </w:t>
      </w:r>
      <w:r>
        <w:rPr>
          <w:rFonts w:ascii="Arial" w:cs="Arial" w:eastAsia="Arial" w:hAnsi="Arial"/>
          <w:color w:val="888888"/>
          <w:sz w:val="21"/>
          <w:szCs w:val="21"/>
        </w:rPr>
        <w:t xml:space="preserve">Wilton International, Teesside</w:t>
      </w:r>
    </w:p>
    <w:p>
      <w:pPr>
        <w:spacing w:before="0" w:after="80"/>
      </w:pPr>
      <w:r>
        <w:rPr>
          <w:rFonts w:ascii="Arial" w:cs="Arial" w:eastAsia="Arial" w:hAnsi="Arial"/>
          <w:color w:val="555555"/>
          <w:sz w:val="21"/>
          <w:szCs w:val="21"/>
        </w:rPr>
        <w:t xml:space="preserve">Served as IT Director for Nova Pangaea Technologies (NPT), developer of the proprietary REFNOVA® process — converting non-food biomass into second-generation bioethanol and biochar for sustainable aviation fuel and carbon removal. Joined during a critical scale-up phase as the business secured a $29 million funding round and progressed planning for NOVAONE, the UK's first second-generation bioethanol commercial plant within the Teesside Freeport zone, under Project Speedbird in partnership with British Airways and LanzaJet.</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Designed and implemented a scalable IT infrastructure roadmap, applying an Impact-Effort Matrix to sequence investment priorities in line with the NOVAONE plant development milestones</w:t>
      </w:r>
    </w:p>
    <w:p>
      <w:pPr>
        <w:pStyle w:val="ListParagraph"/>
        <w:numPr>
          <w:ilvl w:val="0"/>
          <w:numId w:val="2"/>
        </w:numPr>
        <w:spacing w:before="0" w:after="60"/>
      </w:pPr>
      <w:r>
        <w:rPr>
          <w:rFonts w:ascii="Arial" w:cs="Arial" w:eastAsia="Arial" w:hAnsi="Arial"/>
          <w:color w:val="555555"/>
          <w:sz w:val="21"/>
          <w:szCs w:val="21"/>
        </w:rPr>
        <w:t xml:space="preserve">Used MoSCoW prioritisation to define Must-have, Should-have, Could-have, and Won't-have requirements within the ICT roadmap, ensuring investor-facing deliverables were protected</w:t>
      </w:r>
    </w:p>
    <w:p>
      <w:pPr>
        <w:pStyle w:val="ListParagraph"/>
        <w:numPr>
          <w:ilvl w:val="0"/>
          <w:numId w:val="2"/>
        </w:numPr>
        <w:spacing w:before="0" w:after="60"/>
      </w:pPr>
      <w:r>
        <w:rPr>
          <w:rFonts w:ascii="Arial" w:cs="Arial" w:eastAsia="Arial" w:hAnsi="Arial"/>
          <w:color w:val="555555"/>
          <w:sz w:val="21"/>
          <w:szCs w:val="21"/>
        </w:rPr>
        <w:t xml:space="preserve">Applied Cost of Delay (CoD) analysis to the cyber security framework project — quantifying the financial and reputational risk of delaying investor-grade security governance — to justify accelerated delivery over a ten-week window</w:t>
      </w:r>
    </w:p>
    <w:p>
      <w:pPr>
        <w:pStyle w:val="ListParagraph"/>
        <w:numPr>
          <w:ilvl w:val="0"/>
          <w:numId w:val="2"/>
        </w:numPr>
        <w:spacing w:before="0" w:after="60"/>
      </w:pPr>
      <w:r>
        <w:rPr>
          <w:rFonts w:ascii="Arial" w:cs="Arial" w:eastAsia="Arial" w:hAnsi="Arial"/>
          <w:color w:val="555555"/>
          <w:sz w:val="21"/>
          <w:szCs w:val="21"/>
        </w:rPr>
        <w:t xml:space="preserve">Implemented ISO 27001, Cyber Essentials Plus, and UK GDPR frameworks to satisfy institutional investor due diligence</w:t>
      </w:r>
    </w:p>
    <w:p>
      <w:pPr>
        <w:pStyle w:val="ListParagraph"/>
        <w:numPr>
          <w:ilvl w:val="0"/>
          <w:numId w:val="2"/>
        </w:numPr>
        <w:spacing w:before="0" w:after="60"/>
      </w:pPr>
      <w:r>
        <w:rPr>
          <w:rFonts w:ascii="Arial" w:cs="Arial" w:eastAsia="Arial" w:hAnsi="Arial"/>
          <w:color w:val="555555"/>
          <w:sz w:val="21"/>
          <w:szCs w:val="21"/>
        </w:rPr>
        <w:t xml:space="preserve">Used the Eisenhower Matrix to manage workload during the rapid scale-up phase, ensuring critical security and infrastructure tasks were completed before strategic roadmap work</w:t>
      </w:r>
    </w:p>
    <w:p>
      <w:pPr>
        <w:pStyle w:val="ListParagraph"/>
        <w:numPr>
          <w:ilvl w:val="0"/>
          <w:numId w:val="2"/>
        </w:numPr>
        <w:spacing w:before="0" w:after="60"/>
      </w:pPr>
      <w:r>
        <w:rPr>
          <w:rFonts w:ascii="Arial" w:cs="Arial" w:eastAsia="Arial" w:hAnsi="Arial"/>
          <w:color w:val="555555"/>
          <w:sz w:val="21"/>
          <w:szCs w:val="21"/>
        </w:rPr>
        <w:t xml:space="preserve">Established an MSP network using Agile supplier onboarding sprints, enabling rapid capacity scale-up without long procurement lead times</w:t>
      </w:r>
    </w:p>
    <w:p>
      <w:pPr>
        <w:pStyle w:val="ListParagraph"/>
        <w:numPr>
          <w:ilvl w:val="0"/>
          <w:numId w:val="2"/>
        </w:numPr>
        <w:spacing w:before="0" w:after="60"/>
      </w:pPr>
      <w:r>
        <w:rPr>
          <w:rFonts w:ascii="Arial" w:cs="Arial" w:eastAsia="Arial" w:hAnsi="Arial"/>
          <w:color w:val="555555"/>
          <w:sz w:val="21"/>
          <w:szCs w:val="21"/>
        </w:rPr>
        <w:t xml:space="preserve">Managed IT components of business continuity planning (BCP) and disaster recovery (DR) at Wilton International</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Building an ICT Roadmap and MSP Network from Scratch in a High-growth Cleantech Scale-up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When I joined Nova Pangaea Technologies, there was no ICT roadmap in place — no documented strategy, no planned investment programme, and no structured approach to technology procurement or supplier management. The business was growing rapidly, having secured a $29 million funding round, yet the IT function lacked the governance infrastructure needed to support that growth or to satisfy the due diligence expectations of institutional investors and government grant bodies.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the incoming IT Director, I needed to create an ICT roadmap from a standing start that would define the technology direction for the business, prioritise investment in line with the company's scale-up trajectory, and establish a supplier framework capable of delivering the technical capacity and expertise the organisation would require as headcount and operational complexity increased.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began with a full assessment of the existing IT environment — infrastructure, systems, security posture, and capability gaps — and used this as the foundation for a structured ICT roadmap covering a rolling three-year horizon. The roadmap was aligned to the company's operational milestones for the NOVAONE plant development programme and presented to the C-suite for sign-off. In parallel, I designed and implemented a managed service provider (MSP) network to supplement the internal IT function: identifying, evaluating, and onboarding specialist MSPs covering infrastructure management, cyber security, and end-user support. Each MSP engagement was governed by a formal SLA and contract framework, ensuring accountability and service quality as the business scaled.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Nova Pangaea had a formally documented and board-approved ICT roadmap within the first quarter of my tenure — the first in the company's history. The MSP network provided immediate uplift in IT support capacity and specialist expertise, removing dependency on ad hoc supplier arrangements. The combination of a clear roadmap and a structured MSP framework was cited positively during investor due diligence as evidence of operational maturity appropriate to a business at commercialisation stage.</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Agile  ·  MoSCoW  ·  Impact-Effort Matrix  ·  Eisenhower Matrix  ·  Cost of Delay (CoD)  ·  Cloud Computing  ·  Microsoft 365  ·  Google Cloud  ·  Cyber Security  ·  ISO 27001  ·  Cyber Essentials Plus  ·  UK GDPR  ·  OT Security  ·  IEC 62443  ·  LIMS Integration  ·  BCP/DR  ·  Vendor Management</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Environment Agency  ·  DESNZ (RTFO)  ·  ISO 14001  ·  ISO 50001  ·  ISO 22301  ·  IEC 62443  ·  HSE</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EDF Renewables UK &amp; Ireland</w:t>
      </w:r>
      <w:r>
        <w:rPr>
          <w:rFonts w:ascii="Arial" w:cs="Arial" w:eastAsia="Arial" w:hAnsi="Arial"/>
          <w:color w:val="888888"/>
          <w:sz w:val="22"/>
          <w:szCs w:val="22"/>
        </w:rPr>
        <w:t xml:space="preserve">  |  </w:t>
      </w:r>
      <w:r>
        <w:rPr>
          <w:rFonts w:ascii="Arial" w:cs="Arial" w:eastAsia="Arial" w:hAnsi="Arial"/>
          <w:color w:val="888888"/>
          <w:sz w:val="22"/>
          <w:szCs w:val="22"/>
        </w:rPr>
        <w:t xml:space="preserve">Renewable Energy (Onshore/Offshore Wind, Solar, BESS)</w:t>
      </w:r>
    </w:p>
    <w:p>
      <w:pPr>
        <w:spacing w:before="0" w:after="80"/>
      </w:pPr>
      <w:r>
        <w:rPr>
          <w:rFonts w:ascii="Arial" w:cs="Arial" w:eastAsia="Arial" w:hAnsi="Arial"/>
          <w:b/>
          <w:bCs/>
          <w:color w:val="555555"/>
          <w:sz w:val="21"/>
          <w:szCs w:val="21"/>
        </w:rPr>
        <w:t xml:space="preserve">March 2023 – August 2023</w:t>
      </w:r>
      <w:r>
        <w:rPr>
          <w:rFonts w:ascii="Arial" w:cs="Arial" w:eastAsia="Arial" w:hAnsi="Arial"/>
          <w:sz w:val="21"/>
          <w:szCs w:val="21"/>
        </w:rPr>
        <w:t xml:space="preserve">   </w:t>
      </w:r>
      <w:r>
        <w:rPr>
          <w:rFonts w:ascii="Arial" w:cs="Arial" w:eastAsia="Arial" w:hAnsi="Arial"/>
          <w:color w:val="888888"/>
          <w:sz w:val="21"/>
          <w:szCs w:val="21"/>
        </w:rPr>
        <w:t xml:space="preserve">UK &amp; Ireland (with EDF Group liaison, Paris)</w:t>
      </w:r>
    </w:p>
    <w:p>
      <w:pPr>
        <w:spacing w:before="0" w:after="80"/>
      </w:pPr>
      <w:r>
        <w:rPr>
          <w:rFonts w:ascii="Arial" w:cs="Arial" w:eastAsia="Arial" w:hAnsi="Arial"/>
          <w:color w:val="555555"/>
          <w:sz w:val="21"/>
          <w:szCs w:val="21"/>
        </w:rPr>
        <w:t xml:space="preserve">Led the IT function for EDF Renewables UK &amp; Ireland — a subsidiary of the French state-owned EDF Group operating onshore/offshore wind, solar, and battery energy storage systems targeting 10 GW by 2035. Served as senior technology decision-maker reporting to the Executive Leadership Team, driving a multi-year IT strategy aligned to the company's renewable energy expansion roadmap.</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Oversaw IT/OT convergence with specific accountability for SCADA integration and asset performance management across wind and BESS sites</w:t>
      </w:r>
    </w:p>
    <w:p>
      <w:pPr>
        <w:pStyle w:val="ListParagraph"/>
        <w:numPr>
          <w:ilvl w:val="0"/>
          <w:numId w:val="2"/>
        </w:numPr>
        <w:spacing w:before="0" w:after="60"/>
      </w:pPr>
      <w:r>
        <w:rPr>
          <w:rFonts w:ascii="Arial" w:cs="Arial" w:eastAsia="Arial" w:hAnsi="Arial"/>
          <w:color w:val="555555"/>
          <w:sz w:val="21"/>
          <w:szCs w:val="21"/>
        </w:rPr>
        <w:t xml:space="preserve">Spearheaded a cyber security enhancement programme aligned with NCSC Cyber Essentials Plus and NIS Regulations, introducing SOC monitoring capability</w:t>
      </w:r>
    </w:p>
    <w:p>
      <w:pPr>
        <w:pStyle w:val="ListParagraph"/>
        <w:numPr>
          <w:ilvl w:val="0"/>
          <w:numId w:val="2"/>
        </w:numPr>
        <w:spacing w:before="0" w:after="60"/>
      </w:pPr>
      <w:r>
        <w:rPr>
          <w:rFonts w:ascii="Arial" w:cs="Arial" w:eastAsia="Arial" w:hAnsi="Arial"/>
          <w:color w:val="555555"/>
          <w:sz w:val="21"/>
          <w:szCs w:val="21"/>
        </w:rPr>
        <w:t xml:space="preserve">Managed cloud migration from on-premise to Microsoft Azure/365 using an Agile delivery model, improving resilience for office and field-based teams</w:t>
      </w:r>
    </w:p>
    <w:p>
      <w:pPr>
        <w:pStyle w:val="ListParagraph"/>
        <w:numPr>
          <w:ilvl w:val="0"/>
          <w:numId w:val="2"/>
        </w:numPr>
        <w:spacing w:before="0" w:after="60"/>
      </w:pPr>
      <w:r>
        <w:rPr>
          <w:rFonts w:ascii="Arial" w:cs="Arial" w:eastAsia="Arial" w:hAnsi="Arial"/>
          <w:color w:val="555555"/>
          <w:sz w:val="21"/>
          <w:szCs w:val="21"/>
        </w:rPr>
        <w:t xml:space="preserve">Led the project tracking integration programme using MoSCoW requirements prioritisation to align Microsoft Project, Excel, and IFS stakeholder needs before solution design began</w:t>
      </w:r>
    </w:p>
    <w:p>
      <w:pPr>
        <w:pStyle w:val="ListParagraph"/>
        <w:numPr>
          <w:ilvl w:val="0"/>
          <w:numId w:val="2"/>
        </w:numPr>
        <w:spacing w:before="0" w:after="60"/>
      </w:pPr>
      <w:r>
        <w:rPr>
          <w:rFonts w:ascii="Arial" w:cs="Arial" w:eastAsia="Arial" w:hAnsi="Arial"/>
          <w:color w:val="555555"/>
          <w:sz w:val="21"/>
          <w:szCs w:val="21"/>
        </w:rPr>
        <w:t xml:space="preserve">Applied a Gate Process to the CMMS deployment programme, ensuring each phase passed defined quality and readiness criteria before progressing to the next stage</w:t>
      </w:r>
    </w:p>
    <w:p>
      <w:pPr>
        <w:pStyle w:val="ListParagraph"/>
        <w:numPr>
          <w:ilvl w:val="0"/>
          <w:numId w:val="2"/>
        </w:numPr>
        <w:spacing w:before="0" w:after="60"/>
      </w:pPr>
      <w:r>
        <w:rPr>
          <w:rFonts w:ascii="Arial" w:cs="Arial" w:eastAsia="Arial" w:hAnsi="Arial"/>
          <w:color w:val="555555"/>
          <w:sz w:val="21"/>
          <w:szCs w:val="21"/>
        </w:rPr>
        <w:t xml:space="preserve">Used Cost of Delay (CoD) modelling to demonstrate the operational cost of continuing to reconcile project data manually across three tools — the quantified delay cost directly underpinned the business case for the integration investment</w:t>
      </w:r>
    </w:p>
    <w:p>
      <w:pPr>
        <w:pStyle w:val="ListParagraph"/>
        <w:numPr>
          <w:ilvl w:val="0"/>
          <w:numId w:val="2"/>
        </w:numPr>
        <w:spacing w:before="0" w:after="60"/>
      </w:pPr>
      <w:r>
        <w:rPr>
          <w:rFonts w:ascii="Arial" w:cs="Arial" w:eastAsia="Arial" w:hAnsi="Arial"/>
          <w:color w:val="555555"/>
          <w:sz w:val="21"/>
          <w:szCs w:val="21"/>
        </w:rPr>
        <w:t xml:space="preserve">Championed Power BI-based reporting for real-time visibility of energy generation performance, asset health, and operational KPIs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Creating a Single Source of Truth for Project Tracking Across Microsoft Project, Excel, and 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Project tracking at EDF Renewables UK &amp; Ireland was being conducted across three separate tools simultaneously: Microsoft Project for scheduling, Microsoft Excel for cost and resource tracking, and IFS (the enterprise asset management and ERP platform) for operational and financial data. There was no integration between these systems, meaning that project managers had to maintain records in all three, reconcile discrepancies manually, and produce status reports by consolidating data from multiple sources. This created significant duplication of effort, introduced data inconsistency, and made it impossible to obtain a reliable, real-time view of project status across the portfolio.</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was responsible for identifying and delivering a solution that would integrate the three platforms into a single source of truth — eliminating duplicate data entry, reducing reconciliation effort, and giving project managers and senior leadership a consistent, accurate view of project progress, cost, and resource utilisation in real time.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led a structured requirements-gathering exercise with project managers, finance, and operations to define precisely what data needed to flow between the systems and where the authoritative source for each data type should reside. I evaluated integration options and identified a solution that used automated data connectors to synchronise scheduling data from Microsoft Project, cost and resource data from Excel-based templates, and operational and financial actuals from IFS — presenting a unified project dashboard that drew live data from all three sources. I managed the technical implementation with the relevant vendors and the IFS system integrator, overseeing testing, data validation, and the change management programme to transition project teams to the new way of working.</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integrated solution was successfully deployed and adopted across the project management function. Project managers no longer maintained three separate records; data entry was consolidated and synchronised automatically. Senior leadership gained access to a real-time project portfolio view for the first time, enabling faster and better-informed decisions on resource allocation and project prioritisation. The elimination of manual reconciliation activity freed an estimated two to three days per week of project management time across the team.</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Agile  ·  MoSCoW  ·  Gate Process  ·  Cost of Delay (CoD)  ·  Cloud Migration  ·  Microsoft Azure  ·  Microsoft 365  ·  SAP ERP  ·  SCADA/OT Systems  ·  Cyber Security  ·  NIS Regulations  ·  ISO 27001  ·  UK GDPR  ·  ICS Security  ·  Asset Performance Management  ·  CMMS  ·  Power BI  ·  IT/OT Convergence</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Ofgem  ·  CRE (France)  ·  Environment Agency  ·  SEPA  ·  IEC 62443  ·  NERC CIP  ·  National Grid ESO  ·  NCSC</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VetPartners Group Limited</w:t>
      </w:r>
      <w:r>
        <w:rPr>
          <w:rFonts w:ascii="Arial" w:cs="Arial" w:eastAsia="Arial" w:hAnsi="Arial"/>
          <w:color w:val="888888"/>
          <w:sz w:val="22"/>
          <w:szCs w:val="22"/>
        </w:rPr>
        <w:t xml:space="preserve">  |  </w:t>
      </w:r>
      <w:r>
        <w:rPr>
          <w:rFonts w:ascii="Arial" w:cs="Arial" w:eastAsia="Arial" w:hAnsi="Arial"/>
          <w:color w:val="888888"/>
          <w:sz w:val="22"/>
          <w:szCs w:val="22"/>
        </w:rPr>
        <w:t xml:space="preserve">Animal Health / Veterinary Healthcare</w:t>
      </w:r>
    </w:p>
    <w:p>
      <w:pPr>
        <w:spacing w:before="0" w:after="80"/>
      </w:pPr>
      <w:r>
        <w:rPr>
          <w:rFonts w:ascii="Arial" w:cs="Arial" w:eastAsia="Arial" w:hAnsi="Arial"/>
          <w:b/>
          <w:bCs/>
          <w:color w:val="555555"/>
          <w:sz w:val="21"/>
          <w:szCs w:val="21"/>
        </w:rPr>
        <w:t xml:space="preserve">March 2022 – September 2022</w:t>
      </w:r>
      <w:r>
        <w:rPr>
          <w:rFonts w:ascii="Arial" w:cs="Arial" w:eastAsia="Arial" w:hAnsi="Arial"/>
          <w:sz w:val="21"/>
          <w:szCs w:val="21"/>
        </w:rPr>
        <w:t xml:space="preserve">   </w:t>
      </w:r>
      <w:r>
        <w:rPr>
          <w:rFonts w:ascii="Arial" w:cs="Arial" w:eastAsia="Arial" w:hAnsi="Arial"/>
          <w:color w:val="888888"/>
          <w:sz w:val="21"/>
          <w:szCs w:val="21"/>
        </w:rPr>
        <w:t xml:space="preserve">York, UK (350+ clinics nationally)</w:t>
      </w:r>
    </w:p>
    <w:p>
      <w:pPr>
        <w:spacing w:before="0" w:after="80"/>
      </w:pPr>
      <w:r>
        <w:rPr>
          <w:rFonts w:ascii="Arial" w:cs="Arial" w:eastAsia="Arial" w:hAnsi="Arial"/>
          <w:color w:val="555555"/>
          <w:sz w:val="21"/>
          <w:szCs w:val="21"/>
        </w:rPr>
        <w:t xml:space="preserve">Served as IT Director at VetPartners, the UK's fastest-growing veterinary group consolidator, operating over 350 clinics across small animal, equine, farm, mixed, and referral practices. Held executive accountability for IT strategy, digital transformation, infrastructure, cyber security, and technology governance across a large, geographically distributed multi-site estate.</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Led rollout and optimisation of VetPartners' proprietary Practice Management System (PMS) across 50+ practices, using User Story Mapping to capture clinical workflow requirements prior to deployment</w:t>
      </w:r>
    </w:p>
    <w:p>
      <w:pPr>
        <w:pStyle w:val="ListParagraph"/>
        <w:numPr>
          <w:ilvl w:val="0"/>
          <w:numId w:val="2"/>
        </w:numPr>
        <w:spacing w:before="0" w:after="60"/>
      </w:pPr>
      <w:r>
        <w:rPr>
          <w:rFonts w:ascii="Arial" w:cs="Arial" w:eastAsia="Arial" w:hAnsi="Arial"/>
          <w:color w:val="555555"/>
          <w:sz w:val="21"/>
          <w:szCs w:val="21"/>
        </w:rPr>
        <w:t xml:space="preserve">Directed IT due diligence and technical integration for approximately 80 acquisitions annually, including CMA-cleared Goddard Veterinary Group</w:t>
      </w:r>
    </w:p>
    <w:p>
      <w:pPr>
        <w:pStyle w:val="ListParagraph"/>
        <w:numPr>
          <w:ilvl w:val="0"/>
          <w:numId w:val="2"/>
        </w:numPr>
        <w:spacing w:before="0" w:after="60"/>
      </w:pPr>
      <w:r>
        <w:rPr>
          <w:rFonts w:ascii="Arial" w:cs="Arial" w:eastAsia="Arial" w:hAnsi="Arial"/>
          <w:color w:val="555555"/>
          <w:sz w:val="21"/>
          <w:szCs w:val="21"/>
        </w:rPr>
        <w:t xml:space="preserve">Managed Microsoft Azure cloud infrastructure and enterprise-wide Microsoft 365 deployment across clinical and central office teams</w:t>
      </w:r>
    </w:p>
    <w:p>
      <w:pPr>
        <w:pStyle w:val="ListParagraph"/>
        <w:numPr>
          <w:ilvl w:val="0"/>
          <w:numId w:val="2"/>
        </w:numPr>
        <w:spacing w:before="0" w:after="60"/>
      </w:pPr>
      <w:r>
        <w:rPr>
          <w:rFonts w:ascii="Arial" w:cs="Arial" w:eastAsia="Arial" w:hAnsi="Arial"/>
          <w:color w:val="555555"/>
          <w:sz w:val="21"/>
          <w:szCs w:val="21"/>
        </w:rPr>
        <w:t xml:space="preserve">Managed the ITSM function via Freshservice applying ITIL service management principles, delivering responsive IT support across a nationally dispersed veterinary workforce</w:t>
      </w:r>
    </w:p>
    <w:p>
      <w:pPr>
        <w:pStyle w:val="ListParagraph"/>
        <w:numPr>
          <w:ilvl w:val="0"/>
          <w:numId w:val="2"/>
        </w:numPr>
        <w:spacing w:before="0" w:after="60"/>
      </w:pPr>
      <w:r>
        <w:rPr>
          <w:rFonts w:ascii="Arial" w:cs="Arial" w:eastAsia="Arial" w:hAnsi="Arial"/>
          <w:color w:val="555555"/>
          <w:sz w:val="21"/>
          <w:szCs w:val="21"/>
        </w:rPr>
        <w:t xml:space="preserve">Introduced 35+ ICT policies and procedures, using MoSCoW prioritisation to sequence policy development by risk impact and regulatory urgency, and the Eisenhower Matrix to distinguish policies requiring immediate authorship from those that could be scheduled</w:t>
      </w:r>
    </w:p>
    <w:p>
      <w:pPr>
        <w:pStyle w:val="ListParagraph"/>
        <w:numPr>
          <w:ilvl w:val="0"/>
          <w:numId w:val="2"/>
        </w:numPr>
        <w:spacing w:before="0" w:after="60"/>
      </w:pPr>
      <w:r>
        <w:rPr>
          <w:rFonts w:ascii="Arial" w:cs="Arial" w:eastAsia="Arial" w:hAnsi="Arial"/>
          <w:color w:val="555555"/>
          <w:sz w:val="21"/>
          <w:szCs w:val="21"/>
        </w:rPr>
        <w:t xml:space="preserve">Applied ICE scoring (Impact, Confidence, Ease) to rank hardware deployment initiatives, directly informing the Kanban workflow sequence for remote practice rollouts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Establishing ICT Governance from the Ground Up and Accelerating Hardware Deployment via Kanban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On joining VetPartners, I found an ICT department that was operating without formal direction or governance — no documented policies, no standard operating procedures, and no structured framework for decision-making or service delivery. With over 350 clinics nationally and approximately 80 acquisitions per year, the absence of governance was creating inconsistency, risk, and inefficiency across the IT function. Additionally, the deployment of IT hardware to newly acquired and existing remote veterinary practices was slow and unstructured, causing delays in getting practices operational on the VetPartners platform.</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needed to build an ICT governance framework from a standing start — creating the policies, procedures, and operational structure required to run a disciplined, scalable IT function across a nationally distributed multi-site estate — and to introduce a more efficient mechanism for managing and tracking IT hardware deployment to remote practices.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conducted a gap analysis of the IT function against industry best practice and immediately began building a comprehensive policy and procedure library. Over the course of my tenure I authored and introduced over 35 ICT policies and procedures, covering areas including information security, data protection, acceptable use, change management, asset management, supplier governance, incident management, and IT procurement. I used MoSCoW prioritisation to sequence policy development and the Eisenhower Matrix to distinguish policies requiring immediate authorship from those that could be scheduled. I then introduced a Kanban-based workflow management solution that gave the IT team and practice managers a shared, real-time view of every hardware deployment — from order placement through configuration, dispatch, and installation sign-off — enabling rapid, transparent deployment at scale.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ICT department had a formally documented governance framework for the first time in the organisation's history. The 35+ policies and procedures provided a consistent, auditable basis for IT operations across all 350+ practices. The Kanban deployment solution significantly reduced the time from acquisition to a practice being fully operational on the VetPartners IT platform, improving the speed and consistency of the group's high-volume M&amp;A programme.</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Digital Transformation  ·  ITIL  ·  MoSCoW  ·  ICE Scoring  ·  User Story Mapping  ·  Eisenhower Matrix  ·  Kanban  ·  Microsoft Azure  ·  Microsoft 365  ·  ITSM (Freshservice)  ·  Practice Management Systems  ·  M&amp;A IT Integration  ·  Multi-site Network Management  ·  Cyber Security  ·  IT Governance  ·  Healthcare Technology</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RCVS  ·  VMD (DEFRA)  ·  ICO  ·  CMA  ·  DSPT</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Bidwells LLP</w:t>
      </w:r>
      <w:r>
        <w:rPr>
          <w:rFonts w:ascii="Arial" w:cs="Arial" w:eastAsia="Arial" w:hAnsi="Arial"/>
          <w:color w:val="888888"/>
          <w:sz w:val="22"/>
          <w:szCs w:val="22"/>
        </w:rPr>
        <w:t xml:space="preserve">  |  </w:t>
      </w:r>
      <w:r>
        <w:rPr>
          <w:rFonts w:ascii="Arial" w:cs="Arial" w:eastAsia="Arial" w:hAnsi="Arial"/>
          <w:color w:val="888888"/>
          <w:sz w:val="22"/>
          <w:szCs w:val="22"/>
        </w:rPr>
        <w:t xml:space="preserve">Property Consultancy &amp; Surveying</w:t>
      </w:r>
    </w:p>
    <w:p>
      <w:pPr>
        <w:spacing w:before="0" w:after="80"/>
      </w:pPr>
      <w:r>
        <w:rPr>
          <w:rFonts w:ascii="Arial" w:cs="Arial" w:eastAsia="Arial" w:hAnsi="Arial"/>
          <w:b/>
          <w:bCs/>
          <w:color w:val="555555"/>
          <w:sz w:val="21"/>
          <w:szCs w:val="21"/>
        </w:rPr>
        <w:t xml:space="preserve">January 2020 – March 2022</w:t>
      </w:r>
      <w:r>
        <w:rPr>
          <w:rFonts w:ascii="Arial" w:cs="Arial" w:eastAsia="Arial" w:hAnsi="Arial"/>
          <w:sz w:val="21"/>
          <w:szCs w:val="21"/>
        </w:rPr>
        <w:t xml:space="preserve">   </w:t>
      </w:r>
      <w:r>
        <w:rPr>
          <w:rFonts w:ascii="Arial" w:cs="Arial" w:eastAsia="Arial" w:hAnsi="Arial"/>
          <w:color w:val="888888"/>
          <w:sz w:val="21"/>
          <w:szCs w:val="21"/>
        </w:rPr>
        <w:t xml:space="preserve">Cambridge (managing £5.2bn+ property assets)</w:t>
      </w:r>
    </w:p>
    <w:p>
      <w:pPr>
        <w:spacing w:before="0" w:after="80"/>
      </w:pPr>
      <w:r>
        <w:rPr>
          <w:rFonts w:ascii="Arial" w:cs="Arial" w:eastAsia="Arial" w:hAnsi="Arial"/>
          <w:color w:val="555555"/>
          <w:sz w:val="21"/>
          <w:szCs w:val="21"/>
        </w:rPr>
        <w:t xml:space="preserve">Led the IT function for one of the UK's largest independent property consultancies — a 500-strong firm headquartered in Cambridge managing over £5.2 billion in property assets across science &amp; technology, rural land, and commercial real estate sectors. Reported directly to senior partnership with full accountability for IT strategy, infrastructure, cyber security, digital transformation, and a multi-disciplinary technology team.</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Directed rapid transition to remote and hybrid working during COVID-19 using an Agile delivery model; applied Cost of Delay (CoD) thinking to frame the urgency — every hour of delayed deployment represented hundreds of thousands of pounds of in-progress property transactions at risk</w:t>
      </w:r>
    </w:p>
    <w:p>
      <w:pPr>
        <w:pStyle w:val="ListParagraph"/>
        <w:numPr>
          <w:ilvl w:val="0"/>
          <w:numId w:val="2"/>
        </w:numPr>
        <w:spacing w:before="0" w:after="60"/>
      </w:pPr>
      <w:r>
        <w:rPr>
          <w:rFonts w:ascii="Arial" w:cs="Arial" w:eastAsia="Arial" w:hAnsi="Arial"/>
          <w:color w:val="555555"/>
          <w:sz w:val="21"/>
          <w:szCs w:val="21"/>
        </w:rPr>
        <w:t xml:space="preserve">Applied RICE scoring to the digital transformation programme backlog, enabling the senior partnership to make transparent, data-driven prioritisation decisions across competing IT investments</w:t>
      </w:r>
    </w:p>
    <w:p>
      <w:pPr>
        <w:pStyle w:val="ListParagraph"/>
        <w:numPr>
          <w:ilvl w:val="0"/>
          <w:numId w:val="2"/>
        </w:numPr>
        <w:spacing w:before="0" w:after="60"/>
      </w:pPr>
      <w:r>
        <w:rPr>
          <w:rFonts w:ascii="Arial" w:cs="Arial" w:eastAsia="Arial" w:hAnsi="Arial"/>
          <w:color w:val="555555"/>
          <w:sz w:val="21"/>
          <w:szCs w:val="21"/>
        </w:rPr>
        <w:t xml:space="preserve">Used the Eisenhower Matrix to manage IT team workload during the COVID-19 crisis, separating urgent-critical remote access tasks from important-but-deferrable infrastructure projects</w:t>
      </w:r>
    </w:p>
    <w:p>
      <w:pPr>
        <w:pStyle w:val="ListParagraph"/>
        <w:numPr>
          <w:ilvl w:val="0"/>
          <w:numId w:val="2"/>
        </w:numPr>
        <w:spacing w:before="0" w:after="60"/>
      </w:pPr>
      <w:r>
        <w:rPr>
          <w:rFonts w:ascii="Arial" w:cs="Arial" w:eastAsia="Arial" w:hAnsi="Arial"/>
          <w:color w:val="555555"/>
          <w:sz w:val="21"/>
          <w:szCs w:val="21"/>
        </w:rPr>
        <w:t xml:space="preserve">Played a key role in the website and digital transformation programme — Bidwells won Best New Website at the Property Marketing Awards 2022</w:t>
      </w:r>
    </w:p>
    <w:p>
      <w:pPr>
        <w:pStyle w:val="ListParagraph"/>
        <w:numPr>
          <w:ilvl w:val="0"/>
          <w:numId w:val="2"/>
        </w:numPr>
        <w:spacing w:before="0" w:after="60"/>
      </w:pPr>
      <w:r>
        <w:rPr>
          <w:rFonts w:ascii="Arial" w:cs="Arial" w:eastAsia="Arial" w:hAnsi="Arial"/>
          <w:color w:val="555555"/>
          <w:sz w:val="21"/>
          <w:szCs w:val="21"/>
        </w:rPr>
        <w:t xml:space="preserve">Drove adoption of cloud-first architecture using an Impact-Effort Matrix to sequence infrastructure migrations by business value and delivery complexity</w:t>
      </w:r>
    </w:p>
    <w:p>
      <w:pPr>
        <w:pStyle w:val="ListParagraph"/>
        <w:numPr>
          <w:ilvl w:val="0"/>
          <w:numId w:val="2"/>
        </w:numPr>
        <w:spacing w:before="0" w:after="60"/>
      </w:pPr>
      <w:r>
        <w:rPr>
          <w:rFonts w:ascii="Arial" w:cs="Arial" w:eastAsia="Arial" w:hAnsi="Arial"/>
          <w:color w:val="555555"/>
          <w:sz w:val="21"/>
          <w:szCs w:val="21"/>
        </w:rPr>
        <w:t xml:space="preserve">Established ITIL-aligned service management processes and laid foundations for the firm's longer-term AI and data strategy</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Moving 500 Staff to Remote Working in 72 Hours During the COVID-19 Lockdown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On 23 March 2020, the UK Government announced a national lockdown with less than 24 hours' notice. Bidwells had 500+ employees across multiple offices, the vast majority of whom had never worked remotely. The firm's IT infrastructure was predominantly on-premise, with no enterprise VPN at scale, no cloud collaboration platform, and no remote device management capability. Property transactions worth hundreds of millions of pounds were in progress and could not pause.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IT Director, I needed to make every Bidwells employee fully operational from home within 72 hours — maintaining access to all business-critical systems, client data, and communications — without any data security breaches or significant loss of service.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immediately convened the IT team and triaged requirements by role criticality using the Eisenhower Matrix to separate the urgent-critical from the important-but-deferrable. I fast-tracked the deployment of Microsoft Teams, accelerating a planned project from a six-month timeline to immediate rollout. I provisioned secure remote desktop access for users who required on-premise application access, coordinated an emergency procurement of additional hardware for staff without suitable home equipment, and personally briefed the senior partnership on the plan and its constraints. Security controls — including conditional access policies and endpoint compliance checks — were implemented simultaneously to prevent the rapid expansion creating new vulnerabilities.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All 500+ staff were operational from home within 72 hours with no reported business continuity failures. No client transactions were disrupted. The accelerated Microsoft 365 deployment created a permanent improvement in digital working practices, and the platform became the foundation for a multi-year hybrid working model that significantly reduced Bidwells' office space requirements. The experience also directly catalysed the firm's cloud-first infrastructure programme.</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Digital Transformation  ·  Agile  ·  ITIL  ·  RICE Scoring  ·  Impact-Effort Matrix  ·  Eisenhower Matrix  ·  Cost of Delay (CoD)  ·  Cloud Migration  ·  Microsoft 365  ·  Microsoft Azure  ·  Power BI  ·  Cyber Security  ·  GDPR  ·  ISO 27001  ·  Business Continuity  ·  Infrastructure Management  ·  Enterprise CMS  ·  Cloudflare  ·  PropTech</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RICS  ·  HMRC / HM Land Registry  ·  FCA  ·  ICO</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Great Places Housing Association</w:t>
      </w:r>
      <w:r>
        <w:rPr>
          <w:rFonts w:ascii="Arial" w:cs="Arial" w:eastAsia="Arial" w:hAnsi="Arial"/>
          <w:color w:val="888888"/>
          <w:sz w:val="22"/>
          <w:szCs w:val="22"/>
        </w:rPr>
        <w:t xml:space="preserve">  |  </w:t>
      </w:r>
      <w:r>
        <w:rPr>
          <w:rFonts w:ascii="Arial" w:cs="Arial" w:eastAsia="Arial" w:hAnsi="Arial"/>
          <w:color w:val="888888"/>
          <w:sz w:val="22"/>
          <w:szCs w:val="22"/>
        </w:rPr>
        <w:t xml:space="preserve">Social Housing / Not-for-Profit</w:t>
      </w:r>
    </w:p>
    <w:p>
      <w:pPr>
        <w:spacing w:before="0" w:after="80"/>
      </w:pPr>
      <w:r>
        <w:rPr>
          <w:rFonts w:ascii="Arial" w:cs="Arial" w:eastAsia="Arial" w:hAnsi="Arial"/>
          <w:b/>
          <w:bCs/>
          <w:color w:val="555555"/>
          <w:sz w:val="21"/>
          <w:szCs w:val="21"/>
        </w:rPr>
        <w:t xml:space="preserve">March 2017 – December 2019</w:t>
      </w:r>
      <w:r>
        <w:rPr>
          <w:rFonts w:ascii="Arial" w:cs="Arial" w:eastAsia="Arial" w:hAnsi="Arial"/>
          <w:sz w:val="21"/>
          <w:szCs w:val="21"/>
        </w:rPr>
        <w:t xml:space="preserve">   </w:t>
      </w:r>
      <w:r>
        <w:rPr>
          <w:rFonts w:ascii="Arial" w:cs="Arial" w:eastAsia="Arial" w:hAnsi="Arial"/>
          <w:color w:val="888888"/>
          <w:sz w:val="21"/>
          <w:szCs w:val="21"/>
        </w:rPr>
        <w:t xml:space="preserve">Manchester (25,000+ homes across North West &amp; Yorkshire)</w:t>
      </w:r>
    </w:p>
    <w:p>
      <w:pPr>
        <w:spacing w:before="0" w:after="80"/>
      </w:pPr>
      <w:r>
        <w:rPr>
          <w:rFonts w:ascii="Arial" w:cs="Arial" w:eastAsia="Arial" w:hAnsi="Arial"/>
          <w:color w:val="555555"/>
          <w:sz w:val="21"/>
          <w:szCs w:val="21"/>
        </w:rPr>
        <w:t xml:space="preserve">Led the IT and Technology Services function for one of the fastest-growing housing associations in the North of England, managing over 25,000 affordable homes with a workforce of 700+ employees. Drove a comprehensive digital transformation programme with full accountability for IT strategy, infrastructure, cyber security, systems architecture, and vendor management.</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Led the organisation's GDPR compliance programme (May 2018) delivered using a Waterfall project methodology — data mapping, policy redevelopment, staff training, PIAs, and data retention controls sequenced through formal stage gates across three group entities</w:t>
      </w:r>
    </w:p>
    <w:p>
      <w:pPr>
        <w:pStyle w:val="ListParagraph"/>
        <w:numPr>
          <w:ilvl w:val="0"/>
          <w:numId w:val="2"/>
        </w:numPr>
        <w:spacing w:before="0" w:after="60"/>
      </w:pPr>
      <w:r>
        <w:rPr>
          <w:rFonts w:ascii="Arial" w:cs="Arial" w:eastAsia="Arial" w:hAnsi="Arial"/>
          <w:color w:val="555555"/>
          <w:sz w:val="21"/>
          <w:szCs w:val="21"/>
        </w:rPr>
        <w:t xml:space="preserve">Spearheaded migration of core applications to an enterprise-grade managed hosting environment; used an Impact-Effort Matrix to prioritise which systems migrated first based on operational criticality and technical complexity</w:t>
      </w:r>
    </w:p>
    <w:p>
      <w:pPr>
        <w:pStyle w:val="ListParagraph"/>
        <w:numPr>
          <w:ilvl w:val="0"/>
          <w:numId w:val="2"/>
        </w:numPr>
        <w:spacing w:before="0" w:after="60"/>
      </w:pPr>
      <w:r>
        <w:rPr>
          <w:rFonts w:ascii="Arial" w:cs="Arial" w:eastAsia="Arial" w:hAnsi="Arial"/>
          <w:color w:val="555555"/>
          <w:sz w:val="21"/>
          <w:szCs w:val="21"/>
        </w:rPr>
        <w:t xml:space="preserve">Established ITIL-aligned IT service management processes across the Technology Services team, improving incident response, change management, and vendor accountability</w:t>
      </w:r>
    </w:p>
    <w:p>
      <w:pPr>
        <w:pStyle w:val="ListParagraph"/>
        <w:numPr>
          <w:ilvl w:val="0"/>
          <w:numId w:val="2"/>
        </w:numPr>
        <w:spacing w:before="0" w:after="60"/>
      </w:pPr>
      <w:r>
        <w:rPr>
          <w:rFonts w:ascii="Arial" w:cs="Arial" w:eastAsia="Arial" w:hAnsi="Arial"/>
          <w:color w:val="555555"/>
          <w:sz w:val="21"/>
          <w:szCs w:val="21"/>
        </w:rPr>
        <w:t xml:space="preserve">Oversaw modernisation of legacy housing management and ERP systems, introducing integrated platforms across asset management, repairs, and tenancy services</w:t>
      </w:r>
    </w:p>
    <w:p>
      <w:pPr>
        <w:pStyle w:val="ListParagraph"/>
        <w:numPr>
          <w:ilvl w:val="0"/>
          <w:numId w:val="2"/>
        </w:numPr>
        <w:spacing w:before="0" w:after="60"/>
      </w:pPr>
      <w:r>
        <w:rPr>
          <w:rFonts w:ascii="Arial" w:cs="Arial" w:eastAsia="Arial" w:hAnsi="Arial"/>
          <w:color w:val="555555"/>
          <w:sz w:val="21"/>
          <w:szCs w:val="21"/>
        </w:rPr>
        <w:t xml:space="preserve">Championed deployment of tenant-facing digital self-service capabilities, reducing cost-per-transaction and improving customer satisfaction</w:t>
      </w:r>
    </w:p>
    <w:p>
      <w:pPr>
        <w:pStyle w:val="ListParagraph"/>
        <w:numPr>
          <w:ilvl w:val="0"/>
          <w:numId w:val="2"/>
        </w:numPr>
        <w:spacing w:before="0" w:after="60"/>
      </w:pPr>
      <w:r>
        <w:rPr>
          <w:rFonts w:ascii="Arial" w:cs="Arial" w:eastAsia="Arial" w:hAnsi="Arial"/>
          <w:color w:val="555555"/>
          <w:sz w:val="21"/>
          <w:szCs w:val="21"/>
        </w:rPr>
        <w:t xml:space="preserve">Software licence audit and legacy account removal programme delivered an annual OpEx saving of approximately £800,000</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Software Licence Audit and Legacy Account Removal Delivering £800,000 Annual OpEx Saving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Great Places Housing Association was carrying a significant and largely invisible cost burden in the form of unused and redundant software licences — including Microsoft Office applications — and active system accounts belonging to employees who had long since left the organisation. No comprehensive licence audit had been conducted, legacy accounts had accumulated over years without a systematic removal process, and the IT budget was absorbing recurring costs for capability that was delivering no operational value.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initiated and led a thorough software licence audit across the group, with the objective of identifying all redundant user licences and inactive accounts, quantifying the associated cost, and implementing a programme to remove them — reducing annual operational expenditure and improving the organisation's IT security posture by eliminating dormant access credentials.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structured the audit across three workstreams: a full inventory of all software licences in use across the group, mapped against active users and actual utilisation data; an Active Directory and identity management review to identify accounts with no recent activity or belonging to former employees; and a vendor contract review to understand renewal terms and break clauses. The audit covered Microsoft Office licence tiers, third-party application licences, and system access accounts across all three group entities. Where redundant licences were identified, I worked with finance to validate the associated costs and with HR and line managers to confirm that access was no longer required before accounts were disabled and licences reclaimed. I implemented a repeatable process and schedule for ongoing licence management to prevent the problem recurring.</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audit identified a substantial volume of redundant licences and legacy accounts across the group. Removing them delivered an annual operational expenditure saving of approximately £800,000. In addition to the direct financial benefit, the removal of dormant accounts materially reduced the organisation's cyber security risk surface. The licence management process I introduced became an embedded part of the IT governance framework, ensuring that licence costs remained aligned to actual headcount and usage going forward.</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Digital Transformation  ·  Waterfall  ·  ITIL  ·  Impact-Effort Matrix  ·  Cloud Migration  ·  Microsoft Azure  ·  ERP Systems  ·  Housing Management Systems  ·  GDPR  ·  Data Governance  ·  Cyber Security  ·  Infrastructure Modernisation  ·  Business Intelligence  ·  CRM  ·  Social Housing Technology</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RSH (Regulator of Social Housing)  ·  Homes England  ·  ICO  ·  FCA / HM Treasury  ·  NCSC / Cyber Essentials</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Claims Advisory Group Limited</w:t>
      </w:r>
      <w:r>
        <w:rPr>
          <w:rFonts w:ascii="Arial" w:cs="Arial" w:eastAsia="Arial" w:hAnsi="Arial"/>
          <w:color w:val="888888"/>
          <w:sz w:val="22"/>
          <w:szCs w:val="22"/>
        </w:rPr>
        <w:t xml:space="preserve">  |  </w:t>
      </w:r>
      <w:r>
        <w:rPr>
          <w:rFonts w:ascii="Arial" w:cs="Arial" w:eastAsia="Arial" w:hAnsi="Arial"/>
          <w:color w:val="888888"/>
          <w:sz w:val="22"/>
          <w:szCs w:val="22"/>
        </w:rPr>
        <w:t xml:space="preserve">Financial Services (PPI Claims Management)</w:t>
      </w:r>
    </w:p>
    <w:p>
      <w:pPr>
        <w:spacing w:before="0" w:after="80"/>
      </w:pPr>
      <w:r>
        <w:rPr>
          <w:rFonts w:ascii="Arial" w:cs="Arial" w:eastAsia="Arial" w:hAnsi="Arial"/>
          <w:b/>
          <w:bCs/>
          <w:color w:val="555555"/>
          <w:sz w:val="21"/>
          <w:szCs w:val="21"/>
        </w:rPr>
        <w:t xml:space="preserve">June 2015 – January 2017</w:t>
      </w:r>
      <w:r>
        <w:rPr>
          <w:rFonts w:ascii="Arial" w:cs="Arial" w:eastAsia="Arial" w:hAnsi="Arial"/>
          <w:sz w:val="21"/>
          <w:szCs w:val="21"/>
        </w:rPr>
        <w:t xml:space="preserve">   </w:t>
      </w:r>
      <w:r>
        <w:rPr>
          <w:rFonts w:ascii="Arial" w:cs="Arial" w:eastAsia="Arial" w:hAnsi="Arial"/>
          <w:color w:val="888888"/>
          <w:sz w:val="21"/>
          <w:szCs w:val="21"/>
        </w:rPr>
        <w:t xml:space="preserve">Manchester</w:t>
      </w:r>
    </w:p>
    <w:p>
      <w:pPr>
        <w:spacing w:before="0" w:after="80"/>
      </w:pPr>
      <w:r>
        <w:rPr>
          <w:rFonts w:ascii="Arial" w:cs="Arial" w:eastAsia="Arial" w:hAnsi="Arial"/>
          <w:color w:val="555555"/>
          <w:sz w:val="21"/>
          <w:szCs w:val="21"/>
        </w:rPr>
        <w:t xml:space="preserve">Provided executive-level technology leadership at a Manchester-based financial services claims management company specialising in the recovery of mis-sold Payment Protection Insurance (PPI), processing in excess of £2 million per month in client refunds. Held full ownership of IT governance, cyber security, regulatory compliance, and technology delivery, reporting directly to the board.</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Led design, procurement, and implementation of a scalable CRM platform using a Waterfall project methodology with defined stage gates from requirements sign-off through to go-live</w:t>
      </w:r>
    </w:p>
    <w:p>
      <w:pPr>
        <w:pStyle w:val="ListParagraph"/>
        <w:numPr>
          <w:ilvl w:val="0"/>
          <w:numId w:val="2"/>
        </w:numPr>
        <w:spacing w:before="0" w:after="60"/>
      </w:pPr>
      <w:r>
        <w:rPr>
          <w:rFonts w:ascii="Arial" w:cs="Arial" w:eastAsia="Arial" w:hAnsi="Arial"/>
          <w:color w:val="555555"/>
          <w:sz w:val="21"/>
          <w:szCs w:val="21"/>
        </w:rPr>
        <w:t xml:space="preserve">Applied MoSCoW prioritisation during CRM requirements workshops to align compliance, operations, and IT on mandatory versus desirable features before development began</w:t>
      </w:r>
    </w:p>
    <w:p>
      <w:pPr>
        <w:pStyle w:val="ListParagraph"/>
        <w:numPr>
          <w:ilvl w:val="0"/>
          <w:numId w:val="2"/>
        </w:numPr>
        <w:spacing w:before="0" w:after="60"/>
      </w:pPr>
      <w:r>
        <w:rPr>
          <w:rFonts w:ascii="Arial" w:cs="Arial" w:eastAsia="Arial" w:hAnsi="Arial"/>
          <w:color w:val="555555"/>
          <w:sz w:val="21"/>
          <w:szCs w:val="21"/>
        </w:rPr>
        <w:t xml:space="preserve">Used Cost of Delay (CoD) analysis to quantify the regulatory and financial exposure of maintaining the legacy system — the CoD calculation directly accelerated board sign-off for the CRM replacement investment</w:t>
      </w:r>
    </w:p>
    <w:p>
      <w:pPr>
        <w:pStyle w:val="ListParagraph"/>
        <w:numPr>
          <w:ilvl w:val="0"/>
          <w:numId w:val="2"/>
        </w:numPr>
        <w:spacing w:before="0" w:after="60"/>
      </w:pPr>
      <w:r>
        <w:rPr>
          <w:rFonts w:ascii="Arial" w:cs="Arial" w:eastAsia="Arial" w:hAnsi="Arial"/>
          <w:color w:val="555555"/>
          <w:sz w:val="21"/>
          <w:szCs w:val="21"/>
        </w:rPr>
        <w:t xml:space="preserve">Ensured full FCA regulatory compliance and Data Protection Act 1998 adherence, implementing robust data governance frameworks</w:t>
      </w:r>
    </w:p>
    <w:p>
      <w:pPr>
        <w:pStyle w:val="ListParagraph"/>
        <w:numPr>
          <w:ilvl w:val="0"/>
          <w:numId w:val="2"/>
        </w:numPr>
        <w:spacing w:before="0" w:after="60"/>
      </w:pPr>
      <w:r>
        <w:rPr>
          <w:rFonts w:ascii="Arial" w:cs="Arial" w:eastAsia="Arial" w:hAnsi="Arial"/>
          <w:color w:val="555555"/>
          <w:sz w:val="21"/>
          <w:szCs w:val="21"/>
        </w:rPr>
        <w:t xml:space="preserve">Oversaw integration of telephony and dialler systems with CRM infrastructure to maximise contact-centre efficiency</w:t>
      </w:r>
    </w:p>
    <w:p>
      <w:pPr>
        <w:pStyle w:val="ListParagraph"/>
        <w:numPr>
          <w:ilvl w:val="0"/>
          <w:numId w:val="2"/>
        </w:numPr>
        <w:spacing w:before="0" w:after="60"/>
      </w:pPr>
      <w:r>
        <w:rPr>
          <w:rFonts w:ascii="Arial" w:cs="Arial" w:eastAsia="Arial" w:hAnsi="Arial"/>
          <w:color w:val="555555"/>
          <w:sz w:val="21"/>
          <w:szCs w:val="21"/>
        </w:rPr>
        <w:t xml:space="preserve">Led a cross-functional IT team, establishing ITIL-aligned service management processes to improve incident response and reduce downtime</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Eliminating an FCA Compliance Risk in the Claims Management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Shortly after joining Claims Advisory Group, I identified that the firm's legacy case management system was recording client communications inconsistently and without a reliable audit trail. The FCA was intensifying its oversight of claims management companies at this time, and the Financial Ombudsman Service had begun requiring detailed evidence of client contact histories in dispute reviews. An FCA audit or FOS referral could expose the firm to regulatory sanctions and potential loss of authorisation.</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needed to replace the legacy system with a platform that provided a complete, immutable record of all client interactions — calls, letters, emails, and case decisions — in a format that would satisfy both FCA supervisory requests and FOS case reviews, whilst maintaining operational continuity for a team of claim negotiators processing hundreds of live cases daily.</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led the design, procurement, and implementation of a new CRM platform with integrated telephony logging and document management. I worked with the compliance team to define the mandatory data fields required to meet FCA and FOS evidential standards, building these into the system's workflow by design rather than as an afterthought. I managed the data migration of all live cases from the legacy system, ensuring no case history was lost. I also introduced a structured call recording and retrieval capability, and trained the operational team on compliant communication practices as part of the go-live programme.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new CRM went live without disruption to live case processing. Within the first quarter, the firm was able to provide FOS with complete, timestamped client interaction records on every referred case — resulting in improved FOS outcomes on disputed claims. An FCA compliance review the following year found no material deficiencies in client record-keeping. Case throughput also improved by approximately 22% as the integrated workflow reduced manual double-entry between systems.</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Waterfall  ·  MoSCoW  ·  ITIL  ·  Cost of Delay (CoD)  ·  CRM Implementation  ·  Cloud Infrastructure  ·  Cyber Security  ·  Data Protection  ·  FCA Compliance  ·  Financial Services IT  ·  Claims Management Systems  ·  Contact Centre Technology  ·  BCP/DR  ·  Microsoft Azure  ·  SQL  ·  Reporting &amp; Analytics</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FCA  ·  FOS  ·  MoJ Claims Management Regulator  ·  ICO</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Missguided Ltd</w:t>
      </w:r>
      <w:r>
        <w:rPr>
          <w:rFonts w:ascii="Arial" w:cs="Arial" w:eastAsia="Arial" w:hAnsi="Arial"/>
          <w:color w:val="888888"/>
          <w:sz w:val="22"/>
          <w:szCs w:val="22"/>
        </w:rPr>
        <w:t xml:space="preserve">  |  </w:t>
      </w:r>
      <w:r>
        <w:rPr>
          <w:rFonts w:ascii="Arial" w:cs="Arial" w:eastAsia="Arial" w:hAnsi="Arial"/>
          <w:color w:val="888888"/>
          <w:sz w:val="22"/>
          <w:szCs w:val="22"/>
        </w:rPr>
        <w:t xml:space="preserve">Fast Fashion / E-commerce Retail</w:t>
      </w:r>
    </w:p>
    <w:p>
      <w:pPr>
        <w:spacing w:before="0" w:after="80"/>
      </w:pPr>
      <w:r>
        <w:rPr>
          <w:rFonts w:ascii="Arial" w:cs="Arial" w:eastAsia="Arial" w:hAnsi="Arial"/>
          <w:b/>
          <w:bCs/>
          <w:color w:val="555555"/>
          <w:sz w:val="21"/>
          <w:szCs w:val="21"/>
        </w:rPr>
        <w:t xml:space="preserve">March 2014 – May 2015</w:t>
      </w:r>
      <w:r>
        <w:rPr>
          <w:rFonts w:ascii="Arial" w:cs="Arial" w:eastAsia="Arial" w:hAnsi="Arial"/>
          <w:sz w:val="21"/>
          <w:szCs w:val="21"/>
        </w:rPr>
        <w:t xml:space="preserve">   </w:t>
      </w:r>
      <w:r>
        <w:rPr>
          <w:rFonts w:ascii="Arial" w:cs="Arial" w:eastAsia="Arial" w:hAnsi="Arial"/>
          <w:color w:val="888888"/>
          <w:sz w:val="21"/>
          <w:szCs w:val="21"/>
        </w:rPr>
        <w:t xml:space="preserve">Manchester (Stretford / Trafford Park)</w:t>
      </w:r>
    </w:p>
    <w:p>
      <w:pPr>
        <w:spacing w:before="0" w:after="80"/>
      </w:pPr>
      <w:r>
        <w:rPr>
          <w:rFonts w:ascii="Arial" w:cs="Arial" w:eastAsia="Arial" w:hAnsi="Arial"/>
          <w:color w:val="555555"/>
          <w:sz w:val="21"/>
          <w:szCs w:val="21"/>
        </w:rPr>
        <w:t xml:space="preserve">Led end-to-end IT strategy and digital infrastructure delivery for one of the UK's fastest-growing online fast-fashion retailers, supporting a business scaling rapidly toward $80M+ in revenue with international expansion into the US, Europe, and Australia. Reported directly to senior leadership with full accountability for technology operations, platform stability, team management, and digital transformation.</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Owned stability and performance of the Magento-based e-commerce platform during high-traffic celebrity launches and flash sales</w:t>
      </w:r>
    </w:p>
    <w:p>
      <w:pPr>
        <w:pStyle w:val="ListParagraph"/>
        <w:numPr>
          <w:ilvl w:val="0"/>
          <w:numId w:val="2"/>
        </w:numPr>
        <w:spacing w:before="0" w:after="60"/>
      </w:pPr>
      <w:r>
        <w:rPr>
          <w:rFonts w:ascii="Arial" w:cs="Arial" w:eastAsia="Arial" w:hAnsi="Arial"/>
          <w:color w:val="555555"/>
          <w:sz w:val="21"/>
          <w:szCs w:val="21"/>
        </w:rPr>
        <w:t xml:space="preserve">Delivered mobile app improvements using Agile sprint cycles, with User Story Mapping sessions run with the marketing and UX teams to define the product roadmap from the customer journey outwards</w:t>
      </w:r>
    </w:p>
    <w:p>
      <w:pPr>
        <w:pStyle w:val="ListParagraph"/>
        <w:numPr>
          <w:ilvl w:val="0"/>
          <w:numId w:val="2"/>
        </w:numPr>
        <w:spacing w:before="0" w:after="60"/>
      </w:pPr>
      <w:r>
        <w:rPr>
          <w:rFonts w:ascii="Arial" w:cs="Arial" w:eastAsia="Arial" w:hAnsi="Arial"/>
          <w:color w:val="555555"/>
          <w:sz w:val="21"/>
          <w:szCs w:val="21"/>
        </w:rPr>
        <w:t xml:space="preserve">Used ICE scoring (Impact, Confidence, Ease) to prioritise platform infrastructure improvements in the weeks preceding major launch events, ensuring the highest-value fixes were delivered first</w:t>
      </w:r>
    </w:p>
    <w:p>
      <w:pPr>
        <w:pStyle w:val="ListParagraph"/>
        <w:numPr>
          <w:ilvl w:val="0"/>
          <w:numId w:val="2"/>
        </w:numPr>
        <w:spacing w:before="0" w:after="60"/>
      </w:pPr>
      <w:r>
        <w:rPr>
          <w:rFonts w:ascii="Arial" w:cs="Arial" w:eastAsia="Arial" w:hAnsi="Arial"/>
          <w:color w:val="555555"/>
          <w:sz w:val="21"/>
          <w:szCs w:val="21"/>
        </w:rPr>
        <w:t xml:space="preserve">Delivered technology solutions for international expansion including multi-currency payments and preparation for the March 2015 Nordstrom US launch</w:t>
      </w:r>
    </w:p>
    <w:p>
      <w:pPr>
        <w:pStyle w:val="ListParagraph"/>
        <w:numPr>
          <w:ilvl w:val="0"/>
          <w:numId w:val="2"/>
        </w:numPr>
        <w:spacing w:before="0" w:after="60"/>
      </w:pPr>
      <w:r>
        <w:rPr>
          <w:rFonts w:ascii="Arial" w:cs="Arial" w:eastAsia="Arial" w:hAnsi="Arial"/>
          <w:color w:val="555555"/>
          <w:sz w:val="21"/>
          <w:szCs w:val="21"/>
        </w:rPr>
        <w:t xml:space="preserve">Managed ERP, WMS, and OMS integration to support a supply chain refreshing approximately 25% of product range monthly</w:t>
      </w:r>
    </w:p>
    <w:p>
      <w:pPr>
        <w:pStyle w:val="ListParagraph"/>
        <w:numPr>
          <w:ilvl w:val="0"/>
          <w:numId w:val="2"/>
        </w:numPr>
        <w:spacing w:before="0" w:after="60"/>
      </w:pPr>
      <w:r>
        <w:rPr>
          <w:rFonts w:ascii="Arial" w:cs="Arial" w:eastAsia="Arial" w:hAnsi="Arial"/>
          <w:color w:val="555555"/>
          <w:sz w:val="21"/>
          <w:szCs w:val="21"/>
        </w:rPr>
        <w:t xml:space="preserve">Led HQ relocation from Stretford to Trafford Park, ensuring zero business disruption across all IT infrastructure and systems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Preventing E-commerce Platform Collapse During the Nicole Scherzinger Celebrity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In March 2014, Missguided was about to launch a major celebrity collaboration with Nicole Scherzinger — a high-profile campaign expected to drive an unprecedented spike in concurrent website traffic. Stress testing revealed that the Magento platform, as configured, would fail under the projected load. The launch had been widely publicised and was critical to Missguided's brand positioning; a site outage during the event would have caused direct revenue loss and serious reputational damage to a business scaling rapidly toward $80M in revenue.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With less than three weeks to launch, I needed to re-architect the platform's scalability and resilience to handle the projected traffic surge — without any changes that risked destabilising the live site in the lead-up to the event.</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commissioned an emergency infrastructure review and identified three critical bottlenecks: insufficient web server capacity, database query inefficiency under concurrent load, and an absent caching layer. I engaged the hosting provider to rapidly provision additional server capacity, worked with the development team to optimise the most expensive database queries, and implemented a full-page caching solution to offload dynamic content delivery. I also established a real-time monitoring and response protocol for launch day, with predefined escalation paths and rollback options if traffic exceeded predictions.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Nicole Scherzinger launch proceeded without platform failure, handling the traffic spike successfully and delivering one of Missguided's highest single-day revenue figures to that point. The infrastructure improvements implemented under pressure became the foundation of a sustained platform stability programme, reducing site incidents by an estimated 60% over the following six months and materially improving the performance headroom available for subsequent celebrity collaborations and flash sale events.</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Strategy  ·  Agile  ·  User Story Mapping  ·  ICE Scoring  ·  E-commerce  ·  Magento  ·  Mobile Applications  ·  ERP  ·  WMS  ·  OMS  ·  CRM  ·  Data Analytics  ·  Cyber Security  ·  PCI DSS  ·  International Expansion  ·  IT Budget Management</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FCA / PSR  ·  PCI DSS  ·  ICO  ·  CMA  ·  ASA</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 – UK, EMEA &amp; Asia</w:t>
      </w:r>
    </w:p>
    <w:p>
      <w:pPr>
        <w:spacing w:before="0" w:after="20"/>
      </w:pPr>
      <w:r>
        <w:rPr>
          <w:rFonts w:ascii="Arial" w:cs="Arial" w:eastAsia="Arial" w:hAnsi="Arial"/>
          <w:b/>
          <w:bCs/>
          <w:color w:val="2A5080"/>
          <w:sz w:val="23"/>
          <w:szCs w:val="23"/>
        </w:rPr>
        <w:t xml:space="preserve">HID Global (Hughes Identification Devices) / ASSA ABLOY Group</w:t>
      </w:r>
      <w:r>
        <w:rPr>
          <w:rFonts w:ascii="Arial" w:cs="Arial" w:eastAsia="Arial" w:hAnsi="Arial"/>
          <w:color w:val="888888"/>
          <w:sz w:val="22"/>
          <w:szCs w:val="22"/>
        </w:rPr>
        <w:t xml:space="preserve">  |  </w:t>
      </w:r>
      <w:r>
        <w:rPr>
          <w:rFonts w:ascii="Arial" w:cs="Arial" w:eastAsia="Arial" w:hAnsi="Arial"/>
          <w:color w:val="888888"/>
          <w:sz w:val="22"/>
          <w:szCs w:val="22"/>
        </w:rPr>
        <w:t xml:space="preserve">Security Technology / RFID &amp; Identity Solutions</w:t>
      </w:r>
    </w:p>
    <w:p>
      <w:pPr>
        <w:spacing w:before="0" w:after="80"/>
      </w:pPr>
      <w:r>
        <w:rPr>
          <w:rFonts w:ascii="Arial" w:cs="Arial" w:eastAsia="Arial" w:hAnsi="Arial"/>
          <w:b/>
          <w:bCs/>
          <w:color w:val="555555"/>
          <w:sz w:val="21"/>
          <w:szCs w:val="21"/>
        </w:rPr>
        <w:t xml:space="preserve">March 2011 – February 2014</w:t>
      </w:r>
      <w:r>
        <w:rPr>
          <w:rFonts w:ascii="Arial" w:cs="Arial" w:eastAsia="Arial" w:hAnsi="Arial"/>
          <w:sz w:val="21"/>
          <w:szCs w:val="21"/>
        </w:rPr>
        <w:t xml:space="preserve">   </w:t>
      </w:r>
      <w:r>
        <w:rPr>
          <w:rFonts w:ascii="Arial" w:cs="Arial" w:eastAsia="Arial" w:hAnsi="Arial"/>
          <w:color w:val="888888"/>
          <w:sz w:val="21"/>
          <w:szCs w:val="21"/>
        </w:rPr>
        <w:t xml:space="preserve">UK, EMEA, Asia Pacific (30+ countries)</w:t>
      </w:r>
    </w:p>
    <w:p>
      <w:pPr>
        <w:spacing w:before="0" w:after="80"/>
      </w:pPr>
      <w:r>
        <w:rPr>
          <w:rFonts w:ascii="Arial" w:cs="Arial" w:eastAsia="Arial" w:hAnsi="Arial"/>
          <w:color w:val="555555"/>
          <w:sz w:val="21"/>
          <w:szCs w:val="21"/>
        </w:rPr>
        <w:t xml:space="preserve">Served as regional IT Director for HID Global — the world's leading provider of secure identity solutions, RFID technology, and physical access control — with full strategic and operational accountability for IT across the UK, EMEA, and Asia Pacific regions. Reported into global IT leadership and collaborated closely with the parent group, ASSA ABLOY AB (Stockholm).</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Defined and executed a multi-year regional IT roadmap, applying a Gate Process at each major phase to ensure investment decisions were formally reviewed and approved before progression</w:t>
      </w:r>
    </w:p>
    <w:p>
      <w:pPr>
        <w:pStyle w:val="ListParagraph"/>
        <w:numPr>
          <w:ilvl w:val="0"/>
          <w:numId w:val="2"/>
        </w:numPr>
        <w:spacing w:before="0" w:after="60"/>
      </w:pPr>
      <w:r>
        <w:rPr>
          <w:rFonts w:ascii="Arial" w:cs="Arial" w:eastAsia="Arial" w:hAnsi="Arial"/>
          <w:color w:val="555555"/>
          <w:sz w:val="21"/>
          <w:szCs w:val="21"/>
        </w:rPr>
        <w:t xml:space="preserve">Led post-acquisition IT integration of LaserCard (2011) and EasyLobby (2012) using a structured Waterfall programme methodology, with defined gates for due diligence, design, migration, and cutover</w:t>
      </w:r>
    </w:p>
    <w:p>
      <w:pPr>
        <w:pStyle w:val="ListParagraph"/>
        <w:numPr>
          <w:ilvl w:val="0"/>
          <w:numId w:val="2"/>
        </w:numPr>
        <w:spacing w:before="0" w:after="60"/>
      </w:pPr>
      <w:r>
        <w:rPr>
          <w:rFonts w:ascii="Arial" w:cs="Arial" w:eastAsia="Arial" w:hAnsi="Arial"/>
          <w:color w:val="555555"/>
          <w:sz w:val="21"/>
          <w:szCs w:val="21"/>
        </w:rPr>
        <w:t xml:space="preserve">Led design and management of regional IT infrastructure spanning data centres, WAN, and enterprise connectivity across 30+ countries</w:t>
      </w:r>
    </w:p>
    <w:p>
      <w:pPr>
        <w:pStyle w:val="ListParagraph"/>
        <w:numPr>
          <w:ilvl w:val="0"/>
          <w:numId w:val="2"/>
        </w:numPr>
        <w:spacing w:before="0" w:after="60"/>
      </w:pPr>
      <w:r>
        <w:rPr>
          <w:rFonts w:ascii="Arial" w:cs="Arial" w:eastAsia="Arial" w:hAnsi="Arial"/>
          <w:color w:val="555555"/>
          <w:sz w:val="21"/>
          <w:szCs w:val="21"/>
        </w:rPr>
        <w:t xml:space="preserve">Established ISO 27001 governance frameworks, policies, and controls across UK/EMEA and Asia</w:t>
      </w:r>
    </w:p>
    <w:p>
      <w:pPr>
        <w:pStyle w:val="ListParagraph"/>
        <w:numPr>
          <w:ilvl w:val="0"/>
          <w:numId w:val="2"/>
        </w:numPr>
        <w:spacing w:before="0" w:after="60"/>
      </w:pPr>
      <w:r>
        <w:rPr>
          <w:rFonts w:ascii="Arial" w:cs="Arial" w:eastAsia="Arial" w:hAnsi="Arial"/>
          <w:color w:val="555555"/>
          <w:sz w:val="21"/>
          <w:szCs w:val="21"/>
        </w:rPr>
        <w:t xml:space="preserve">Used the Eisenhower Matrix across the regional IT leadership team to manage competing priorities across 30+ countries — separating critical infrastructure incidents from strategic roadmap work</w:t>
      </w:r>
    </w:p>
    <w:p>
      <w:pPr>
        <w:pStyle w:val="ListParagraph"/>
        <w:numPr>
          <w:ilvl w:val="0"/>
          <w:numId w:val="2"/>
        </w:numPr>
        <w:spacing w:before="0" w:after="60"/>
      </w:pPr>
      <w:r>
        <w:rPr>
          <w:rFonts w:ascii="Arial" w:cs="Arial" w:eastAsia="Arial" w:hAnsi="Arial"/>
          <w:color w:val="555555"/>
          <w:sz w:val="21"/>
          <w:szCs w:val="21"/>
        </w:rPr>
        <w:t xml:space="preserve">Deployed ITIL-aligned service management practices across the regional IT function, standardising incident, change, and problem management across multiple time zones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Consolidating Two Incompatible IT Estates Following the LaserCard Acquisition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In 2011, HID Global acquired LaserCard Corporation — a US-based manufacturer of optical memory cards used in government identity documents, including passports and national ID programmes. LaserCard had a significant EMEA manufacturing and fulfilment operation with its own separate IT estate: a different ERP system, a distinct network infrastructure, and data centre facilities in Germany operating under European data protection law. Both businesses were serving highly security-sensitive government clients with zero tolerance for data exposure or system downtime.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regional IT Director for UK/EMEA and Asia, I was accountable for the post-acquisition IT integration in the EMEA region. I needed to consolidate LaserCard's European IT environment into HID Global's existing ASSA ABLOY group infrastructure without disrupting active government ID card production programmes or creating any data protection compliance gaps.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led an intensive IT due diligence workstream in the months following announcement, mapping every system, network connection, and data store across the LaserCard EMEA estate. I designed a phased migration plan that prioritised network integration first, then ERP consolidation using a parallel-run approach, and finally data centre rationalisation. Given the sensitivity of government identity data, I co-designed a data handling protocol with the ASSA ABLOY Group Data Protection Officer and the LaserCard Legal team before any data was transferred. I maintained direct communication with the operational leadership at the LaserCard Germany facility throughout to ensure production schedules were protected.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EMEA integration was completed within the programme timeline with no disruption to government client delivery programmes. The data centre rationalisation delivered an estimated £180,000 per annum in infrastructure cost savings. The integration methodology I developed was subsequently adopted by ASSA ABLOY Group IT as the standard framework for post-acquisition IT integration across the group's European technology businesses.</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Director  ·  IT Strategy  ·  Gate Process  ·  Waterfall  ·  ITIL  ·  Eisenhower Matrix  ·  EMEA IT Management  ·  Asia Pacific IT  ·  M&amp;A IT Integration  ·  ERP Implementation  ·  Cloud Computing  ·  Virtualisation  ·  Data Centre Operations  ·  WAN  ·  Cyber Security  ·  ISO 27001  ·  GDPR  ·  IAM  ·  RFID</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ISO 27001  ·  Ofcom / FCC (US)  ·  ISO/IEC 18000 (RFID)  ·  ICO / Regional DPAs  ·  ECJU / BIS (Export Control)</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Director</w:t>
      </w:r>
    </w:p>
    <w:p>
      <w:pPr>
        <w:spacing w:before="0" w:after="20"/>
      </w:pPr>
      <w:r>
        <w:rPr>
          <w:rFonts w:ascii="Arial" w:cs="Arial" w:eastAsia="Arial" w:hAnsi="Arial"/>
          <w:b/>
          <w:bCs/>
          <w:color w:val="2A5080"/>
          <w:sz w:val="23"/>
          <w:szCs w:val="23"/>
        </w:rPr>
        <w:t xml:space="preserve">ghd (Good Hair Day) – The Jemella Group Ltd</w:t>
      </w:r>
      <w:r>
        <w:rPr>
          <w:rFonts w:ascii="Arial" w:cs="Arial" w:eastAsia="Arial" w:hAnsi="Arial"/>
          <w:color w:val="888888"/>
          <w:sz w:val="22"/>
          <w:szCs w:val="22"/>
        </w:rPr>
        <w:t xml:space="preserve">  |  </w:t>
      </w:r>
      <w:r>
        <w:rPr>
          <w:rFonts w:ascii="Arial" w:cs="Arial" w:eastAsia="Arial" w:hAnsi="Arial"/>
          <w:color w:val="888888"/>
          <w:sz w:val="22"/>
          <w:szCs w:val="22"/>
        </w:rPr>
        <w:t xml:space="preserve">Consumer Goods / Personal Care (PE-backed)</w:t>
      </w:r>
    </w:p>
    <w:p>
      <w:pPr>
        <w:spacing w:before="0" w:after="80"/>
      </w:pPr>
      <w:r>
        <w:rPr>
          <w:rFonts w:ascii="Arial" w:cs="Arial" w:eastAsia="Arial" w:hAnsi="Arial"/>
          <w:b/>
          <w:bCs/>
          <w:color w:val="555555"/>
          <w:sz w:val="21"/>
          <w:szCs w:val="21"/>
        </w:rPr>
        <w:t xml:space="preserve">January 2008 – January 2011</w:t>
      </w:r>
      <w:r>
        <w:rPr>
          <w:rFonts w:ascii="Arial" w:cs="Arial" w:eastAsia="Arial" w:hAnsi="Arial"/>
          <w:sz w:val="21"/>
          <w:szCs w:val="21"/>
        </w:rPr>
        <w:t xml:space="preserve">   </w:t>
      </w:r>
      <w:r>
        <w:rPr>
          <w:rFonts w:ascii="Arial" w:cs="Arial" w:eastAsia="Arial" w:hAnsi="Arial"/>
          <w:color w:val="888888"/>
          <w:sz w:val="21"/>
          <w:szCs w:val="21"/>
        </w:rPr>
        <w:t xml:space="preserve">Leeds, UK (50,000+ salon partners worldwide)</w:t>
      </w:r>
    </w:p>
    <w:p>
      <w:pPr>
        <w:spacing w:before="0" w:after="80"/>
      </w:pPr>
      <w:r>
        <w:rPr>
          <w:rFonts w:ascii="Arial" w:cs="Arial" w:eastAsia="Arial" w:hAnsi="Arial"/>
          <w:color w:val="555555"/>
          <w:sz w:val="21"/>
          <w:szCs w:val="21"/>
        </w:rPr>
        <w:t xml:space="preserve">Led the technology strategy and IT function for ghd, a premium consumer goods brand operating under Montagu Private Equity ownership following a £160 million acquisition in 2007, undergoing significant international expansion across Europe and North America. Reported to the CEO and board as a member of the senior leadership team.</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Delivered a scalable ERP and supply chain platform using a Waterfall programme approach, with formal Gate Process reviews at requirements, design, build, and deployment phases</w:t>
      </w:r>
    </w:p>
    <w:p>
      <w:pPr>
        <w:pStyle w:val="ListParagraph"/>
        <w:numPr>
          <w:ilvl w:val="0"/>
          <w:numId w:val="2"/>
        </w:numPr>
        <w:spacing w:before="0" w:after="60"/>
      </w:pPr>
      <w:r>
        <w:rPr>
          <w:rFonts w:ascii="Arial" w:cs="Arial" w:eastAsia="Arial" w:hAnsi="Arial"/>
          <w:color w:val="555555"/>
          <w:sz w:val="21"/>
          <w:szCs w:val="21"/>
        </w:rPr>
        <w:t xml:space="preserve">Applied RICE scoring to evaluate and rank competing IT investment proposals presented to the Montagu PE board, providing a structured evidence base for budget allocation decisions</w:t>
      </w:r>
    </w:p>
    <w:p>
      <w:pPr>
        <w:pStyle w:val="ListParagraph"/>
        <w:numPr>
          <w:ilvl w:val="0"/>
          <w:numId w:val="2"/>
        </w:numPr>
        <w:spacing w:before="0" w:after="60"/>
      </w:pPr>
      <w:r>
        <w:rPr>
          <w:rFonts w:ascii="Arial" w:cs="Arial" w:eastAsia="Arial" w:hAnsi="Arial"/>
          <w:color w:val="555555"/>
          <w:sz w:val="21"/>
          <w:szCs w:val="21"/>
        </w:rPr>
        <w:t xml:space="preserve">Implemented a CRM and salon partner management platform supporting 50,000+ B2B trade accounts globally</w:t>
      </w:r>
    </w:p>
    <w:p>
      <w:pPr>
        <w:pStyle w:val="ListParagraph"/>
        <w:numPr>
          <w:ilvl w:val="0"/>
          <w:numId w:val="2"/>
        </w:numPr>
        <w:spacing w:before="0" w:after="60"/>
      </w:pPr>
      <w:r>
        <w:rPr>
          <w:rFonts w:ascii="Arial" w:cs="Arial" w:eastAsia="Arial" w:hAnsi="Arial"/>
          <w:color w:val="555555"/>
          <w:sz w:val="21"/>
          <w:szCs w:val="21"/>
        </w:rPr>
        <w:t xml:space="preserve">Directed development and scaling of ghd's direct-to-consumer (DTC) e-commerce platform and digital sales infrastructure</w:t>
      </w:r>
    </w:p>
    <w:p>
      <w:pPr>
        <w:pStyle w:val="ListParagraph"/>
        <w:numPr>
          <w:ilvl w:val="0"/>
          <w:numId w:val="2"/>
        </w:numPr>
        <w:spacing w:before="0" w:after="60"/>
      </w:pPr>
      <w:r>
        <w:rPr>
          <w:rFonts w:ascii="Arial" w:cs="Arial" w:eastAsia="Arial" w:hAnsi="Arial"/>
          <w:color w:val="555555"/>
          <w:sz w:val="21"/>
          <w:szCs w:val="21"/>
        </w:rPr>
        <w:t xml:space="preserve">Reduced IT operational costs through vendor rationalisation and infrastructure consolidation while improving system uptime</w:t>
      </w:r>
    </w:p>
    <w:p>
      <w:pPr>
        <w:pStyle w:val="ListParagraph"/>
        <w:numPr>
          <w:ilvl w:val="0"/>
          <w:numId w:val="2"/>
        </w:numPr>
        <w:spacing w:before="0" w:after="60"/>
      </w:pPr>
      <w:r>
        <w:rPr>
          <w:rFonts w:ascii="Arial" w:cs="Arial" w:eastAsia="Arial" w:hAnsi="Arial"/>
          <w:color w:val="555555"/>
          <w:sz w:val="21"/>
          <w:szCs w:val="21"/>
        </w:rPr>
        <w:t xml:space="preserve">Established IT security and data governance frameworks aligned to private equity governance requirements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Implementing an ERP Platform to Support International Market Expansion Under Private Equity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When Montagu Private Equity acquired ghd in 2007 for £160 million, the business was operating with a patchwork of country-specific legacy systems — separate databases for UK, European, and emerging North American operations with no integration between them. Finance, supply chain, and order management data existed in silos, making consolidated reporting to the PE board virtually impossible and rendering international inventory management unreliable.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IT Director, I was tasked with delivering a unified ERP platform that would support ghd's expansion into European and North American markets, provide consolidated financial reporting to the Montagu board, and integrate with the supply chain operations supporting 50,000+ salon partners worldwide — within the budget constraints of a PE-backed business with a defined investment horizon.</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led a structured ERP evaluation process, presenting a business-cased recommendation to the CEO and CFO that balanced functionality, implementation risk, and total cost of ownership. Following selection, I directed the implementation programme — managing the internal IT team, the system integrator, and business stakeholders across Finance, Supply Chain, and Sales. I phased the rollout by market, starting with the UK core operation to de-risk the most complex data migration before extending to European subsidiaries. I established a parallel-run period for Finance to validate reporting output before the legacy systems were decommissioned.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ERP went live on schedule across the UK and key European markets. Consolidated financial reporting was in place for the next Montagu board cycle, and inventory accuracy across international markets improved significantly — reducing both stockouts and overstock write-offs. The platform directly enabled ghd's entry into the North American market by providing the infrastructure for multi-currency, multi-entity operations, contributing to the double-digit revenue growth achieved during the PE ownership period.</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Director  ·  IT Strategy  ·  Waterfall  ·  Gate Process  ·  RICE Scoring  ·  Digital Transformation  ·  ERP Implementation  ·  SAP  ·  Microsoft Dynamics  ·  E-commerce  ·  CRM  ·  Salesforce  ·  Supply Chain Systems  ·  Infrastructure Management  ·  Cyber Security  ·  PCI-DSS  ·  GDPR  ·  Private Equity Technology</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FCA (PE firm)  ·  ISO 9001 / ISO 14001  ·  MHRA / Trading Standards  ·  CE / UKCA marking  ·  ICO</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Head of IT Business Systems – Europe</w:t>
      </w:r>
    </w:p>
    <w:p>
      <w:pPr>
        <w:spacing w:before="0" w:after="20"/>
      </w:pPr>
      <w:r>
        <w:rPr>
          <w:rFonts w:ascii="Arial" w:cs="Arial" w:eastAsia="Arial" w:hAnsi="Arial"/>
          <w:b/>
          <w:bCs/>
          <w:color w:val="2A5080"/>
          <w:sz w:val="23"/>
          <w:szCs w:val="23"/>
        </w:rPr>
        <w:t xml:space="preserve">International Game Technology (IGT) / Barcrest Games</w:t>
      </w:r>
      <w:r>
        <w:rPr>
          <w:rFonts w:ascii="Arial" w:cs="Arial" w:eastAsia="Arial" w:hAnsi="Arial"/>
          <w:color w:val="888888"/>
          <w:sz w:val="22"/>
          <w:szCs w:val="22"/>
        </w:rPr>
        <w:t xml:space="preserve">  |  </w:t>
      </w:r>
      <w:r>
        <w:rPr>
          <w:rFonts w:ascii="Arial" w:cs="Arial" w:eastAsia="Arial" w:hAnsi="Arial"/>
          <w:color w:val="888888"/>
          <w:sz w:val="22"/>
          <w:szCs w:val="22"/>
        </w:rPr>
        <w:t xml:space="preserve">Gaming Technology / Slot Machine Manufacturing</w:t>
      </w:r>
    </w:p>
    <w:p>
      <w:pPr>
        <w:spacing w:before="0" w:after="80"/>
      </w:pPr>
      <w:r>
        <w:rPr>
          <w:rFonts w:ascii="Arial" w:cs="Arial" w:eastAsia="Arial" w:hAnsi="Arial"/>
          <w:b/>
          <w:bCs/>
          <w:color w:val="555555"/>
          <w:sz w:val="21"/>
          <w:szCs w:val="21"/>
        </w:rPr>
        <w:t xml:space="preserve">August 2004 – November 2007</w:t>
      </w:r>
      <w:r>
        <w:rPr>
          <w:rFonts w:ascii="Arial" w:cs="Arial" w:eastAsia="Arial" w:hAnsi="Arial"/>
          <w:sz w:val="21"/>
          <w:szCs w:val="21"/>
        </w:rPr>
        <w:t xml:space="preserve">   </w:t>
      </w:r>
      <w:r>
        <w:rPr>
          <w:rFonts w:ascii="Arial" w:cs="Arial" w:eastAsia="Arial" w:hAnsi="Arial"/>
          <w:color w:val="888888"/>
          <w:sz w:val="21"/>
          <w:szCs w:val="21"/>
        </w:rPr>
        <w:t xml:space="preserve">UK / Netherlands / Europe (Reno HQ liaison)</w:t>
      </w:r>
    </w:p>
    <w:p>
      <w:pPr>
        <w:spacing w:before="0" w:after="80"/>
      </w:pPr>
      <w:r>
        <w:rPr>
          <w:rFonts w:ascii="Arial" w:cs="Arial" w:eastAsia="Arial" w:hAnsi="Arial"/>
          <w:color w:val="555555"/>
          <w:sz w:val="21"/>
          <w:szCs w:val="21"/>
        </w:rPr>
        <w:t xml:space="preserve">Led the design, delivery, and operational management of enterprise IT business systems across IGT's European operations — IGT-UK Limited and IGT Europe B.V. — supporting IGT as the world's leading slot machine and gaming technology manufacturer. Held full accountability for business systems strategy, ERP governance, regulatory technology compliance, and multi-site systems integration.</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Led the Oracle ERP end-of-life migration programme using a Waterfall methodology, with formal Gate Process checkpoints at scoping, design approval, data migration sign-off, and go-live readiness review</w:t>
      </w:r>
    </w:p>
    <w:p>
      <w:pPr>
        <w:pStyle w:val="ListParagraph"/>
        <w:numPr>
          <w:ilvl w:val="0"/>
          <w:numId w:val="2"/>
        </w:numPr>
        <w:spacing w:before="0" w:after="60"/>
      </w:pPr>
      <w:r>
        <w:rPr>
          <w:rFonts w:ascii="Arial" w:cs="Arial" w:eastAsia="Arial" w:hAnsi="Arial"/>
          <w:color w:val="555555"/>
          <w:sz w:val="21"/>
          <w:szCs w:val="21"/>
        </w:rPr>
        <w:t xml:space="preserve">Engaged Mokum Managed Services (Oracle specialists, Canary Wharf) to deliver the migration from an unsupported Oracle version to a fully supported current release</w:t>
      </w:r>
    </w:p>
    <w:p>
      <w:pPr>
        <w:pStyle w:val="ListParagraph"/>
        <w:numPr>
          <w:ilvl w:val="0"/>
          <w:numId w:val="2"/>
        </w:numPr>
        <w:spacing w:before="0" w:after="60"/>
      </w:pPr>
      <w:r>
        <w:rPr>
          <w:rFonts w:ascii="Arial" w:cs="Arial" w:eastAsia="Arial" w:hAnsi="Arial"/>
          <w:color w:val="555555"/>
          <w:sz w:val="21"/>
          <w:szCs w:val="21"/>
        </w:rPr>
        <w:t xml:space="preserve">Supported technology compliance arising from the UK Gambling Act 2005, ensuring business systems met Gaming Commission requirements</w:t>
      </w:r>
    </w:p>
    <w:p>
      <w:pPr>
        <w:pStyle w:val="ListParagraph"/>
        <w:numPr>
          <w:ilvl w:val="0"/>
          <w:numId w:val="2"/>
        </w:numPr>
        <w:spacing w:before="0" w:after="60"/>
      </w:pPr>
      <w:r>
        <w:rPr>
          <w:rFonts w:ascii="Arial" w:cs="Arial" w:eastAsia="Arial" w:hAnsi="Arial"/>
          <w:color w:val="555555"/>
          <w:sz w:val="21"/>
          <w:szCs w:val="21"/>
        </w:rPr>
        <w:t xml:space="preserve">Managed IT integration associated with the post-acquisition consolidation of Barcrest Gaming (UK)</w:t>
      </w:r>
    </w:p>
    <w:p>
      <w:pPr>
        <w:pStyle w:val="ListParagraph"/>
        <w:numPr>
          <w:ilvl w:val="0"/>
          <w:numId w:val="2"/>
        </w:numPr>
        <w:spacing w:before="0" w:after="60"/>
      </w:pPr>
      <w:r>
        <w:rPr>
          <w:rFonts w:ascii="Arial" w:cs="Arial" w:eastAsia="Arial" w:hAnsi="Arial"/>
          <w:color w:val="555555"/>
          <w:sz w:val="21"/>
          <w:szCs w:val="21"/>
        </w:rPr>
        <w:t xml:space="preserve">Supported the WagerWorks acquisition (2005), contributing to onboarding of online gaming platform infrastructure</w:t>
      </w:r>
    </w:p>
    <w:p>
      <w:pPr>
        <w:pStyle w:val="ListParagraph"/>
        <w:numPr>
          <w:ilvl w:val="0"/>
          <w:numId w:val="2"/>
        </w:numPr>
        <w:spacing w:before="0" w:after="60"/>
      </w:pPr>
      <w:r>
        <w:rPr>
          <w:rFonts w:ascii="Arial" w:cs="Arial" w:eastAsia="Arial" w:hAnsi="Arial"/>
          <w:color w:val="555555"/>
          <w:sz w:val="21"/>
          <w:szCs w:val="21"/>
        </w:rPr>
        <w:t xml:space="preserve">Established ITIL service management practices across the European IT business systems function, improving ERP support responsiveness and incident resolution times</w:t>
      </w:r>
    </w:p>
    <w:p>
      <w:pPr>
        <w:pStyle w:val="ListParagraph"/>
        <w:numPr>
          <w:ilvl w:val="0"/>
          <w:numId w:val="2"/>
        </w:numPr>
        <w:spacing w:before="0" w:after="60"/>
      </w:pPr>
      <w:r>
        <w:rPr>
          <w:rFonts w:ascii="Arial" w:cs="Arial" w:eastAsia="Arial" w:hAnsi="Arial"/>
          <w:color w:val="555555"/>
          <w:sz w:val="21"/>
          <w:szCs w:val="21"/>
        </w:rPr>
        <w:t xml:space="preserve">Managed a multi-million pound European IT business systems budget across vendor contracts and capital expenditure</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Migrating an End-of-life Oracle ERP to a Supported Version with Mokum Managed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When I joined IGT — operating in the UK through Barcrest Games — the Oracle ERP system underpinning the business was fast approaching end of life. The platform was running on an unsupported version, meaning it was receiving no security patches, no vendor fixes, and no regulatory updates. This exposed the business to significant operational, security, and compliance risk in a regulated gaming environment where auditability and system integrity are mandatory requirements of the Gambling Commission.</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Head of IT Business Systems for Europe, I needed to engage appropriate specialist expertise and lead the migration from the unsupported Oracle version to a fully supported, current release — with minimal disruption to business operations and without compromising the integrity of the financial, supply chain, and operational data that the system held.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identified and engaged Mokum Managed Services, an Oracle specialist practice based in Canary Wharf, London. I worked with Mokum to scope the full migration programme, mapping the existing configuration, customisations, and data structures against the target version requirements. I managed the programme internally — coordinating with Finance, Operations, and the field service teams who depended on the ERP daily — whilst Mokum led the technical migration workstreams. A phased approach was adopted to allow thorough testing of each module before cutover, with a parallel-run period for Finance to validate reporting continuity.</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Oracle ERP was successfully migrated to a fully supported version, eliminating the operational and compliance risks associated with running end-of-life software. The engagement with Mokum Managed Services also established an ongoing support relationship that provided IGT's European operations with specialist Oracle expertise on a retained basis, improving system reliability and reducing dependency on internal resource for complex platform management.</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Waterfall  ·  Gate Process  ·  ITIL  ·  ERP Implementation  ·  Oracle ERP  ·  IT Business Systems  ·  Multi-site IT Operations  ·  Gaming Regulatory Compliance  ·  IT Governance  ·  Enterprise Application Integration  ·  Change Management  ·  Vendor Management  ·  Budget Management  ·  Casino Management Systems  ·  Post-acquisition IT Integration</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Gambling Commission (UK)  ·  European national gambling regulators  ·  GLI  ·  ISO 9001 / ITIL  ·  ICO / EU DPAs</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Programme Director – Bowman Radio Conversion Programme</w:t>
      </w:r>
    </w:p>
    <w:p>
      <w:pPr>
        <w:spacing w:before="0" w:after="20"/>
      </w:pPr>
      <w:r>
        <w:rPr>
          <w:rFonts w:ascii="Arial" w:cs="Arial" w:eastAsia="Arial" w:hAnsi="Arial"/>
          <w:b/>
          <w:bCs/>
          <w:color w:val="2A5080"/>
          <w:sz w:val="23"/>
          <w:szCs w:val="23"/>
        </w:rPr>
        <w:t xml:space="preserve">MOD Ashchurch / General Dynamics UK</w:t>
      </w:r>
      <w:r>
        <w:rPr>
          <w:rFonts w:ascii="Arial" w:cs="Arial" w:eastAsia="Arial" w:hAnsi="Arial"/>
          <w:color w:val="888888"/>
          <w:sz w:val="22"/>
          <w:szCs w:val="22"/>
        </w:rPr>
        <w:t xml:space="preserve">  |  </w:t>
      </w:r>
      <w:r>
        <w:rPr>
          <w:rFonts w:ascii="Arial" w:cs="Arial" w:eastAsia="Arial" w:hAnsi="Arial"/>
          <w:color w:val="888888"/>
          <w:sz w:val="22"/>
          <w:szCs w:val="22"/>
        </w:rPr>
        <w:t xml:space="preserve">Defence / Engineering</w:t>
      </w:r>
    </w:p>
    <w:p>
      <w:pPr>
        <w:spacing w:before="0" w:after="80"/>
      </w:pPr>
      <w:r>
        <w:rPr>
          <w:rFonts w:ascii="Arial" w:cs="Arial" w:eastAsia="Arial" w:hAnsi="Arial"/>
          <w:b/>
          <w:bCs/>
          <w:color w:val="555555"/>
          <w:sz w:val="21"/>
          <w:szCs w:val="21"/>
        </w:rPr>
        <w:t xml:space="preserve">May 2002 – August 2004</w:t>
      </w:r>
      <w:r>
        <w:rPr>
          <w:rFonts w:ascii="Arial" w:cs="Arial" w:eastAsia="Arial" w:hAnsi="Arial"/>
          <w:sz w:val="21"/>
          <w:szCs w:val="21"/>
        </w:rPr>
        <w:t xml:space="preserve">   </w:t>
      </w:r>
      <w:r>
        <w:rPr>
          <w:rFonts w:ascii="Arial" w:cs="Arial" w:eastAsia="Arial" w:hAnsi="Arial"/>
          <w:color w:val="888888"/>
          <w:sz w:val="21"/>
          <w:szCs w:val="21"/>
        </w:rPr>
        <w:t xml:space="preserve">MOD Ashchurch, Gloucestershire</w:t>
      </w:r>
    </w:p>
    <w:p>
      <w:pPr>
        <w:spacing w:before="0" w:after="80"/>
      </w:pPr>
      <w:r>
        <w:rPr>
          <w:rFonts w:ascii="Arial" w:cs="Arial" w:eastAsia="Arial" w:hAnsi="Arial"/>
          <w:color w:val="555555"/>
          <w:sz w:val="21"/>
          <w:szCs w:val="21"/>
        </w:rPr>
        <w:t xml:space="preserve">Headhunted by General Dynamics to provide senior IT programme management at MOD Ashchurch in direct support of the Clansman-to-Bowman tactical radio conversion programme — one of the largest vehicle communications upgrade programmes in British military history, encompassing approximately 80,000 Army vehicles. The programme achieved its In-Service Declaration in March 2004, described by the MoD as unprecedented in UK defence acquisition history.</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Designed and built BERT (Bowman Equipment Resource Tracker) from the ground up — a bespoke system and centralised data warehouse tracking every movement of Bowman equipment across 80,000 vehicles</w:t>
      </w:r>
    </w:p>
    <w:p>
      <w:pPr>
        <w:pStyle w:val="ListParagraph"/>
        <w:numPr>
          <w:ilvl w:val="0"/>
          <w:numId w:val="2"/>
        </w:numPr>
        <w:spacing w:before="0" w:after="60"/>
      </w:pPr>
      <w:r>
        <w:rPr>
          <w:rFonts w:ascii="Arial" w:cs="Arial" w:eastAsia="Arial" w:hAnsi="Arial"/>
          <w:color w:val="555555"/>
          <w:sz w:val="21"/>
          <w:szCs w:val="21"/>
        </w:rPr>
        <w:t xml:space="preserve">Led end-to-end IT programme support using a Waterfall delivery methodology under PRINCE2, with programme governance structured around defined stage gates aligned to the MoD's In-Service Declaration milestones</w:t>
      </w:r>
    </w:p>
    <w:p>
      <w:pPr>
        <w:pStyle w:val="ListParagraph"/>
        <w:numPr>
          <w:ilvl w:val="0"/>
          <w:numId w:val="2"/>
        </w:numPr>
        <w:spacing w:before="0" w:after="60"/>
      </w:pPr>
      <w:r>
        <w:rPr>
          <w:rFonts w:ascii="Arial" w:cs="Arial" w:eastAsia="Arial" w:hAnsi="Arial"/>
          <w:color w:val="555555"/>
          <w:sz w:val="21"/>
          <w:szCs w:val="21"/>
        </w:rPr>
        <w:t xml:space="preserve">Applied a Gate Process at each major BERT development and deployment phase, ensuring MoD sign-off before progression and maintaining full audit trail compliance</w:t>
      </w:r>
    </w:p>
    <w:p>
      <w:pPr>
        <w:pStyle w:val="ListParagraph"/>
        <w:numPr>
          <w:ilvl w:val="0"/>
          <w:numId w:val="2"/>
        </w:numPr>
        <w:spacing w:before="0" w:after="60"/>
      </w:pPr>
      <w:r>
        <w:rPr>
          <w:rFonts w:ascii="Arial" w:cs="Arial" w:eastAsia="Arial" w:hAnsi="Arial"/>
          <w:color w:val="555555"/>
          <w:sz w:val="21"/>
          <w:szCs w:val="21"/>
        </w:rPr>
        <w:t xml:space="preserve">Developed management information and MI reporting tools used by DLO programme managers and MoD stakeholders</w:t>
      </w:r>
    </w:p>
    <w:p>
      <w:pPr>
        <w:pStyle w:val="ListParagraph"/>
        <w:numPr>
          <w:ilvl w:val="0"/>
          <w:numId w:val="2"/>
        </w:numPr>
        <w:spacing w:before="0" w:after="60"/>
      </w:pPr>
      <w:r>
        <w:rPr>
          <w:rFonts w:ascii="Arial" w:cs="Arial" w:eastAsia="Arial" w:hAnsi="Arial"/>
          <w:color w:val="555555"/>
          <w:sz w:val="21"/>
          <w:szCs w:val="21"/>
        </w:rPr>
        <w:t xml:space="preserve">Acted as primary IT interface between the Ashchurch site team, General Dynamics UK programme staff, ABRO, and MoD project managers</w:t>
      </w:r>
    </w:p>
    <w:p>
      <w:pPr>
        <w:pStyle w:val="ListParagraph"/>
        <w:numPr>
          <w:ilvl w:val="0"/>
          <w:numId w:val="2"/>
        </w:numPr>
        <w:spacing w:before="0" w:after="60"/>
      </w:pPr>
      <w:r>
        <w:rPr>
          <w:rFonts w:ascii="Arial" w:cs="Arial" w:eastAsia="Arial" w:hAnsi="Arial"/>
          <w:color w:val="555555"/>
          <w:sz w:val="21"/>
          <w:szCs w:val="21"/>
        </w:rPr>
        <w:t xml:space="preserve">Ensured all IT systems and data handling met MoD security classification requirements for a sensitive defence programme environment</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Headhunted to Build BERT — the Bowman Equipment Resource Tracker — from the Ground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was headhunted by General Dynamics to join the Bowman Radio conversion programme at MOD Ashchurch. The programme required the systematic deployment of the new Bowman C4I digital tactical radio system across approximately 80,000 British Army vehicles — one of the largest and most complex communications upgrade programmes in the history of the British Army. At the outset, there was no core IT infrastructure and no software system in place to manage or track the movement, fitment status, or deployment progress of Bowman equipment across the programme.</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was brought in specifically to establish the core IT infrastructure required to support the programme and to design and build a bespoke system capable of tracking every movement of Bowman equipment throughout the entire deployment lifecycle — providing programme leadership, General Dynamics, and MoD stakeholders with accurate, real-time visibility of progress across 80,000 vehicles.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devised and built a system I named BERT — the Bowman Equipment Resource Tracker. BERT was designed from scratch to record and centralise every movement of Bowman equipment: from initial receipt and allocation, through fitment scheduling, installation, testing, and sign-off, to return-to-unit confirmation. All data was written into a centralised data warehouse, giving programme managers a single authoritative source of truth for equipment status at any point in the conversion cycle. I built the underlying infrastructure to host and run BERT at MOD Ashchurch, established the data entry protocols for engineering and logistics teams, and created the MI reporting suite that fed weekly programme status reports to DLO management and the MoD's Defence Procurement Agency.</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BERT became the operational backbone of the Bowman deployment programme. For the first time, programme leadership had a complete, centralised, and current picture of every piece of Bowman equipment in the system — where it was, what stage it had reached, and what was outstanding. This visibility directly enabled the scheduling decisions and resource interventions that kept the programme on track. The Bowman programme achieved its In-Service Declaration in March 2004 — just 30 months from contract award — a milestone the MoD described as unprecedented in the history of major UK defence acquisition.</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Programme Director  ·  Waterfall  ·  Gate Process  ·  PRINCE2  ·  PMP  ·  Programme Management  ·  MoD  ·  Defence Equipment Support  ·  BERT (Bowman Equipment Resource Tracker)  ·  Data Warehouse  ·  MI Reporting  ·  IT Infrastructure  ·  Helpdesk Management  ·  Technical Documentation  ·  Stakeholder Management  ·  ITIL</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MOD / DE&amp;S  ·  ECJU (Export Control)  ·  NCSC  ·  DEF STAN / NATO STANAG  ·  DSPCR</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Programmer / Application Specialist</w:t>
      </w:r>
    </w:p>
    <w:p>
      <w:pPr>
        <w:spacing w:before="0" w:after="20"/>
      </w:pPr>
      <w:r>
        <w:rPr>
          <w:rFonts w:ascii="Arial" w:cs="Arial" w:eastAsia="Arial" w:hAnsi="Arial"/>
          <w:b/>
          <w:bCs/>
          <w:color w:val="2A5080"/>
          <w:sz w:val="23"/>
          <w:szCs w:val="23"/>
        </w:rPr>
        <w:t xml:space="preserve">British Aerospace (BAE Systems)</w:t>
      </w:r>
      <w:r>
        <w:rPr>
          <w:rFonts w:ascii="Arial" w:cs="Arial" w:eastAsia="Arial" w:hAnsi="Arial"/>
          <w:color w:val="888888"/>
          <w:sz w:val="22"/>
          <w:szCs w:val="22"/>
        </w:rPr>
        <w:t xml:space="preserve">  |  </w:t>
      </w:r>
      <w:r>
        <w:rPr>
          <w:rFonts w:ascii="Arial" w:cs="Arial" w:eastAsia="Arial" w:hAnsi="Arial"/>
          <w:color w:val="888888"/>
          <w:sz w:val="22"/>
          <w:szCs w:val="22"/>
        </w:rPr>
        <w:t xml:space="preserve">Aerospace &amp; Defence</w:t>
      </w:r>
    </w:p>
    <w:p>
      <w:pPr>
        <w:spacing w:before="0" w:after="80"/>
      </w:pPr>
      <w:r>
        <w:rPr>
          <w:rFonts w:ascii="Arial" w:cs="Arial" w:eastAsia="Arial" w:hAnsi="Arial"/>
          <w:b/>
          <w:bCs/>
          <w:color w:val="555555"/>
          <w:sz w:val="21"/>
          <w:szCs w:val="21"/>
        </w:rPr>
        <w:t xml:space="preserve">May 1999 – April 2002</w:t>
      </w:r>
      <w:r>
        <w:rPr>
          <w:rFonts w:ascii="Arial" w:cs="Arial" w:eastAsia="Arial" w:hAnsi="Arial"/>
          <w:sz w:val="21"/>
          <w:szCs w:val="21"/>
        </w:rPr>
        <w:t xml:space="preserve">   </w:t>
      </w:r>
      <w:r>
        <w:rPr>
          <w:rFonts w:ascii="Arial" w:cs="Arial" w:eastAsia="Arial" w:hAnsi="Arial"/>
          <w:color w:val="888888"/>
          <w:sz w:val="21"/>
          <w:szCs w:val="21"/>
        </w:rPr>
        <w:t xml:space="preserve">Woodford, Cheshire</w:t>
      </w:r>
    </w:p>
    <w:p>
      <w:pPr>
        <w:spacing w:before="0" w:after="80"/>
      </w:pPr>
      <w:r>
        <w:rPr>
          <w:rFonts w:ascii="Arial" w:cs="Arial" w:eastAsia="Arial" w:hAnsi="Arial"/>
          <w:color w:val="555555"/>
          <w:sz w:val="21"/>
          <w:szCs w:val="21"/>
        </w:rPr>
        <w:t xml:space="preserve">Engaged on the Nimrod MRA4 programme — a £2.2 billion MoD fixed-price defence contract to remanufacture and upgrade 21 Nimrod MR2 maritime patrol aircraft for the Royal Air Force. Worked within an Integrated Project Team (IPT) environment, supporting software development and application deployment across design, engineering, and production workflows.</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Developed, tested, and maintained bespoke engineering and production applications within an Integrated Project Team (IPT) using a Waterfall development lifecycle with formal Gate Process reviews at requirements, design, build, and test phases</w:t>
      </w:r>
    </w:p>
    <w:p>
      <w:pPr>
        <w:pStyle w:val="ListParagraph"/>
        <w:numPr>
          <w:ilvl w:val="0"/>
          <w:numId w:val="2"/>
        </w:numPr>
        <w:spacing w:before="0" w:after="60"/>
      </w:pPr>
      <w:r>
        <w:rPr>
          <w:rFonts w:ascii="Arial" w:cs="Arial" w:eastAsia="Arial" w:hAnsi="Arial"/>
          <w:color w:val="555555"/>
          <w:sz w:val="21"/>
          <w:szCs w:val="21"/>
        </w:rPr>
        <w:t xml:space="preserve">Applied MoSCoW prioritisation when scoping the airframe documentation system to distinguish mandatory structural data capture requirements from supplementary analytical features</w:t>
      </w:r>
    </w:p>
    <w:p>
      <w:pPr>
        <w:pStyle w:val="ListParagraph"/>
        <w:numPr>
          <w:ilvl w:val="0"/>
          <w:numId w:val="2"/>
        </w:numPr>
        <w:spacing w:before="0" w:after="60"/>
      </w:pPr>
      <w:r>
        <w:rPr>
          <w:rFonts w:ascii="Arial" w:cs="Arial" w:eastAsia="Arial" w:hAnsi="Arial"/>
          <w:color w:val="555555"/>
          <w:sz w:val="21"/>
          <w:szCs w:val="21"/>
        </w:rPr>
        <w:t xml:space="preserve">Undertook the first-ever complete photographic and structural documentation of the Nimrod airframe from the inside immediately after strip-down, building a bespoke data capture system to reference and log structural discrepancies</w:t>
      </w:r>
    </w:p>
    <w:p>
      <w:pPr>
        <w:pStyle w:val="ListParagraph"/>
        <w:numPr>
          <w:ilvl w:val="0"/>
          <w:numId w:val="2"/>
        </w:numPr>
        <w:spacing w:before="0" w:after="60"/>
      </w:pPr>
      <w:r>
        <w:rPr>
          <w:rFonts w:ascii="Arial" w:cs="Arial" w:eastAsia="Arial" w:hAnsi="Arial"/>
          <w:color w:val="555555"/>
          <w:sz w:val="21"/>
          <w:szCs w:val="21"/>
        </w:rPr>
        <w:t xml:space="preserve">Contributed to application support for the Weapon System Integration Rig (WSIR) and related ground test infrastructure</w:t>
      </w:r>
    </w:p>
    <w:p>
      <w:pPr>
        <w:pStyle w:val="ListParagraph"/>
        <w:numPr>
          <w:ilvl w:val="0"/>
          <w:numId w:val="2"/>
        </w:numPr>
        <w:spacing w:before="0" w:after="60"/>
      </w:pPr>
      <w:r>
        <w:rPr>
          <w:rFonts w:ascii="Arial" w:cs="Arial" w:eastAsia="Arial" w:hAnsi="Arial"/>
          <w:color w:val="555555"/>
          <w:sz w:val="21"/>
          <w:szCs w:val="21"/>
        </w:rPr>
        <w:t xml:space="preserve">Collaborated with teams at Woodford, Chadderton, and Warton, alongside external partners including Boeing and Rolls-Royce</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First-ever Complete Photographic and Structural Documentation of the Nimrod Airframe from the Inside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One of my responsibilities on the Nimrod MRA4 programme at BAE Systems Woodford was to photograph and document the complete internal airframe structure of each Nimrod MR2 immediately after strip-down. This was required to support the structural engineering team's evaluation of airframe integrity before remanufacture began. Critically, nothing like this had ever been undertaken before on the Nimrod airframe since the aircraft's original conception in the 1960s. There was no precedent, no methodology, and no existing system for capturing, storing, or analysing this type of data at the scale and resolution the programme required.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needed to design and implement a new system capable of capturing the complete photographic record of each stripped airframe — thousands of images per aircraft, precisely referenced to structural location — and organising and logging that data in a way that allowed structural engineers to query it, evaluate findings, and formally record discrepancies identified during their assessment.</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developed a bespoke data capture and management system built around a structured photographic referencing methodology — each image tagged to a specific structural zone, frame station, and component reference drawn from the aircraft's technical documentation. I established the photography protocol used during the strip-down process, ensuring consistent coverage and image quality across the entire airframe interior. The collected images and associated structural data were loaded into the system, which provided engineers with a navigable, zone-by-zone interface to review imagery, annotate findings, log structural discrepancies with severity classifications, and generate formal assessment records for each aircraft.</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The system provided the Nimrod MRA4 structural engineering team with a complete, navigable photographic and discrepancy record for each stripped airframe — something that had never existed in the programme's history. The discrepancy logging capability created a formal, traceable record for every structural finding, supporting the safety-critical decisions that underpinned the MRA4 remanufacture programme. The work contributed directly to the successful achievement of the power-on milestone for the first development aircraft, PA01 (ZJ516), in December 2001.</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Software Development  ·  Waterfall  ·  Gate Process  ·  MoSCoW  ·  Application Support  ·  Systems Integration  ·  Avionics Software  ·  Defence Procurement  ·  Configuration Management  ·  MoD Contracts  ·  Integrated Project Teams  ·  Database Management  ·  Test &amp; Verification  ·  Glass Cockpit Systems</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MOD / DEFCON  ·  DEF STAN 00-55  ·  DO-178B/C  ·  AS9100</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Programmer &amp; Application Specialist</w:t>
      </w:r>
    </w:p>
    <w:p>
      <w:pPr>
        <w:spacing w:before="0" w:after="20"/>
      </w:pPr>
      <w:r>
        <w:rPr>
          <w:rFonts w:ascii="Arial" w:cs="Arial" w:eastAsia="Arial" w:hAnsi="Arial"/>
          <w:b/>
          <w:bCs/>
          <w:color w:val="2A5080"/>
          <w:sz w:val="23"/>
          <w:szCs w:val="23"/>
        </w:rPr>
        <w:t xml:space="preserve">AlliedSignal Garrett Engine Boosting Systems (now Honeywell / Garrett Motion)</w:t>
      </w:r>
      <w:r>
        <w:rPr>
          <w:rFonts w:ascii="Arial" w:cs="Arial" w:eastAsia="Arial" w:hAnsi="Arial"/>
          <w:color w:val="888888"/>
          <w:sz w:val="22"/>
          <w:szCs w:val="22"/>
        </w:rPr>
        <w:t xml:space="preserve">  |  </w:t>
      </w:r>
      <w:r>
        <w:rPr>
          <w:rFonts w:ascii="Arial" w:cs="Arial" w:eastAsia="Arial" w:hAnsi="Arial"/>
          <w:color w:val="888888"/>
          <w:sz w:val="22"/>
          <w:szCs w:val="22"/>
        </w:rPr>
        <w:t xml:space="preserve">Automotive Manufacturing / Turbocharger R&amp;D</w:t>
      </w:r>
    </w:p>
    <w:p>
      <w:pPr>
        <w:spacing w:before="0" w:after="80"/>
      </w:pPr>
      <w:r>
        <w:rPr>
          <w:rFonts w:ascii="Arial" w:cs="Arial" w:eastAsia="Arial" w:hAnsi="Arial"/>
          <w:b/>
          <w:bCs/>
          <w:color w:val="555555"/>
          <w:sz w:val="21"/>
          <w:szCs w:val="21"/>
        </w:rPr>
        <w:t xml:space="preserve">February 1997 – April 1999</w:t>
      </w:r>
      <w:r>
        <w:rPr>
          <w:rFonts w:ascii="Arial" w:cs="Arial" w:eastAsia="Arial" w:hAnsi="Arial"/>
          <w:sz w:val="21"/>
          <w:szCs w:val="21"/>
        </w:rPr>
        <w:t xml:space="preserve">   </w:t>
      </w:r>
      <w:r>
        <w:rPr>
          <w:rFonts w:ascii="Arial" w:cs="Arial" w:eastAsia="Arial" w:hAnsi="Arial"/>
          <w:color w:val="888888"/>
          <w:sz w:val="21"/>
          <w:szCs w:val="21"/>
        </w:rPr>
        <w:t xml:space="preserve">Cheadle Hulme, Cheshire (European HQ &amp; R&amp;D Centre)</w:t>
      </w:r>
    </w:p>
    <w:p>
      <w:pPr>
        <w:spacing w:before="0" w:after="80"/>
      </w:pPr>
      <w:r>
        <w:rPr>
          <w:rFonts w:ascii="Arial" w:cs="Arial" w:eastAsia="Arial" w:hAnsi="Arial"/>
          <w:color w:val="555555"/>
          <w:sz w:val="21"/>
          <w:szCs w:val="21"/>
        </w:rPr>
        <w:t xml:space="preserve">Employed at the European headquarters and R&amp;D centre of AlliedSignal's Garrett Engine Boosting Systems division — a global leader in turbocharger design and manufacture supplying OEM partners including Ford, BMW, Volkswagen, Renault, Volvo, and Peugeot — during the parent company's transition from AlliedSignal to Honeywell International in 1999.</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Designed and built bespoke database-driven applications using a Waterfall SDLC, with MoSCoW requirements sessions run with engineering and QA stakeholders to define and scope each application before development commenced</w:t>
      </w:r>
    </w:p>
    <w:p>
      <w:pPr>
        <w:pStyle w:val="ListParagraph"/>
        <w:numPr>
          <w:ilvl w:val="0"/>
          <w:numId w:val="2"/>
        </w:numPr>
        <w:spacing w:before="0" w:after="60"/>
      </w:pPr>
      <w:r>
        <w:rPr>
          <w:rFonts w:ascii="Arial" w:cs="Arial" w:eastAsia="Arial" w:hAnsi="Arial"/>
          <w:color w:val="555555"/>
          <w:sz w:val="21"/>
          <w:szCs w:val="21"/>
        </w:rPr>
        <w:t xml:space="preserve">Developed custom reporting tools consolidating turbocharger production metrics, component data, and test results</w:t>
      </w:r>
    </w:p>
    <w:p>
      <w:pPr>
        <w:pStyle w:val="ListParagraph"/>
        <w:numPr>
          <w:ilvl w:val="0"/>
          <w:numId w:val="2"/>
        </w:numPr>
        <w:spacing w:before="0" w:after="60"/>
      </w:pPr>
      <w:r>
        <w:rPr>
          <w:rFonts w:ascii="Arial" w:cs="Arial" w:eastAsia="Arial" w:hAnsi="Arial"/>
          <w:color w:val="555555"/>
          <w:sz w:val="21"/>
          <w:szCs w:val="21"/>
        </w:rPr>
        <w:t xml:space="preserve">Administered and customised Lotus Notes databases for workflow automation and document management</w:t>
      </w:r>
    </w:p>
    <w:p>
      <w:pPr>
        <w:pStyle w:val="ListParagraph"/>
        <w:numPr>
          <w:ilvl w:val="0"/>
          <w:numId w:val="2"/>
        </w:numPr>
        <w:spacing w:before="0" w:after="60"/>
      </w:pPr>
      <w:r>
        <w:rPr>
          <w:rFonts w:ascii="Arial" w:cs="Arial" w:eastAsia="Arial" w:hAnsi="Arial"/>
          <w:color w:val="555555"/>
          <w:sz w:val="21"/>
          <w:szCs w:val="21"/>
        </w:rPr>
        <w:t xml:space="preserve">Played an active role in the site's Y2K compliance programme — application audits, code remediation, and regression testing</w:t>
      </w:r>
    </w:p>
    <w:p>
      <w:pPr>
        <w:pStyle w:val="ListParagraph"/>
        <w:numPr>
          <w:ilvl w:val="0"/>
          <w:numId w:val="2"/>
        </w:numPr>
        <w:spacing w:before="0" w:after="60"/>
      </w:pPr>
      <w:r>
        <w:rPr>
          <w:rFonts w:ascii="Arial" w:cs="Arial" w:eastAsia="Arial" w:hAnsi="Arial"/>
          <w:color w:val="555555"/>
          <w:sz w:val="21"/>
          <w:szCs w:val="21"/>
        </w:rPr>
        <w:t xml:space="preserve">Supported rollout of Windows NT Workstation across the facility in a Novell NetWare environment</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Identifying and Remediating Y2K Date-handling Vulnerabilities Across Manufacturing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the December 1999 deadline approached, AlliedSignal's global Y2K compliance programme required every site to audit and certify that all business-critical applications and manufacturing systems were free of date-handling vulnerabilities. At the Cheadle Hulme European HQ and R&amp;D centre, many of the bespoke database applications in use — built over several years in Microsoft Access, VB6, and SQL — had been written without year 2000 considerations, and some controlled scheduling and production planning functions that would directly affect the OEM turbocharger supply chain if they failed.</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was assigned as the application specialist responsible for auditing all internally developed applications at the Cheadle Hulme site for Y2K date-handling issues, remediating any vulnerabilities found, and completing the regression testing and sign-off documentation required by the AlliedSignal global Y2K programme — within the corporate deadline of Q3 1999.</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systematically catalogued every bespoke application in use at the site, prioritising those with date-critical functions in production planning, quality management, and customer scheduling. For each application, I conducted a line-by-line code review of all date-handling logic, identifying two-digit year assumptions, ambiguous date format strings, and date arithmetic that would fail post-1999. I remediated each vulnerability and regression-tested each application against a bank of test cases spanning the date transition boundary before submitting for sign-off.</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All internally developed applications at the Cheadle Hulme site were remediated and certified compliant ahead of the AlliedSignal global deadline. The transition from 31 December 1999 to 1 January 2000 occurred without any application failures or production disruptions at the site. The structured audit and documentation approach I used was adopted as the local template for application compliance certification and submitted to the AlliedSignal group programme office as evidence of site-level Y2K readiness.</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Waterfall  ·  MoSCoW  ·  Visual Basic  ·  VBA  ·  VB6  ·  Microsoft Access  ·  SQL  ·  Lotus Notes  ·  Windows NT  ·  Novell NetWare  ·  Database Design  ·  Application Support  ·  Y2K Remediation  ·  End-User Training  ·  Workflow Automation</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ISO 9001 / ISO 14001  ·  HSE (Industrial Safety)  ·  ICO / Regional DPAs</w:t>
      </w:r>
    </w:p>
    <w:p>
      <w:pPr>
        <w:spacing w:before="0" w:after="80"/>
      </w:pPr>
    </w:p>
    <w:p>
      <w:pPr>
        <w:pBdr>
          <w:bottom w:val="single" w:color="C8D8E8" w:sz="6" w:space="0"/>
        </w:pBdr>
        <w:spacing w:before="60" w:after="60"/>
      </w:pPr>
    </w:p>
    <w:p>
      <w:pPr>
        <w:spacing w:before="260" w:after="30"/>
      </w:pPr>
      <w:r>
        <w:rPr>
          <w:rFonts w:ascii="Arial" w:cs="Arial" w:eastAsia="Arial" w:hAnsi="Arial"/>
          <w:b/>
          <w:bCs/>
          <w:color w:val="0B2545"/>
          <w:sz w:val="26"/>
          <w:szCs w:val="26"/>
        </w:rPr>
        <w:t xml:space="preserve">IT Systems Analyst</w:t>
      </w:r>
    </w:p>
    <w:p>
      <w:pPr>
        <w:spacing w:before="0" w:after="20"/>
      </w:pPr>
      <w:r>
        <w:rPr>
          <w:rFonts w:ascii="Arial" w:cs="Arial" w:eastAsia="Arial" w:hAnsi="Arial"/>
          <w:b/>
          <w:bCs/>
          <w:color w:val="2A5080"/>
          <w:sz w:val="23"/>
          <w:szCs w:val="23"/>
        </w:rPr>
        <w:t xml:space="preserve">Philips Semiconductors (formerly Mullard)</w:t>
      </w:r>
      <w:r>
        <w:rPr>
          <w:rFonts w:ascii="Arial" w:cs="Arial" w:eastAsia="Arial" w:hAnsi="Arial"/>
          <w:color w:val="888888"/>
          <w:sz w:val="22"/>
          <w:szCs w:val="22"/>
        </w:rPr>
        <w:t xml:space="preserve">  |  </w:t>
      </w:r>
      <w:r>
        <w:rPr>
          <w:rFonts w:ascii="Arial" w:cs="Arial" w:eastAsia="Arial" w:hAnsi="Arial"/>
          <w:color w:val="888888"/>
          <w:sz w:val="22"/>
          <w:szCs w:val="22"/>
        </w:rPr>
        <w:t xml:space="preserve">Semiconductor Manufacturing / Electronics</w:t>
      </w:r>
    </w:p>
    <w:p>
      <w:pPr>
        <w:spacing w:before="0" w:after="80"/>
      </w:pPr>
      <w:r>
        <w:rPr>
          <w:rFonts w:ascii="Arial" w:cs="Arial" w:eastAsia="Arial" w:hAnsi="Arial"/>
          <w:b/>
          <w:bCs/>
          <w:color w:val="555555"/>
          <w:sz w:val="21"/>
          <w:szCs w:val="21"/>
        </w:rPr>
        <w:t xml:space="preserve">January 1989 – January 1997</w:t>
      </w:r>
      <w:r>
        <w:rPr>
          <w:rFonts w:ascii="Arial" w:cs="Arial" w:eastAsia="Arial" w:hAnsi="Arial"/>
          <w:sz w:val="21"/>
          <w:szCs w:val="21"/>
        </w:rPr>
        <w:t xml:space="preserve">   </w:t>
      </w:r>
      <w:r>
        <w:rPr>
          <w:rFonts w:ascii="Arial" w:cs="Arial" w:eastAsia="Arial" w:hAnsi="Arial"/>
          <w:color w:val="888888"/>
          <w:sz w:val="21"/>
          <w:szCs w:val="21"/>
        </w:rPr>
        <w:t xml:space="preserve">Hazel Grove, Stockport (Power semiconductor wafer fabrication)</w:t>
      </w:r>
    </w:p>
    <w:p>
      <w:pPr>
        <w:spacing w:before="0" w:after="80"/>
      </w:pPr>
      <w:r>
        <w:rPr>
          <w:rFonts w:ascii="Arial" w:cs="Arial" w:eastAsia="Arial" w:hAnsi="Arial"/>
          <w:color w:val="555555"/>
          <w:sz w:val="21"/>
          <w:szCs w:val="21"/>
        </w:rPr>
        <w:t xml:space="preserve">Employed as an IT Systems Analyst at Philips Semiconductors' Hazel Grove manufacturing facility — a high-volume power semiconductor wafer fabrication plant producing Power MOSFETs, TrenchMOS, and Bipolar devices for automotive OEMs, consumer electronics, and industrial markets globally. The period encompassed significant capital investment including the $106 million PowerFab 2 advanced manufacturing facility with Class 10/100 clean room environments.</w:t>
      </w:r>
    </w:p>
    <w:p>
      <w:pPr>
        <w:spacing w:before="60" w:after="30"/>
      </w:pPr>
      <w:r>
        <w:rPr>
          <w:rFonts w:ascii="Arial" w:cs="Arial" w:eastAsia="Arial" w:hAnsi="Arial"/>
          <w:b/>
          <w:bCs/>
          <w:color w:val="2A5080"/>
          <w:sz w:val="21"/>
          <w:szCs w:val="21"/>
        </w:rPr>
        <w:t xml:space="preserve">Key Achievements &amp; Responsibilities</w:t>
      </w:r>
    </w:p>
    <w:p>
      <w:pPr>
        <w:pStyle w:val="ListParagraph"/>
        <w:numPr>
          <w:ilvl w:val="0"/>
          <w:numId w:val="2"/>
        </w:numPr>
        <w:spacing w:before="0" w:after="60"/>
      </w:pPr>
      <w:r>
        <w:rPr>
          <w:rFonts w:ascii="Arial" w:cs="Arial" w:eastAsia="Arial" w:hAnsi="Arial"/>
          <w:color w:val="555555"/>
          <w:sz w:val="21"/>
          <w:szCs w:val="21"/>
        </w:rPr>
        <w:t xml:space="preserve">Played a central role in the site's SAP R/2 and SAP R/3 migration programme, delivered using a Waterfall project methodology with formal Gate Process reviews at requirements, design, UAT, and go-live phases across PP, MM, SD, FI, and QM modules</w:t>
      </w:r>
    </w:p>
    <w:p>
      <w:pPr>
        <w:pStyle w:val="ListParagraph"/>
        <w:numPr>
          <w:ilvl w:val="0"/>
          <w:numId w:val="2"/>
        </w:numPr>
        <w:spacing w:before="0" w:after="60"/>
      </w:pPr>
      <w:r>
        <w:rPr>
          <w:rFonts w:ascii="Arial" w:cs="Arial" w:eastAsia="Arial" w:hAnsi="Arial"/>
          <w:color w:val="555555"/>
          <w:sz w:val="21"/>
          <w:szCs w:val="21"/>
        </w:rPr>
        <w:t xml:space="preserve">Applied MoSCoW prioritisation during SAP module scoping workshops to distinguish mandatory production planning requirements from desirable reporting enhancements, keeping each rollout phase focused and on schedule</w:t>
      </w:r>
    </w:p>
    <w:p>
      <w:pPr>
        <w:pStyle w:val="ListParagraph"/>
        <w:numPr>
          <w:ilvl w:val="0"/>
          <w:numId w:val="2"/>
        </w:numPr>
        <w:spacing w:before="0" w:after="60"/>
      </w:pPr>
      <w:r>
        <w:rPr>
          <w:rFonts w:ascii="Arial" w:cs="Arial" w:eastAsia="Arial" w:hAnsi="Arial"/>
          <w:color w:val="555555"/>
          <w:sz w:val="21"/>
          <w:szCs w:val="21"/>
        </w:rPr>
        <w:t xml:space="preserve">Held formal Trained Trainer status — designed and delivered structured SAP end-user training programmes for production, engineering, and finance functions</w:t>
      </w:r>
    </w:p>
    <w:p>
      <w:pPr>
        <w:pStyle w:val="ListParagraph"/>
        <w:numPr>
          <w:ilvl w:val="0"/>
          <w:numId w:val="2"/>
        </w:numPr>
        <w:spacing w:before="0" w:after="60"/>
      </w:pPr>
      <w:r>
        <w:rPr>
          <w:rFonts w:ascii="Arial" w:cs="Arial" w:eastAsia="Arial" w:hAnsi="Arial"/>
          <w:color w:val="555555"/>
          <w:sz w:val="21"/>
          <w:szCs w:val="21"/>
        </w:rPr>
        <w:t xml:space="preserve">Established ITIL-aligned support and incident management practices for the SAP environment, improving resolution times and providing a clear escalation path for production-critical system issues</w:t>
      </w:r>
    </w:p>
    <w:p>
      <w:pPr>
        <w:pStyle w:val="ListParagraph"/>
        <w:numPr>
          <w:ilvl w:val="0"/>
          <w:numId w:val="2"/>
        </w:numPr>
        <w:spacing w:before="0" w:after="60"/>
      </w:pPr>
      <w:r>
        <w:rPr>
          <w:rFonts w:ascii="Arial" w:cs="Arial" w:eastAsia="Arial" w:hAnsi="Arial"/>
          <w:color w:val="555555"/>
          <w:sz w:val="21"/>
          <w:szCs w:val="21"/>
        </w:rPr>
        <w:t xml:space="preserve">Supported the site's Six Sigma process improvement programme — applying DMAIC (Define, Measure, Analyse, Improve, Control) methodology to wafer yield and production throughput analysis, using IT-generated Statistical Process Control (SPC) data as the measurement backbone</w:t>
      </w:r>
    </w:p>
    <w:p>
      <w:pPr>
        <w:pStyle w:val="ListParagraph"/>
        <w:numPr>
          <w:ilvl w:val="0"/>
          <w:numId w:val="2"/>
        </w:numPr>
        <w:spacing w:before="0" w:after="60"/>
      </w:pPr>
      <w:r>
        <w:rPr>
          <w:rFonts w:ascii="Arial" w:cs="Arial" w:eastAsia="Arial" w:hAnsi="Arial"/>
          <w:color w:val="555555"/>
          <w:sz w:val="21"/>
          <w:szCs w:val="21"/>
        </w:rPr>
        <w:t xml:space="preserve">Used the Eisenhower Matrix to manage the competing demands of day-to-day SAP support, Y2K remediation, and the Trained Trainer programme, ensuring time-critical compliance tasks were protected from displacement by lower-priority operational requests</w:t>
      </w:r>
    </w:p>
    <w:p>
      <w:pPr>
        <w:pStyle w:val="ListParagraph"/>
        <w:numPr>
          <w:ilvl w:val="0"/>
          <w:numId w:val="2"/>
        </w:numPr>
        <w:spacing w:before="0" w:after="60"/>
      </w:pPr>
      <w:r>
        <w:rPr>
          <w:rFonts w:ascii="Arial" w:cs="Arial" w:eastAsia="Arial" w:hAnsi="Arial"/>
          <w:color w:val="555555"/>
          <w:sz w:val="21"/>
          <w:szCs w:val="21"/>
        </w:rPr>
        <w:t xml:space="preserve">Developed Oracle RDBMS databases and SQL-based management information reports supporting production KPIs and wafer yield analysis</w:t>
      </w:r>
    </w:p>
    <w:p>
      <w:pPr>
        <w:spacing w:before="0" w:after="40"/>
      </w:pPr>
    </w:p>
    <w:p>
      <w:pPr>
        <w:spacing w:before="120" w:after="60"/>
      </w:pPr>
      <w:r>
        <w:rPr>
          <w:rFonts w:ascii="Arial" w:cs="Arial" w:eastAsia="Arial" w:hAnsi="Arial"/>
          <w:b/>
          <w:bCs/>
          <w:color w:val="4A7C1F"/>
          <w:sz w:val="21"/>
          <w:szCs w:val="21"/>
        </w:rPr>
        <w:t xml:space="preserve">★  STAR Case Study  —  </w:t>
      </w:r>
      <w:r>
        <w:rPr>
          <w:rFonts w:ascii="Arial" w:cs="Arial" w:eastAsia="Arial" w:hAnsi="Arial"/>
          <w:b/>
          <w:bCs/>
          <w:color w:val="0B2545"/>
          <w:sz w:val="21"/>
          <w:szCs w:val="21"/>
        </w:rPr>
        <w:t xml:space="preserve">Rescuing a Failing SAP Go-live by Rebuilding Production Team Confidence in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0B2545"/>
                <w:sz w:val="20"/>
                <w:szCs w:val="20"/>
              </w:rPr>
              <w:t xml:space="preserve">S  Situation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During the rollout of the SAP Production Planning (PP) module at the Hazel Grove wafer fabrication facility, the go-live encountered a serious human adoption problem. Production planners and manufacturing engineers — under intense pressure to maintain wafer output for automotive OEM customers including Ford and Volkswagen — had lost confidence in the new system following a series of data quality issues during the parallel-run period. Supervisors had instructed their teams to revert to the legacy paper-based scheduling process while SAP remained 'live'. The go-live was in danger of failing functionally despite a technically successful deployment.</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A5080"/>
                <w:sz w:val="20"/>
                <w:szCs w:val="20"/>
              </w:rPr>
              <w:t xml:space="preserve">T  Task</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As the site's SAP Trained Trainer and Systems Analyst with responsibility for the PP module, I was asked to lead the recovery effort: rebuild confidence in the system, identify and resolve the root causes of the data quality issues, and achieve genuine adoption across the production planning and manufacturing teams within a defined timeframe — without disrupting ongoing wafer fabrication output.</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4A7C1F"/>
                <w:sz w:val="20"/>
                <w:szCs w:val="20"/>
              </w:rPr>
              <w:t xml:space="preserve">A  Action</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I spent several days on the factory floor alongside production planners, working through the specific transactions and outputs they distrusted. I identified that the data quality issues were traceable to three misconfigured work centre definitions and incorrect routing structures that had survived from the data migration. I escalated these to the SAP configuration team and had them corrected within 48 hours. I then redesigned the training approach: instead of classroom-based instruction, I ran short, focused on-the-job sessions in which I sat with individual planners during their actual work, demonstrating how SAP produced the same — now correct — results as the paper-based process.</w:t>
            </w:r>
          </w:p>
        </w:tc>
      </w:tr>
      <w:tr>
        <w:tc>
          <w:tcPr>
            <w:tcW w:type="dxa" w:w="1100"/>
            <w:tcBorders>
              <w:top w:val="none" w:color="FFFFFF" w:sz="0"/>
              <w:left w:val="none" w:color="FFFFFF" w:sz="0"/>
              <w:bottom w:val="none" w:color="FFFFFF" w:sz="0"/>
              <w:right w:val="none" w:color="FFFFFF" w:sz="0"/>
            </w:tcBorders>
            <w:shd w:fill="EEF6E0" w:val="clear"/>
            <w:tcMar>
              <w:top w:type="dxa" w:w="100"/>
              <w:left w:type="dxa" w:w="140"/>
              <w:bottom w:type="dxa" w:w="100"/>
              <w:right w:type="dxa" w:w="100"/>
            </w:tcMar>
            <w:vAlign w:val="top"/>
          </w:tcPr>
          <w:p>
            <w:r>
              <w:rPr>
                <w:rFonts w:ascii="Arial" w:cs="Arial" w:eastAsia="Arial" w:hAnsi="Arial"/>
                <w:b/>
                <w:bCs/>
                <w:color w:val="2E7D32"/>
                <w:sz w:val="20"/>
                <w:szCs w:val="20"/>
              </w:rPr>
              <w:t xml:space="preserve">R  Result</w:t>
            </w:r>
          </w:p>
        </w:tc>
        <w:tc>
          <w:tcPr>
            <w:tcW w:type="dxa" w:w="7926"/>
            <w:tcBorders>
              <w:top w:val="none" w:color="FFFFFF" w:sz="0"/>
              <w:left w:val="none" w:color="FFFFFF" w:sz="0"/>
              <w:bottom w:val="none" w:color="FFFFFF" w:sz="0"/>
              <w:right w:val="none" w:color="FFFFFF" w:sz="0"/>
            </w:tcBorders>
            <w:shd w:fill="EEF6E0" w:val="clear"/>
            <w:tcMar>
              <w:top w:type="dxa" w:w="100"/>
              <w:left w:type="dxa" w:w="100"/>
              <w:bottom w:type="dxa" w:w="100"/>
              <w:right w:type="dxa" w:w="140"/>
            </w:tcMar>
          </w:tcPr>
          <w:p>
            <w:r>
              <w:rPr>
                <w:rFonts w:ascii="Arial" w:cs="Arial" w:eastAsia="Arial" w:hAnsi="Arial"/>
                <w:color w:val="555555"/>
                <w:sz w:val="20"/>
                <w:szCs w:val="20"/>
              </w:rPr>
              <w:t xml:space="preserve">Within four weeks, the production planning team had fully transitioned to SAP as their primary system, and the parallel paper-based process was formally discontinued. Wafer output continuity was maintained throughout the recovery period with no impact on OEM delivery schedules. The revised on-the-job training approach I developed was subsequently adopted for all remaining SAP module rollouts at the site, and was commended by the Philips corporate SAP programme team as a more effective model for manufacturing environment go-lives than the classroom-only method previously used.</w:t>
            </w:r>
          </w:p>
        </w:tc>
      </w:tr>
    </w:tbl>
    <w:p>
      <w:pPr>
        <w:spacing w:before="0" w:after="120"/>
      </w:pPr>
    </w:p>
    <w:p>
      <w:pPr>
        <w:spacing w:before="30" w:after="30"/>
      </w:pPr>
      <w:r>
        <w:rPr>
          <w:rFonts w:ascii="Arial" w:cs="Arial" w:eastAsia="Arial" w:hAnsi="Arial"/>
          <w:b/>
          <w:bCs/>
          <w:color w:val="2A5080"/>
          <w:sz w:val="20"/>
          <w:szCs w:val="20"/>
        </w:rPr>
        <w:t xml:space="preserve">Key Skills &amp; Technologies: </w:t>
      </w:r>
      <w:r>
        <w:rPr>
          <w:rFonts w:ascii="Arial" w:cs="Arial" w:eastAsia="Arial" w:hAnsi="Arial"/>
          <w:color w:val="888888"/>
          <w:sz w:val="20"/>
          <w:szCs w:val="20"/>
        </w:rPr>
        <w:t xml:space="preserve">IT Systems Analyst  ·  Waterfall  ·  Gate Process  ·  MoSCoW  ·  ITIL  ·  Six Sigma (DMAIC)  ·  Eisenhower Matrix  ·  SAP R/2  ·  SAP R/3  ·  SAP PP  ·  SAP MM  ·  SAP SD  ·  SAP FI  ·  SAP QM  ·  MRP II  ·  ERP  ·  Oracle RDBMS  ·  SQL  ·  IBM Mainframe  ·  UNIX  ·  Windows NT  ·  Novell NetWare  ·  MES  ·  Statistical Process Control  ·  Training Design &amp; Delivery  ·  SDLC</w:t>
      </w:r>
    </w:p>
    <w:p>
      <w:pPr>
        <w:spacing w:before="30" w:after="30"/>
      </w:pPr>
      <w:r>
        <w:rPr>
          <w:rFonts w:ascii="Arial" w:cs="Arial" w:eastAsia="Arial" w:hAnsi="Arial"/>
          <w:b/>
          <w:bCs/>
          <w:color w:val="2A5080"/>
          <w:sz w:val="20"/>
          <w:szCs w:val="20"/>
        </w:rPr>
        <w:t xml:space="preserve">Regulatory Context: </w:t>
      </w:r>
      <w:r>
        <w:rPr>
          <w:rFonts w:ascii="Arial" w:cs="Arial" w:eastAsia="Arial" w:hAnsi="Arial"/>
          <w:color w:val="888888"/>
          <w:sz w:val="20"/>
          <w:szCs w:val="20"/>
        </w:rPr>
        <w:t xml:space="preserve">Environment Agency  ·  JEDEC / IEC Semiconductor Standards  ·  ISO 9001  ·  IATF 16949  ·  ICO  ·  Wassenaar Arrangement</w:t>
      </w:r>
    </w:p>
    <w:p>
      <w:pPr>
        <w:spacing w:before="0" w:after="80"/>
      </w:pPr>
    </w:p>
    <w:p>
      <w:pPr>
        <w:pBdr>
          <w:bottom w:val="single" w:color="4A7C1F" w:sz="8" w:space="2"/>
        </w:pBdr>
        <w:spacing w:before="260" w:after="80"/>
      </w:pPr>
      <w:r>
        <w:rPr>
          <w:rFonts w:ascii="Arial" w:cs="Arial" w:eastAsia="Arial" w:hAnsi="Arial"/>
          <w:b/>
          <w:bCs/>
          <w:caps/>
          <w:color w:val="4A7C1F"/>
          <w:sz w:val="26"/>
          <w:szCs w:val="26"/>
        </w:rPr>
        <w:t xml:space="preserve">Project Management &amp; Prioritisation Frameworks Applied</w:t>
      </w:r>
    </w:p>
    <w:p>
      <w:pPr>
        <w:spacing w:before="30" w:after="30"/>
      </w:pPr>
      <w:r>
        <w:rPr>
          <w:rFonts w:ascii="Arial" w:cs="Arial" w:eastAsia="Arial" w:hAnsi="Arial"/>
          <w:b/>
          <w:bCs/>
          <w:color w:val="2A5080"/>
          <w:sz w:val="20"/>
          <w:szCs w:val="20"/>
        </w:rPr>
        <w:t xml:space="preserve">Project Delivery: </w:t>
      </w:r>
      <w:r>
        <w:rPr>
          <w:rFonts w:ascii="Arial" w:cs="Arial" w:eastAsia="Arial" w:hAnsi="Arial"/>
          <w:color w:val="888888"/>
          <w:sz w:val="20"/>
          <w:szCs w:val="20"/>
        </w:rPr>
        <w:t xml:space="preserve">Waterfall  ·  Agile  ·  Gate Process  ·  PRINCE2  ·  PMP  ·  Kanban</w:t>
      </w:r>
    </w:p>
    <w:p>
      <w:pPr>
        <w:spacing w:before="30" w:after="30"/>
      </w:pPr>
      <w:r>
        <w:rPr>
          <w:rFonts w:ascii="Arial" w:cs="Arial" w:eastAsia="Arial" w:hAnsi="Arial"/>
          <w:b/>
          <w:bCs/>
          <w:color w:val="2A5080"/>
          <w:sz w:val="20"/>
          <w:szCs w:val="20"/>
        </w:rPr>
        <w:t xml:space="preserve">Prioritisation &amp; Scoring: </w:t>
      </w:r>
      <w:r>
        <w:rPr>
          <w:rFonts w:ascii="Arial" w:cs="Arial" w:eastAsia="Arial" w:hAnsi="Arial"/>
          <w:color w:val="888888"/>
          <w:sz w:val="20"/>
          <w:szCs w:val="20"/>
        </w:rPr>
        <w:t xml:space="preserve">MoSCoW  ·  RICE Scoring  ·  ICE Scoring  ·  Impact-Effort Matrix  ·  Eisenhower Matrix  ·  Cost of Delay (CoD)</w:t>
      </w:r>
    </w:p>
    <w:p>
      <w:pPr>
        <w:spacing w:before="30" w:after="30"/>
      </w:pPr>
      <w:r>
        <w:rPr>
          <w:rFonts w:ascii="Arial" w:cs="Arial" w:eastAsia="Arial" w:hAnsi="Arial"/>
          <w:b/>
          <w:bCs/>
          <w:color w:val="2A5080"/>
          <w:sz w:val="20"/>
          <w:szCs w:val="20"/>
        </w:rPr>
        <w:t xml:space="preserve">Requirements &amp; Discovery: </w:t>
      </w:r>
      <w:r>
        <w:rPr>
          <w:rFonts w:ascii="Arial" w:cs="Arial" w:eastAsia="Arial" w:hAnsi="Arial"/>
          <w:color w:val="888888"/>
          <w:sz w:val="20"/>
          <w:szCs w:val="20"/>
        </w:rPr>
        <w:t xml:space="preserve">User Story Mapping  ·  Product Tree  ·  MoSCoW Requirements Workshops</w:t>
      </w:r>
    </w:p>
    <w:p>
      <w:pPr>
        <w:spacing w:before="30" w:after="30"/>
      </w:pPr>
      <w:r>
        <w:rPr>
          <w:rFonts w:ascii="Arial" w:cs="Arial" w:eastAsia="Arial" w:hAnsi="Arial"/>
          <w:b/>
          <w:bCs/>
          <w:color w:val="2A5080"/>
          <w:sz w:val="20"/>
          <w:szCs w:val="20"/>
        </w:rPr>
        <w:t xml:space="preserve">Service Management &amp; Quality: </w:t>
      </w:r>
      <w:r>
        <w:rPr>
          <w:rFonts w:ascii="Arial" w:cs="Arial" w:eastAsia="Arial" w:hAnsi="Arial"/>
          <w:color w:val="888888"/>
          <w:sz w:val="20"/>
          <w:szCs w:val="20"/>
        </w:rPr>
        <w:t xml:space="preserve">ITIL v3  ·  Six Sigma — DMAIC (Philips Semiconductors only)  ·  Statistical Process Control</w:t>
      </w:r>
    </w:p>
    <w:p>
      <w:pPr>
        <w:spacing w:before="30" w:after="30"/>
      </w:pPr>
      <w:r>
        <w:rPr>
          <w:rFonts w:ascii="Arial" w:cs="Arial" w:eastAsia="Arial" w:hAnsi="Arial"/>
          <w:b/>
          <w:bCs/>
          <w:color w:val="2A5080"/>
          <w:sz w:val="20"/>
          <w:szCs w:val="20"/>
        </w:rPr>
        <w:t xml:space="preserve">Security &amp; Governance Frameworks: </w:t>
      </w:r>
      <w:r>
        <w:rPr>
          <w:rFonts w:ascii="Arial" w:cs="Arial" w:eastAsia="Arial" w:hAnsi="Arial"/>
          <w:color w:val="888888"/>
          <w:sz w:val="20"/>
          <w:szCs w:val="20"/>
        </w:rPr>
        <w:t xml:space="preserve">ISO 27001  ·  NIST Cybersecurity Framework  ·  Cyber Essentials Plus  ·  NIS Regulations  ·  UK GDPR / ICO</w:t>
      </w:r>
    </w:p>
    <w:p>
      <w:pPr>
        <w:spacing w:before="0" w:after="80"/>
      </w:pP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2"/>
      </w:pBdr>
      <w:spacing w:before="60" w:after="0"/>
    </w:pPr>
    <w:r>
      <w:rPr>
        <w:rFonts w:ascii="Arial" w:cs="Arial" w:eastAsia="Arial" w:hAnsi="Arial"/>
        <w:color w:val="888888"/>
        <w:sz w:val="17"/>
        <w:szCs w:val="17"/>
      </w:rPr>
      <w:t xml:space="preserve">Confidential  ·  Richard Priest  ·  Senior Technology Executive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1F" w:sz="4" w:space="2"/>
      </w:pBdr>
      <w:spacing w:before="0" w:after="60"/>
    </w:pPr>
    <w:r>
      <w:rPr>
        <w:rFonts w:ascii="Arial" w:cs="Arial" w:eastAsia="Arial" w:hAnsi="Arial"/>
        <w:color w:val="888888"/>
        <w:sz w:val="18"/>
        <w:szCs w:val="18"/>
      </w:rPr>
      <w:t xml:space="preserve">Richard Priest  |  Senior Technology Executive  |  </w:t>
    </w:r>
    <w:r>
      <w:rPr>
        <w:rFonts w:ascii="Arial" w:cs="Arial" w:eastAsia="Arial" w:hAnsi="Arial"/>
        <w:color w:val="2A5080"/>
        <w:sz w:val="18"/>
        <w:szCs w:val="18"/>
      </w:rPr>
      <w:t xml:space="preserve">CISSP  ·  PMP  ·  PRINCE2  ·  ITIL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Priest — CV</dc:title>
  <dc:creator>Richard Priest</dc:creator>
  <dc:description>Senior Technology Executive | IT Director | CISSP | PMP | PRINCE2 | ITIL v3</dc:description>
  <cp:lastModifiedBy>Un-named</cp:lastModifiedBy>
  <cp:revision>1</cp:revision>
  <dcterms:created xsi:type="dcterms:W3CDTF">2026-03-31T07:07:08.451Z</dcterms:created>
  <dcterms:modified xsi:type="dcterms:W3CDTF">2026-03-31T07:07:08.452Z</dcterms:modified>
</cp:coreProperties>
</file>

<file path=docProps/custom.xml><?xml version="1.0" encoding="utf-8"?>
<Properties xmlns="http://schemas.openxmlformats.org/officeDocument/2006/custom-properties" xmlns:vt="http://schemas.openxmlformats.org/officeDocument/2006/docPropsVTypes"/>
</file>