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480"/>
        <w:jc w:val="center"/>
      </w:pPr>
      <w:r>
        <w:rPr>
          <w:rFonts w:ascii="Times New Roman" w:cs="Times New Roman" w:eastAsia="Times New Roman" w:hAnsi="Times New Roman"/>
          <w:sz w:val="24"/>
          <w:szCs w:val="24"/>
        </w:rPr>
        <w:t xml:space="preserve">How State Overreach Drives Technological Innovation</w:t>
      </w:r>
    </w:p>
    <w:p>
      <w:pPr>
        <w:spacing w:after="0" w:before="0" w:line="480"/>
        <w:jc w:val="center"/>
      </w:pPr>
      <w:r>
        <w:rPr>
          <w:rFonts w:ascii="Times New Roman" w:cs="Times New Roman" w:eastAsia="Times New Roman" w:hAnsi="Times New Roman"/>
          <w:sz w:val="24"/>
          <w:szCs w:val="24"/>
        </w:rPr>
        <w:t xml:space="preserve">as a Form of Political Resistance:</w:t>
      </w:r>
    </w:p>
    <w:p>
      <w:pPr>
        <w:spacing w:after="0" w:before="0" w:line="480"/>
        <w:jc w:val="center"/>
      </w:pPr>
      <w:r>
        <w:rPr>
          <w:rFonts w:ascii="Times New Roman" w:cs="Times New Roman" w:eastAsia="Times New Roman" w:hAnsi="Times New Roman"/>
          <w:b/>
          <w:bCs/>
          <w:sz w:val="24"/>
          <w:szCs w:val="24"/>
        </w:rPr>
        <w:t xml:space="preserve">Toward a Theory of Resistance Innovation Cycles</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Richard Wayne</w:t>
      </w:r>
    </w:p>
    <w:p>
      <w:pPr>
        <w:spacing w:after="0" w:before="0" w:line="480"/>
        <w:jc w:val="center"/>
      </w:pPr>
      <w:r>
        <w:rPr>
          <w:rFonts w:ascii="Times New Roman" w:cs="Times New Roman" w:eastAsia="Times New Roman" w:hAnsi="Times New Roman"/>
          <w:sz w:val="24"/>
          <w:szCs w:val="24"/>
        </w:rPr>
        <w:t xml:space="preserve">Department of Political Science, Rutgers University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Abstract</w:t>
      </w:r>
    </w:p>
    <w:p>
      <w:pPr>
        <w:spacing w:after="0" w:before="0" w:line="480"/>
        <w:ind w:left="720" w:right="720"/>
        <w:jc w:val="both"/>
      </w:pPr>
      <w:r>
        <w:rPr>
          <w:rFonts w:ascii="Times New Roman" w:cs="Times New Roman" w:eastAsia="Times New Roman" w:hAnsi="Times New Roman"/>
          <w:sz w:val="24"/>
          <w:szCs w:val="24"/>
        </w:rPr>
        <w:t xml:space="preserve">This paper asks: does institutional overreach systematically produce counter-technologies and counter-institutions whose architecture corresponds inversely and proportionally to the specific failure modes of the collapse that produced them? Drawing on three historical case studies, the Gutenberg printing press, Soviet Samizdat, and Bitcoin, the paper argues that the answer is yes, and that this pattern is structural rather than contingent. The paper identifies stupefaction, the systematic degradation of civic and epistemic capacity in the governed population, as the operational precondition for elite capture rather than its incidental byproduct, and proposes a first formal mapping of qualitative institutional variables onto physical analogs through a weighted matrix. The framework engages and extends existing literature on contentious politics, institutional path dependency, punctuated equilibrium, and the politics of artifacts. It is presented as a theoretical foundation and an invitation to empirical testing rather than a completed formalization.</w:t>
      </w:r>
    </w:p>
    <w:p>
      <w:pPr>
        <w:spacing w:line="480"/>
      </w:pPr>
      <w:r>
        <w:rPr>
          <w:rFonts w:ascii="Times New Roman" w:cs="Times New Roman" w:eastAsia="Times New Roman" w:hAnsi="Times New Roman"/>
          <w:sz w:val="24"/>
          <w:szCs w:val="24"/>
        </w:rPr>
        <w:t xml:space="preserve"/>
      </w:r>
    </w:p>
    <w:p>
      <w:pPr>
        <w:spacing w:after="0" w:before="0" w:line="480"/>
        <w:ind w:left="720" w:right="720"/>
        <w:jc w:val="both"/>
      </w:pPr>
      <w:r>
        <w:rPr>
          <w:rFonts w:ascii="Times New Roman" w:cs="Times New Roman" w:eastAsia="Times New Roman" w:hAnsi="Times New Roman"/>
          <w:i/>
          <w:iCs/>
          <w:sz w:val="24"/>
          <w:szCs w:val="24"/>
        </w:rPr>
        <w:t xml:space="preserve">Keywords: state overreach, political resistance, technological innovation, elite capture, Bitcoin, Gutenberg, Samizdat, resistance innovation cycles, institutional decay, weighted matrix, structured agency, path dependency, critical juncture, punctuated equilibrium</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I. Introduction</w:t>
      </w:r>
    </w:p>
    <w:p>
      <w:pPr>
        <w:spacing w:after="0" w:before="0" w:line="480"/>
        <w:ind w:firstLine="720"/>
        <w:jc w:val="both"/>
      </w:pPr>
      <w:r>
        <w:rPr>
          <w:rFonts w:ascii="Times New Roman" w:cs="Times New Roman" w:eastAsia="Times New Roman" w:hAnsi="Times New Roman"/>
          <w:sz w:val="24"/>
          <w:szCs w:val="24"/>
        </w:rPr>
        <w:t xml:space="preserve">This paper asks a specific question: does institutional overreach systematically produce counter-technologies and counter-institutions whose architecture corresponds inversely and proportionally to the specific failure modes of the collapse that produced them? The question matters because existing theoretical frameworks can tell us that populations resist and that innovation occurs, but none have identified whether a structural relationship governs what gets built, why it takes the form it takes, and why its features so precisely invert the features of the institutional failure it responds to.</w:t>
      </w:r>
    </w:p>
    <w:p>
      <w:pPr>
        <w:spacing w:after="0" w:before="0" w:line="480"/>
        <w:ind w:firstLine="720"/>
        <w:jc w:val="both"/>
      </w:pPr>
      <w:r>
        <w:rPr>
          <w:rFonts w:ascii="Times New Roman" w:cs="Times New Roman" w:eastAsia="Times New Roman" w:hAnsi="Times New Roman"/>
          <w:sz w:val="24"/>
          <w:szCs w:val="24"/>
        </w:rPr>
        <w:t xml:space="preserve">Across five centuries of political history, the same pattern recurs. When states or institutional elites extend control over the mechanisms of communication, finance, or governance beyond a threshold of sustainable legitimacy, the populations subject to that overreach do not merely protest. They build. They construct counter-technologies and counter-institutions that perform the same essential functions as the captured systems, but outside state visibility, outside state jurisdiction, and calibrated to exceed the suppression capacity of the institutions that produced them.</w:t>
      </w:r>
    </w:p>
    <w:p>
      <w:pPr>
        <w:spacing w:after="0" w:before="0" w:line="480"/>
        <w:ind w:firstLine="720"/>
        <w:jc w:val="both"/>
      </w:pPr>
      <w:r>
        <w:rPr>
          <w:rFonts w:ascii="Times New Roman" w:cs="Times New Roman" w:eastAsia="Times New Roman" w:hAnsi="Times New Roman"/>
          <w:sz w:val="24"/>
          <w:szCs w:val="24"/>
        </w:rPr>
        <w:t xml:space="preserve">The Gutenberg printing press did not emerge from a vacuum of benign invention. It emerged into a world where the monopoly on textual production was held jointly by Church and Crown, and its transformation into a tool of mass dissent was the direct result of those institutions attempting to suppress what it made possible. The Soviet Samizdat network, the hand-typed carbon-copy literature circulated by dissidents through the 1960s and 1980s, represented the most sophisticated information distribution network the constraints of a totalitarian state permitted, built by people who refused to accept that the capture of every official printing press meant the end of free expression. Bitcoin did not emerge as a speculative financial instrument. It emerged on October 31, 2008, weeks after the collapse of Lehman Brothers, as a direct technical response to the demonstrated failure and corruption of centralized financial institutions.</w:t>
      </w:r>
    </w:p>
    <w:p>
      <w:pPr>
        <w:spacing w:after="0" w:before="0" w:line="480"/>
        <w:ind w:firstLine="720"/>
        <w:jc w:val="both"/>
      </w:pPr>
      <w:r>
        <w:rPr>
          <w:rFonts w:ascii="Times New Roman" w:cs="Times New Roman" w:eastAsia="Times New Roman" w:hAnsi="Times New Roman"/>
          <w:sz w:val="24"/>
          <w:szCs w:val="24"/>
        </w:rPr>
        <w:t xml:space="preserve">Prior scholarship has studied each of these cases in isolation. Historians of early modern Europe study the press. Sovietologists study Samizdat. Crypto-economists study Bitcoin. The structural pattern connecting them has not been named or theorized. This paper proposes a framework to address that gap: Resistance Innovation Cycles. The framework argues that institutional overreach and its corresponding rebound innovation are coupled phenomena, and that the features of the rebound are a direct inverse function of the features of the collapse that produces it. The paper further argues that elite capture cannot sustain itself without simultaneously producing what this paper calls stupefaction in the governed population: a systematic degradation of civic and epistemic capacity that functions as the operational precondition for capture rather than its side effect.</w:t>
      </w:r>
    </w:p>
    <w:p>
      <w:pPr>
        <w:spacing w:after="0" w:before="0" w:line="480"/>
        <w:ind w:firstLine="720"/>
        <w:jc w:val="both"/>
      </w:pPr>
      <w:r>
        <w:rPr>
          <w:rFonts w:ascii="Times New Roman" w:cs="Times New Roman" w:eastAsia="Times New Roman" w:hAnsi="Times New Roman"/>
          <w:sz w:val="24"/>
          <w:szCs w:val="24"/>
        </w:rPr>
        <w:t xml:space="preserve">The paper proceeds as follows. Section II develops the theoretical framework, defining its five stages and engaging existing literature on contentious politics, path dependency, and the politics of artifacts. Section III develops the conceptual methodology, including a first formal mapping of institutional decay variables through a weighted matrix proposed as an invitation to empirical testing. Section IV presents the three historical cases. Section V addresses the Jamie Dimon case as real-time Stage Five evidence. Section VI discusses implications and additional empirical predictions. Section VII addresses anticipated theoretical objections. Section VIII concludes.</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II. Theoretical Framework: Resistance Innovation Cycles</w:t>
      </w:r>
    </w:p>
    <w:p>
      <w:pPr>
        <w:spacing w:after="120" w:before="240" w:line="480"/>
        <w:jc w:val="left"/>
      </w:pPr>
      <w:r>
        <w:rPr>
          <w:rFonts w:ascii="Times New Roman" w:cs="Times New Roman" w:eastAsia="Times New Roman" w:hAnsi="Times New Roman"/>
          <w:b/>
          <w:bCs/>
          <w:sz w:val="26"/>
          <w:szCs w:val="26"/>
        </w:rPr>
        <w:t xml:space="preserve">2.1 Overview</w:t>
      </w:r>
    </w:p>
    <w:p>
      <w:pPr>
        <w:spacing w:after="0" w:before="0" w:line="480"/>
        <w:ind w:firstLine="720"/>
        <w:jc w:val="both"/>
      </w:pPr>
      <w:r>
        <w:rPr>
          <w:rFonts w:ascii="Times New Roman" w:cs="Times New Roman" w:eastAsia="Times New Roman" w:hAnsi="Times New Roman"/>
          <w:sz w:val="24"/>
          <w:szCs w:val="24"/>
        </w:rPr>
        <w:t xml:space="preserve">The Resistance Innovation Cycle is a five-stage structural model describing the relationship between institutional overreach and the counter-technologies it produces. The cycle is not linear in the sense of having a terminal point. Each Stage Five, the re-capture of the rebound innovation, becomes the Stage One of the next cycle. The cycle is recursive, and its recurrence is the strongest evidence for its structural rather than contingent character.</w:t>
      </w:r>
    </w:p>
    <w:p>
      <w:pPr>
        <w:spacing w:after="0" w:before="0" w:line="480"/>
        <w:ind w:firstLine="720"/>
        <w:jc w:val="both"/>
      </w:pPr>
      <w:r>
        <w:rPr>
          <w:rFonts w:ascii="Times New Roman" w:cs="Times New Roman" w:eastAsia="Times New Roman" w:hAnsi="Times New Roman"/>
          <w:sz w:val="24"/>
          <w:szCs w:val="24"/>
        </w:rPr>
        <w:t xml:space="preserve">The five stages are: Elite Capture, Stupefaction, Critical Mass Collapse, Rebound Innovation, and Re-Capture. Each stage is described below with its internal logic and its relationship to adjacent stages.</w:t>
      </w:r>
    </w:p>
    <w:p>
      <w:pPr>
        <w:spacing w:after="120" w:before="240" w:line="480"/>
        <w:jc w:val="left"/>
      </w:pPr>
      <w:r>
        <w:rPr>
          <w:rFonts w:ascii="Times New Roman" w:cs="Times New Roman" w:eastAsia="Times New Roman" w:hAnsi="Times New Roman"/>
          <w:b/>
          <w:bCs/>
          <w:sz w:val="26"/>
          <w:szCs w:val="26"/>
        </w:rPr>
        <w:t xml:space="preserve">2.2 Stage One: Elite Capture</w:t>
      </w:r>
    </w:p>
    <w:p>
      <w:pPr>
        <w:spacing w:after="0" w:before="0" w:line="480"/>
        <w:ind w:firstLine="720"/>
        <w:jc w:val="both"/>
      </w:pPr>
      <w:r>
        <w:rPr>
          <w:rFonts w:ascii="Times New Roman" w:cs="Times New Roman" w:eastAsia="Times New Roman" w:hAnsi="Times New Roman"/>
          <w:sz w:val="24"/>
          <w:szCs w:val="24"/>
        </w:rPr>
        <w:t xml:space="preserve">Elite capture designates the process by which a small group of knowing actors colonizes institutions of governance, finance, or information that are nominally public or broadly shared. Every actor within the captured institution occupies a position on a continuous scale of awareness, from the architect of the corruption who understands its full design, to the mid-level participant who senses something is wrong but cannot name it, to the fully unknowing beneficiary who experiences only the rewards while dysfunction operates beneath their perception. This scale is not static. Awareness shifts as corruption deepens, as rewards accumulate, and as the distance between what participants are told and what they observe narrows or widens.</w:t>
      </w:r>
    </w:p>
    <w:p>
      <w:pPr>
        <w:spacing w:after="0" w:before="0" w:line="480"/>
        <w:ind w:firstLine="720"/>
        <w:jc w:val="both"/>
      </w:pPr>
      <w:r>
        <w:rPr>
          <w:rFonts w:ascii="Times New Roman" w:cs="Times New Roman" w:eastAsia="Times New Roman" w:hAnsi="Times New Roman"/>
          <w:sz w:val="24"/>
          <w:szCs w:val="24"/>
        </w:rPr>
        <w:t xml:space="preserve">Every position on this scale contributes simultaneously to two measurable properties of the institution: its mass and its directional momentum. Mass is constituted by the totality of actors, capital, and institutional weight participating in the structure. The directional momentum of that mass is determined by the behavioral and intentional character of those who compose it. Critically, this directional momentum is not merely descriptive. It is a property derivable from the assessment of qualitative components: the degree of intentional corruption in the knowing core, the velocity of recruitment of unknowing actors, the rate of participation growth, the depth of financial entrenchment, and the number of downstream actors each unknowing participant draws in. These inputs allow directional momentum to be treated as a composite vector rather than a narrative observation.</w:t>
      </w:r>
    </w:p>
    <w:p>
      <w:pPr>
        <w:spacing w:after="0" w:before="0" w:line="480"/>
        <w:ind w:firstLine="720"/>
        <w:jc w:val="both"/>
      </w:pPr>
      <w:r>
        <w:rPr>
          <w:rFonts w:ascii="Times New Roman" w:cs="Times New Roman" w:eastAsia="Times New Roman" w:hAnsi="Times New Roman"/>
          <w:sz w:val="24"/>
          <w:szCs w:val="24"/>
        </w:rPr>
        <w:t xml:space="preserve">The knowing core contributes deliberate directional energy. The unknowing periphery contributes its own independent momentum, determined by its behavioral inputs. The resultant direction of the institution is the vector sum of both, emergent from their combination, irreducible to the intentions of any single actor. Neither end of the awareness scale alone determines the trajectory. The composite does.</w:t>
      </w:r>
    </w:p>
    <w:p>
      <w:pPr>
        <w:spacing w:after="0" w:before="0" w:line="480"/>
        <w:ind w:firstLine="720"/>
        <w:jc w:val="both"/>
      </w:pPr>
      <w:r>
        <w:rPr>
          <w:rFonts w:ascii="Times New Roman" w:cs="Times New Roman" w:eastAsia="Times New Roman" w:hAnsi="Times New Roman"/>
          <w:sz w:val="24"/>
          <w:szCs w:val="24"/>
        </w:rPr>
        <w:t xml:space="preserve">As corruption deepens, the institution accumulates mass exceeding its stable form. The decay function accelerates as capital attracts additional participants, both aware and unaware. At a critical threshold, the energy that built and sustained the corrupt form converts into the energy of the collapse event itself. What began as deliberate corruption becomes a structure whose trajectory is no longer fully controlled by anyone within it, because the resultant vector has become the property of the composite system rather than of any of its components. The participants are not merely caught in the collapse. They constitute it.</w:t>
      </w:r>
    </w:p>
    <w:p>
      <w:pPr>
        <w:spacing w:after="120" w:before="240" w:line="480"/>
        <w:jc w:val="left"/>
      </w:pPr>
      <w:r>
        <w:rPr>
          <w:rFonts w:ascii="Times New Roman" w:cs="Times New Roman" w:eastAsia="Times New Roman" w:hAnsi="Times New Roman"/>
          <w:b/>
          <w:bCs/>
          <w:sz w:val="26"/>
          <w:szCs w:val="26"/>
        </w:rPr>
        <w:t xml:space="preserve">2.3 Stage Two: Stupefaction as Operational Precondition</w:t>
      </w:r>
    </w:p>
    <w:p>
      <w:pPr>
        <w:spacing w:after="0" w:before="0" w:line="480"/>
        <w:ind w:firstLine="720"/>
        <w:jc w:val="both"/>
      </w:pPr>
      <w:r>
        <w:rPr>
          <w:rFonts w:ascii="Times New Roman" w:cs="Times New Roman" w:eastAsia="Times New Roman" w:hAnsi="Times New Roman"/>
          <w:sz w:val="24"/>
          <w:szCs w:val="24"/>
        </w:rPr>
        <w:t xml:space="preserve">Stupefaction is not a side effect of elite capture. It is its operational precondition. A relatively sophisticated population cannot be captured. This distinction carries significant theoretical weight. It does not mean that any population is permanently immune to capture. It means that capture requires first reducing the relative sophistication of the governed population below a specific threshold, and that threshold is itself a variable that shifts depending on the complexity of the corrupt mechanism being deployed and the speed at which the knowing core needs the unknowing periphery to grow.</w:t>
      </w:r>
    </w:p>
    <w:p>
      <w:pPr>
        <w:spacing w:after="0" w:before="0" w:line="480"/>
        <w:ind w:firstLine="720"/>
        <w:jc w:val="both"/>
      </w:pPr>
      <w:r>
        <w:rPr>
          <w:rFonts w:ascii="Times New Roman" w:cs="Times New Roman" w:eastAsia="Times New Roman" w:hAnsi="Times New Roman"/>
          <w:sz w:val="24"/>
          <w:szCs w:val="24"/>
        </w:rPr>
        <w:t xml:space="preserve">This concept is closely related to what Gramsci (1971) called hegemony, the process by which dominant groups secure consent through cultural and ideological means rather than through overt coercion, and to what Herman and Chomsky (1988) documented as manufactured consent, the systematic filtering of information through media structures that serve institutional interests. What the Resistance Innovation Cycles framework adds to both of these accounts is the treatment of stupefaction not merely as a cultural or ideological phenomenon but as a quantitative input variable: its duration directly determines the magnitude of the collapse it enables.</w:t>
      </w:r>
    </w:p>
    <w:p>
      <w:pPr>
        <w:spacing w:after="0" w:before="0" w:line="480"/>
        <w:ind w:firstLine="720"/>
        <w:jc w:val="both"/>
      </w:pPr>
      <w:r>
        <w:rPr>
          <w:rFonts w:ascii="Times New Roman" w:cs="Times New Roman" w:eastAsia="Times New Roman" w:hAnsi="Times New Roman"/>
          <w:sz w:val="24"/>
          <w:szCs w:val="24"/>
        </w:rPr>
        <w:t xml:space="preserve">The structural channels of stupefaction are not independent instruments. They form a self-reinforcing system. Captured media reduces information quality, which lowers the population's capacity to evaluate educational structures, which narrows the analytical vocabulary available to citizens attempting to scrutinize financial instruments engineered for deliberate incomprehensibility, which returns to captured media as a population less capable of demanding better information. The system is recursive. Each rotation of the cycle lowers the sophistication threshold further, making the next rotation easier and more total in its effect.</w:t>
      </w:r>
    </w:p>
    <w:p>
      <w:pPr>
        <w:spacing w:after="0" w:before="0" w:line="480"/>
        <w:ind w:firstLine="720"/>
        <w:jc w:val="both"/>
      </w:pPr>
      <w:r>
        <w:rPr>
          <w:rFonts w:ascii="Times New Roman" w:cs="Times New Roman" w:eastAsia="Times New Roman" w:hAnsi="Times New Roman"/>
          <w:sz w:val="24"/>
          <w:szCs w:val="24"/>
        </w:rPr>
        <w:t xml:space="preserve">The duration of stupefaction is a quantitative input variable that determines the magnitude of the entire cycle. The relationship between duration and magnitude is not linear. It is governed by the composite directional state of the institution at every moment: a corrupt institution with high recruitment velocity and deep financial entrenchment may accumulate critical mass in months. A corrupt institution with slower recruitment but broader institutional reach may take decades. The 2008 financial crisis and a forty million dollar cryptocurrency fraud are both instances of the same structural function but at radically different scales and frequencies. None of this is merely descriptive. All of it is in principle calculable.</w:t>
      </w:r>
    </w:p>
    <w:p>
      <w:pPr>
        <w:spacing w:after="0" w:before="0" w:line="480"/>
        <w:ind w:firstLine="720"/>
        <w:jc w:val="both"/>
      </w:pPr>
      <w:r>
        <w:rPr>
          <w:rFonts w:ascii="Times New Roman" w:cs="Times New Roman" w:eastAsia="Times New Roman" w:hAnsi="Times New Roman"/>
          <w:sz w:val="24"/>
          <w:szCs w:val="24"/>
        </w:rPr>
        <w:t xml:space="preserve">Stupefaction's final and most precise function is to maximize the duration of the decay cycle, extending it as far as energy inputs allow, so that the total mass accumulated before collapse reaches its maximum possible magnitude. The knowing core understands this. It desires maximum duration because maximum duration equals maximum mass equals maximum energy released at the point of collapse, and it is at that point that the aware end of the scale repositions itself to receive the energy of transition while the unknowing mass converges into the collapse point itself.</w:t>
      </w:r>
    </w:p>
    <w:p>
      <w:pPr>
        <w:spacing w:after="120" w:before="240" w:line="480"/>
        <w:jc w:val="left"/>
      </w:pPr>
      <w:r>
        <w:rPr>
          <w:rFonts w:ascii="Times New Roman" w:cs="Times New Roman" w:eastAsia="Times New Roman" w:hAnsi="Times New Roman"/>
          <w:b/>
          <w:bCs/>
          <w:sz w:val="26"/>
          <w:szCs w:val="26"/>
        </w:rPr>
        <w:t xml:space="preserve">2.4 Stage Three: Critical Mass Collapse</w:t>
      </w:r>
    </w:p>
    <w:p>
      <w:pPr>
        <w:spacing w:after="0" w:before="0" w:line="480"/>
        <w:ind w:firstLine="720"/>
        <w:jc w:val="both"/>
      </w:pPr>
      <w:r>
        <w:rPr>
          <w:rFonts w:ascii="Times New Roman" w:cs="Times New Roman" w:eastAsia="Times New Roman" w:hAnsi="Times New Roman"/>
          <w:sz w:val="24"/>
          <w:szCs w:val="24"/>
        </w:rPr>
        <w:t xml:space="preserve">Stage Three is the hinge of the entire model: the Institutional Decay Point Collapse. It is the moment at which the accumulated mass, directional momentum, and energy of the corrupt institution converge into a single supercritical event from which the prior institutional form cannot be restored. It is the critical juncture in the sense used by Mahoney (2000) and Baumgartner and Jones (1993), but with a specification those frameworks do not provide: the character of what emerges after the juncture is not historically contingent. It is structurally determined by the inputs of the collapse itself.</w:t>
      </w:r>
    </w:p>
    <w:p>
      <w:pPr>
        <w:spacing w:after="0" w:before="0" w:line="480"/>
        <w:ind w:firstLine="720"/>
        <w:jc w:val="both"/>
      </w:pPr>
      <w:r>
        <w:rPr>
          <w:rFonts w:ascii="Times New Roman" w:cs="Times New Roman" w:eastAsia="Times New Roman" w:hAnsi="Times New Roman"/>
          <w:sz w:val="24"/>
          <w:szCs w:val="24"/>
        </w:rPr>
        <w:t xml:space="preserve">The collapse is not a failure of the institution in the sense of something going wrong unexpectedly. It is the terminal expression of the decay function that has been operating continuously since corruption began. The institution does not collapse despite its accumulated mass. It collapses because of it. The mass that sustained the corrupt form converts, at the critical threshold, into the energy of the collapse event. The participants who composed the institutional mass are not bystanders to the collapse. They constitute it.</w:t>
      </w:r>
    </w:p>
    <w:p>
      <w:pPr>
        <w:spacing w:after="0" w:before="0" w:line="480"/>
        <w:ind w:firstLine="720"/>
        <w:jc w:val="both"/>
      </w:pPr>
      <w:r>
        <w:rPr>
          <w:rFonts w:ascii="Times New Roman" w:cs="Times New Roman" w:eastAsia="Times New Roman" w:hAnsi="Times New Roman"/>
          <w:sz w:val="24"/>
          <w:szCs w:val="24"/>
        </w:rPr>
        <w:t xml:space="preserve">The timing of Stage Three is determined by the weighted composite of the inputs described in Stage One and Stage Two: the degree of intentional corruption, the velocity of mass accumulation, the depth of financial entrenchment, the duration and depth of stupefaction, and the degree of institutional closure that prevented early course correction. These inputs determine both when the collapse occurs and what its character is. Two institutions with identical mass at the moment of collapse but different input histories will produce different collapse events and, consequently, different rebound innovations.</w:t>
      </w:r>
    </w:p>
    <w:p>
      <w:pPr>
        <w:spacing w:after="0" w:before="0" w:line="480"/>
        <w:ind w:firstLine="720"/>
        <w:jc w:val="both"/>
      </w:pPr>
      <w:r>
        <w:rPr>
          <w:rFonts w:ascii="Times New Roman" w:cs="Times New Roman" w:eastAsia="Times New Roman" w:hAnsi="Times New Roman"/>
          <w:sz w:val="24"/>
          <w:szCs w:val="24"/>
        </w:rPr>
        <w:t xml:space="preserve">This is precisely where the Resistance Innovation Cycles framework departs most significantly from the punctuated equilibrium literature. Baumgartner and Jones (1993) establish that long stable phases are punctuated by sudden transformative moments. They do not specify what determines the character of the post-punctuation form. This framework does: the post-collapse form is the directional inverse of the pre-collapse inputs, proportional in magnitude, and derivable from the weighted matrix of those inputs. The collapse is not merely a punctuation. It is an equation with a left side and a right side.</w:t>
      </w:r>
    </w:p>
    <w:p>
      <w:pPr>
        <w:spacing w:after="0" w:before="0" w:line="480"/>
        <w:ind w:firstLine="720"/>
        <w:jc w:val="both"/>
      </w:pPr>
      <w:r>
        <w:rPr>
          <w:rFonts w:ascii="Times New Roman" w:cs="Times New Roman" w:eastAsia="Times New Roman" w:hAnsi="Times New Roman"/>
          <w:sz w:val="24"/>
          <w:szCs w:val="24"/>
        </w:rPr>
        <w:t xml:space="preserve">Weber's account of institutional legitimacy (1978) is also directly relevant here. Weber identified that institutions sustain themselves through legitimate authority, and that the erosion of legitimacy precedes institutional collapse. Stage Three in this framework is the terminal expression of that erosion: the point at which the gap between the institution's claimed legitimacy and its observable behavior has accumulated sufficient mass to trigger the collapse function. The Resistance Innovation Cycles framework adds to Weber's account the claim that the specific character of what replaces the collapsed institution is not indeterminate but structurally predictable from the nature of the legitimacy failure.</w:t>
      </w:r>
    </w:p>
    <w:p>
      <w:pPr>
        <w:spacing w:after="120" w:before="240" w:line="480"/>
        <w:jc w:val="left"/>
      </w:pPr>
      <w:r>
        <w:rPr>
          <w:rFonts w:ascii="Times New Roman" w:cs="Times New Roman" w:eastAsia="Times New Roman" w:hAnsi="Times New Roman"/>
          <w:b/>
          <w:bCs/>
          <w:sz w:val="26"/>
          <w:szCs w:val="26"/>
        </w:rPr>
        <w:t xml:space="preserve">2.5 Stage Four: Rebound Innovation</w:t>
      </w:r>
    </w:p>
    <w:p>
      <w:pPr>
        <w:spacing w:after="0" w:before="0" w:line="480"/>
        <w:ind w:firstLine="720"/>
        <w:jc w:val="both"/>
      </w:pPr>
      <w:r>
        <w:rPr>
          <w:rFonts w:ascii="Times New Roman" w:cs="Times New Roman" w:eastAsia="Times New Roman" w:hAnsi="Times New Roman"/>
          <w:sz w:val="24"/>
          <w:szCs w:val="24"/>
        </w:rPr>
        <w:t xml:space="preserve">The rebound innovation is the right side of the equation. At the moment of collapse, the former institutional form reaches its terminal point and the new form emerges simultaneously, its character already determined by the full set of directional inputs from the collapsing institution. The new form does not wait. It begins its own decay function immediately, because institutional decay is not a phase. It is the condition of all institutional forms at all times.</w:t>
      </w:r>
    </w:p>
    <w:p>
      <w:pPr>
        <w:spacing w:after="0" w:before="0" w:line="480"/>
        <w:ind w:firstLine="720"/>
        <w:jc w:val="both"/>
      </w:pPr>
      <w:r>
        <w:rPr>
          <w:rFonts w:ascii="Times New Roman" w:cs="Times New Roman" w:eastAsia="Times New Roman" w:hAnsi="Times New Roman"/>
          <w:sz w:val="24"/>
          <w:szCs w:val="24"/>
        </w:rPr>
        <w:t xml:space="preserve">The inputs to the collapse determine the outputs of the rebound through inversion and proportionality. Every qualitative feature of the collapsing institution, its secrecy, its complexity, its opacity, its centralization, its abuse of trusted intermediaries, its engineered incomprehensibility, translates directly into a corresponding feature of the new institutional form, inverted in sign and proportional in magnitude. The rebound does not merely oppose the collapse. It is the collapse expressed in its equal and opposite form.</w:t>
      </w:r>
    </w:p>
    <w:p>
      <w:pPr>
        <w:spacing w:after="0" w:before="0" w:line="480"/>
        <w:ind w:firstLine="720"/>
        <w:jc w:val="both"/>
      </w:pPr>
      <w:r>
        <w:rPr>
          <w:rFonts w:ascii="Times New Roman" w:cs="Times New Roman" w:eastAsia="Times New Roman" w:hAnsi="Times New Roman"/>
          <w:sz w:val="24"/>
          <w:szCs w:val="24"/>
        </w:rPr>
        <w:t xml:space="preserve">This is why Bitcoin is not a coincidence. It is the structurally determined output of the 2008 input vector. Every feature of the 2008 collapse has a precise, verifiable inverse in Bitcoin's architecture. The collapse was characterized by opacity: Bitcoin produced the most transparent public ledger in financial history. The collapse was characterized by centralized control: Bitcoin produced a distributed network with no single point of capture. The collapse was characterized by the abuse of trusted intermediaries: Bitcoin eliminated trusted intermediaries entirely, replacing institutional certification with cryptographic proof. The collapse was characterized by instruments of deliberate incomprehensibility: Bitcoin produced a protocol whose rules are fixed, public, and mathematically verifiable by any participant. The precision of this inversion is the primary empirical evidence for the framework's central claim.</w:t>
      </w:r>
    </w:p>
    <w:p>
      <w:pPr>
        <w:spacing w:after="0" w:before="0" w:line="480"/>
        <w:ind w:firstLine="720"/>
        <w:jc w:val="both"/>
      </w:pPr>
      <w:r>
        <w:rPr>
          <w:rFonts w:ascii="Times New Roman" w:cs="Times New Roman" w:eastAsia="Times New Roman" w:hAnsi="Times New Roman"/>
          <w:sz w:val="24"/>
          <w:szCs w:val="24"/>
        </w:rPr>
        <w:t xml:space="preserve">The state's capacity to suppress the rebound is not a fixed environmental constant. It is itself a bounded variable determined by the total energy the institution can direct toward suppression without accelerating its own decay. The rebound is calibrated by the structural logic of the collapse to exceed this suppression threshold by a margin proportional to the collapse magnitude. Bitcoin's pseudonymous authorship, its distributed architecture, its open source codebase, and its global validator network are not incidental design choices. They are the precise architectural response to a suppression apparatus whose features were fully determined by the collapse inputs.</w:t>
      </w:r>
    </w:p>
    <w:p>
      <w:pPr>
        <w:spacing w:after="120" w:before="240" w:line="480"/>
        <w:jc w:val="left"/>
      </w:pPr>
      <w:r>
        <w:rPr>
          <w:rFonts w:ascii="Times New Roman" w:cs="Times New Roman" w:eastAsia="Times New Roman" w:hAnsi="Times New Roman"/>
          <w:b/>
          <w:bCs/>
          <w:sz w:val="26"/>
          <w:szCs w:val="26"/>
        </w:rPr>
        <w:t xml:space="preserve">2.6 Stage Five: Re-Capture and the Confirmation of the Cycle</w:t>
      </w:r>
    </w:p>
    <w:p>
      <w:pPr>
        <w:spacing w:after="0" w:before="0" w:line="480"/>
        <w:ind w:firstLine="720"/>
        <w:jc w:val="both"/>
      </w:pPr>
      <w:r>
        <w:rPr>
          <w:rFonts w:ascii="Times New Roman" w:cs="Times New Roman" w:eastAsia="Times New Roman" w:hAnsi="Times New Roman"/>
          <w:sz w:val="24"/>
          <w:szCs w:val="24"/>
        </w:rPr>
        <w:t xml:space="preserve">The new institutional form does not exist in a stable state. From the moment of its formation, it begins its own decay function, and that decay function immediately begins defining the trajectory of its own eventual collapse. The right side of the equation becomes the left side of the next equation at the instant of its formation. Re-capture is simply the moment at which the new form's decay has progressed sufficiently for the knowing core to recognize it as a system worth colonizing. By that moment, the new form's trajectory has already been accumulating its collapse inputs for however long it has existed.</w:t>
      </w:r>
    </w:p>
    <w:p>
      <w:pPr>
        <w:spacing w:after="0" w:before="0" w:line="480"/>
        <w:ind w:firstLine="720"/>
        <w:jc w:val="both"/>
      </w:pPr>
      <w:r>
        <w:rPr>
          <w:rFonts w:ascii="Times New Roman" w:cs="Times New Roman" w:eastAsia="Times New Roman" w:hAnsi="Times New Roman"/>
          <w:sz w:val="24"/>
          <w:szCs w:val="24"/>
        </w:rPr>
        <w:t xml:space="preserve">The mechanism of re-capture follows the same awareness scale that governs Stage One. It does not arrive as an overt assault. It arrives as gradual colonization: the knowing core identifies the rebound form as a system whose energy flows can be redirected, begins recruiting unknowing participants into the captured version, and redeploys stupefaction channels to prevent the population from recognizing the capture as it occurs. The rebound form is not destroyed. It is hollowed. Its architectural features are retained as aesthetic form while its functional independence is progressively neutralized.</w:t>
      </w:r>
    </w:p>
    <w:p>
      <w:pPr>
        <w:spacing w:after="0" w:before="0" w:line="480"/>
        <w:ind w:firstLine="720"/>
        <w:jc w:val="both"/>
      </w:pPr>
      <w:r>
        <w:rPr>
          <w:rFonts w:ascii="Times New Roman" w:cs="Times New Roman" w:eastAsia="Times New Roman" w:hAnsi="Times New Roman"/>
          <w:sz w:val="24"/>
          <w:szCs w:val="24"/>
        </w:rPr>
        <w:t xml:space="preserve">The Jamie Dimon case is the most precisely documented contemporary instance of Stage Five operating in real time. Dimon's public condemnation of Bitcoin, including his public threat to terminate any JPMorgan trader who bought it, produced a measurable market decline. Simultaneously, JPMorgan, through its investment vehicles and client services, was among the largest institutional acquirers of Bitcoin in the market. The public condemnation is stupefaction deployed as a financial instrument: institutional authority weaponized to suppress demand and drive down price while the knowing core accumulates the asset at the artificially depressed price. The two tracks are not contradictory. They are the simultaneous operation of Stage One on the new institutional form.</w:t>
      </w:r>
    </w:p>
    <w:p>
      <w:pPr>
        <w:spacing w:after="0" w:before="0" w:line="480"/>
        <w:ind w:firstLine="720"/>
        <w:jc w:val="both"/>
      </w:pPr>
      <w:r>
        <w:rPr>
          <w:rFonts w:ascii="Times New Roman" w:cs="Times New Roman" w:eastAsia="Times New Roman" w:hAnsi="Times New Roman"/>
          <w:sz w:val="24"/>
          <w:szCs w:val="24"/>
        </w:rPr>
        <w:t xml:space="preserve">The cycle is not a tragedy. It is the mechanism by which institutional capacity for resistance perpetually regenerates. Each collapse produces a rebound whose architectural precision exceeds that of its predecessor, because each collapse is larger, more thoroughly documented, and more precisely determinative of the rebound's features. The uncompromised margin does not merely survive each cycle. It compounds. The sophistication of each successive rebound is a function of the accumulated institutional memory of every prior collapse, encoded in the architectural decisions of the people who build the next form from the wreckage of the last.</w:t>
      </w:r>
    </w:p>
    <w:p>
      <w:pPr>
        <w:spacing w:after="120" w:before="240" w:line="480"/>
        <w:jc w:val="left"/>
      </w:pPr>
      <w:r>
        <w:rPr>
          <w:rFonts w:ascii="Times New Roman" w:cs="Times New Roman" w:eastAsia="Times New Roman" w:hAnsi="Times New Roman"/>
          <w:b/>
          <w:bCs/>
          <w:sz w:val="26"/>
          <w:szCs w:val="26"/>
        </w:rPr>
        <w:t xml:space="preserve">2.7 Situating the Framework: Existing Literature and Its Limits</w:t>
      </w:r>
    </w:p>
    <w:p>
      <w:pPr>
        <w:spacing w:after="0" w:before="0" w:line="480"/>
        <w:ind w:firstLine="720"/>
        <w:jc w:val="both"/>
      </w:pPr>
      <w:r>
        <w:rPr>
          <w:rFonts w:ascii="Times New Roman" w:cs="Times New Roman" w:eastAsia="Times New Roman" w:hAnsi="Times New Roman"/>
          <w:sz w:val="24"/>
          <w:szCs w:val="24"/>
        </w:rPr>
        <w:t xml:space="preserve">The Resistance Innovation Cycles framework engages, extends, and in specific ways improves upon three bodies of existing scholarship: contentious politics and repertoires of resistance, the study of how states enforce legibility over populations, and the politics of artifacts.</w:t>
      </w:r>
    </w:p>
    <w:p>
      <w:pPr>
        <w:spacing w:after="0" w:before="0" w:line="480"/>
        <w:ind w:firstLine="720"/>
        <w:jc w:val="both"/>
      </w:pPr>
      <w:r>
        <w:rPr>
          <w:rFonts w:ascii="Times New Roman" w:cs="Times New Roman" w:eastAsia="Times New Roman" w:hAnsi="Times New Roman"/>
          <w:sz w:val="24"/>
          <w:szCs w:val="24"/>
        </w:rPr>
        <w:t xml:space="preserve">Charles Tilly's work on contentious politics established that resistance is patterned, that populations draw on culturally available repertoires of collective action rather than inventing resistance from scratch in each historical moment (Tilly 2008). The Resistance Innovation Cycles framework accepts this foundation and moves beyond it: not only is resistance patterned, but the specific architectural features of each rebound innovation are structurally determined by the collapse inputs and derivable before the rebound is examined. Tilly documents that populations resist. The weighted matrix proposed in Section III explains what they build and why its architecture is determined by the collapse it opposes.</w:t>
      </w:r>
    </w:p>
    <w:p>
      <w:pPr>
        <w:spacing w:after="0" w:before="0" w:line="480"/>
        <w:ind w:firstLine="720"/>
        <w:jc w:val="both"/>
      </w:pPr>
      <w:r>
        <w:rPr>
          <w:rFonts w:ascii="Times New Roman" w:cs="Times New Roman" w:eastAsia="Times New Roman" w:hAnsi="Times New Roman"/>
          <w:sz w:val="24"/>
          <w:szCs w:val="24"/>
        </w:rPr>
        <w:t xml:space="preserve">James Scott's Seeing Like a State documents how states simplify and schematize social reality to render populations legible for administrative control (Scott 1998), and Weapons of the Weak establishes the infrapolitics of everyday resistance (Scott 1985). The Resistance Innovation Cycles framework extends Scott's insight from evasion to architecture: populations do not merely hide from state legibility, they build systems that are structurally illegible by design, and the specific illegibility features of those systems are derivable from the specific legibility apparatus the state deployed against them. Bitcoin is not infrapolitics. It is an architectural counter-institution whose every design decision is a precise response to a specific state capacity.</w:t>
      </w:r>
    </w:p>
    <w:p>
      <w:pPr>
        <w:spacing w:after="0" w:before="0" w:line="480"/>
        <w:ind w:firstLine="720"/>
        <w:jc w:val="both"/>
      </w:pPr>
      <w:r>
        <w:rPr>
          <w:rFonts w:ascii="Times New Roman" w:cs="Times New Roman" w:eastAsia="Times New Roman" w:hAnsi="Times New Roman"/>
          <w:sz w:val="24"/>
          <w:szCs w:val="24"/>
        </w:rPr>
        <w:t xml:space="preserve">Langdon Winner's foundational question, do artifacts have politics, established that technologies embody political values in their design (Winner 1980). The Resistance Innovation Cycles framework extends this: the specific political values embodied in rebound innovations are not freely chosen by their architects but are structurally determined by the collapse inputs and derivable through the weighted matrix. The artifact does not merely have politics. Its politics are predictable from the politics of the institutional failure it was built to oppose.</w:t>
      </w:r>
    </w:p>
    <w:p>
      <w:pPr>
        <w:spacing w:after="0" w:before="0" w:line="480"/>
        <w:ind w:firstLine="720"/>
        <w:jc w:val="both"/>
      </w:pPr>
      <w:r>
        <w:rPr>
          <w:rFonts w:ascii="Times New Roman" w:cs="Times New Roman" w:eastAsia="Times New Roman" w:hAnsi="Times New Roman"/>
          <w:sz w:val="24"/>
          <w:szCs w:val="24"/>
        </w:rPr>
        <w:t xml:space="preserve">A final clarification is warranted on the question of functionalism. A functionalist argument explains social phenomena by the functions they serve, risking circularity: resistance innovation exists because it fills the function of countering overreach. The Resistance Innovation Cycles framework escapes this circularity because it is not primarily an explanatory claim about past events but a predictive one. Given the weighted matrix of collapse inputs, the framework claims to derive the features of the rebound before examining whether the actual rebound matches the prediction. A functionalist account describes what happened and assigns a function after the fact. This framework derives what should happen from the inputs of the collapse and then checks whether the historical record confirms the derivation. That distinction, between post-hoc functional explanation and predictive derivation, is what separates this framework from functionalism, and it is the standard by which the framework invites evaluation.</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III. Conceptual Methodology: The Weighted Matrix as First Formal Attempt</w:t>
      </w:r>
    </w:p>
    <w:p>
      <w:pPr>
        <w:spacing w:after="120" w:before="240" w:line="480"/>
        <w:jc w:val="left"/>
      </w:pPr>
      <w:r>
        <w:rPr>
          <w:rFonts w:ascii="Times New Roman" w:cs="Times New Roman" w:eastAsia="Times New Roman" w:hAnsi="Times New Roman"/>
          <w:b/>
          <w:bCs/>
          <w:sz w:val="26"/>
          <w:szCs w:val="26"/>
        </w:rPr>
        <w:t xml:space="preserve">3.1 Framing</w:t>
      </w:r>
    </w:p>
    <w:p>
      <w:pPr>
        <w:spacing w:after="0" w:before="0" w:line="480"/>
        <w:ind w:firstLine="720"/>
        <w:jc w:val="both"/>
      </w:pPr>
      <w:r>
        <w:rPr>
          <w:rFonts w:ascii="Times New Roman" w:cs="Times New Roman" w:eastAsia="Times New Roman" w:hAnsi="Times New Roman"/>
          <w:sz w:val="24"/>
          <w:szCs w:val="24"/>
        </w:rPr>
        <w:t xml:space="preserve">This section proposes a first formal mapping of qualitative institutional variables onto physical analogs as a conceptual methodology. The weighted matrix is not presented as a completed mathematical formalism. It is presented as what it is: a first attempt at building the methodological bridge between the qualitative analysis of institutional decay and the quantitative precision that bridge would enable. The full mathematical formalization requires empirical calibration across a larger case set and computational modeling that exceeds the scope of this paper. What this section offers is the architecture for that formalization and an invitation to others to test, refine, and extend it.</w:t>
      </w:r>
    </w:p>
    <w:p>
      <w:pPr>
        <w:spacing w:after="0" w:before="0" w:line="480"/>
        <w:ind w:firstLine="720"/>
        <w:jc w:val="both"/>
      </w:pPr>
      <w:r>
        <w:rPr>
          <w:rFonts w:ascii="Times New Roman" w:cs="Times New Roman" w:eastAsia="Times New Roman" w:hAnsi="Times New Roman"/>
          <w:sz w:val="24"/>
          <w:szCs w:val="24"/>
        </w:rPr>
        <w:t xml:space="preserve">The physical analogy driving this framework is not merely illustrative. The claim is that institutions, constituted by people as mass and capital as energy, exhibit structural behaviors analogous to physical mass systems: they accumulate, they decay, they reach critical thresholds, and they transition into new forms whose character is determined by the inputs of the transition event. This claim is analytical rather than metaphysical. It does not assert that institutions are literally celestial bodies. It asserts that the same class of structural logic, mass accumulation, decay functions, critical thresholds, and conservation of energy across transitions, governs both systems in ways that make the physical framework analytically useful for understanding institutional behavior.</w:t>
      </w:r>
    </w:p>
    <w:p>
      <w:pPr>
        <w:spacing w:after="120" w:before="240" w:line="480"/>
        <w:jc w:val="left"/>
      </w:pPr>
      <w:r>
        <w:rPr>
          <w:rFonts w:ascii="Times New Roman" w:cs="Times New Roman" w:eastAsia="Times New Roman" w:hAnsi="Times New Roman"/>
          <w:b/>
          <w:bCs/>
          <w:sz w:val="26"/>
          <w:szCs w:val="26"/>
        </w:rPr>
        <w:t xml:space="preserve">3.2 Table 1: Weighted Matrix, First Formal Attempt</w:t>
      </w:r>
    </w:p>
    <w:p>
      <w:pPr>
        <w:spacing w:after="0" w:before="0" w:line="480"/>
        <w:ind w:firstLine="720"/>
        <w:jc w:val="both"/>
      </w:pPr>
      <w:r>
        <w:rPr>
          <w:rFonts w:ascii="Times New Roman" w:cs="Times New Roman" w:eastAsia="Times New Roman" w:hAnsi="Times New Roman"/>
          <w:sz w:val="24"/>
          <w:szCs w:val="24"/>
        </w:rPr>
        <w:t xml:space="preserve">The following table maps eight physical properties of mass systems onto their institutional analogs, proposes observable proxies for each, and specifies the expected effect of each variable on the decay trajectory. The proposed weights are initial estimates requiring empirical calibration. Each case study this framework is applied to should refine the weighting of existing variables and identify additional variables not captured in this first attempt.</w:t>
      </w:r>
    </w:p>
    <w:p>
      <w:pPr>
        <w:spacing w:line="48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bCs/>
                <w:sz w:val="18"/>
                <w:szCs w:val="18"/>
              </w:rPr>
              <w:t xml:space="preserve">Physical Property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bCs/>
                <w:sz w:val="18"/>
                <w:szCs w:val="18"/>
              </w:rPr>
              <w:t xml:space="preserve">Physical Definition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bCs/>
                <w:sz w:val="18"/>
                <w:szCs w:val="18"/>
              </w:rPr>
              <w:t xml:space="preserve">Institutional Analog</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bCs/>
                <w:sz w:val="18"/>
                <w:szCs w:val="18"/>
              </w:rPr>
              <w:t xml:space="preserve">Observable Proxy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bCs/>
                <w:sz w:val="18"/>
                <w:szCs w:val="18"/>
              </w:rPr>
              <w:t xml:space="preserve">Effect on Decay Trajectory</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Mass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Quantity of matter; determines gravitational pull and resistance to change in motion.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An institution's accumulated authority, capital, membership, and dependency networks. The total weight of what the institution has built and what depends on it.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Total assets under control, number of participants, regulatory jurisdiction, number of downstream institutions dependent on its continued function.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Higher institutional mass increases both the pull on surrounding actors and the energy required to change trajectory. High-mass institutions are harder to redirect but produce larger collapse events when they reach supercritical threshold.</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Energy Output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Power radiated per unit time; determines luminosity and influence on surrounding system.</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rate at which an institution converts its mass into decisions, capital flows, policy outputs, and influence. How much it produces relative to what it holds.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Capital deployed per period, decisions per period, regulatory output, rate of new participant recruitment.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High energy output accelerates approach to critical events. Sustained high output depletes institutional mass faster, shortening the stable phase. Low output extends duration before collapse.</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Spin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Angular momentum; determines directional orientation, governs what the body attracts and repels.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directional character of institutional intent: the specific trajectory the institution is on, what it is building toward, and what kind of actors and capital it draws into its orbit.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Documented institutional mission versus observable behavior, patterns of recruitment, character of capital attracted, behavioral consistency across contexts.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Spin determines which other institutions and actors are drawn into the system. Compatible institutional spins accumulate into networks. Incompatible spins create friction or instability. Spin is the primary determinant of the collapse's inverse output.</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Decay Frequency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Rate at which a mass body converts its current form into energy and new form; determines lifecycle timescale.</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pace at which an institution transforms, makes decisions, recruits, and approaches its critical threshold. Its operational tempo.</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Decision velocity, rate of membership change, speed of capital turnover, frequency of structural reorganization.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High-frequency institutions reach critical points faster. Low-frequency institutions accumulate mass over longer periods before transition. Decay frequency is the primary determinant of whether a collapse event takes months or decades.</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Wavelength Character</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Specific signature of energy emission; determines what kind of influence is exerted and what it attracts. Stellar spectral class.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qualitative character of institutional output. Not just how much an institution produces but what kind of influence it radiates: whether it generates capacity in surrounding actors or extracts it.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Net effect on participant capacity over time, character of institutional legacy, type of actors drawn into the orbit, whether downstream institutions gain or lose autonomy.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Wavelength character determines the type of collapse event produced and the character of the rebound. Extractive institutions produce more explosive collapses. Generative institutions produce longer stable phases and more gradual transitions.</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Probability Space</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Range of possible future states accessible to a system given current position, momentum, and energy.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full range of trajectories available to an institution at any given moment, determined by its accumulated mass, current spin, energy state, and the density of other institutions in its environment.</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Documented strategic options, resource access, regulatory environment, presence or absence of institutional alternatives in the same functional space.</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Probability space contracts as institutions approach event horizon. Early in institutional lifecycle, trajectory is flexible. As spin and mass accumulate, the institution's path narrows toward the direction its spin has been defining. Near collapse, effective probability space approaches a point.</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Resonance Attraction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Tendency of systems with compatible frequencies to amplify one another and enter stable coupled relationships.</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mechanism by which institutions pursuing compatible trajectories accumulate into networks, coalitions, and systems. Not coincidence but the product of overlapping decay frequencies and compatible spin.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Network formation patterns, documented coalition histories, the regularity with which institutions pursuing similar functions cluster across contexts without deliberate coordination.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Resonance coupling accelerates mass accumulation for all institutions in the system. Two compatible spin institutions entering resonance produces a combined institutional mass with new decay properties that neither possessed independently.</w:t>
            </w:r>
          </w:p>
        </w:tc>
      </w:tr>
      <w:tr>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Event Horizon</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Boundary beyond which gravitational pull of collapsing mass body exceeds any possible escape velocity.</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point in an institution's decay trajectory at which accumulated commitments, dependencies, and spin momentum exceed any single actor's capacity to redirect the system. Past this point, the collapse is structurally determined.</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The moment institutional decay becomes publicly self-reinforcing, when insider awareness of dysfunction exceeds capacity for internal correction, when capital flight and participant exit accelerate beyond recovery threshold.</w:t>
            </w:r>
          </w:p>
        </w:tc>
        <w:tc>
          <w:tcPr>
            <w:tcW w:type="pct" w:w="20%"/>
            <w:tcBorders>
              <w:top w:val="single" w:sz="1"/>
              <w:left w:val="single" w:sz="1"/>
              <w:bottom w:val="single" w:sz="1"/>
              <w:right w:val="single" w:sz="1"/>
            </w:tcBorders>
          </w:tcPr>
          <w:p>
            <w:pPr>
              <w:spacing w:after="60" w:before="60" w:line="280"/>
              <w:ind w:left="80"/>
              <w:jc w:val="left"/>
            </w:pPr>
            <w:r>
              <w:rPr>
                <w:rFonts w:ascii="Times New Roman" w:cs="Times New Roman" w:eastAsia="Times New Roman" w:hAnsi="Times New Roman"/>
                <w:b w:val="false"/>
                <w:bCs w:val="false"/>
                <w:sz w:val="18"/>
                <w:szCs w:val="18"/>
              </w:rPr>
              <w:t xml:space="preserve">Past the event horizon, individual agency within the institution is real but structural escape trajectories are no longer accessible. The collapse proceeds to its terminal point. What emerges on the other side is determined by the spin inputs at the moment of convergence.</w:t>
            </w:r>
          </w:p>
        </w:tc>
      </w:tr>
    </w:tbl>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composite of these eight variables at any given moment constitutes what this paper calls the institutional decay vector: a directional description of the institution's current trajectory, its rate of approach toward a critical threshold, and the character of the collapse event that trajectory is producing. The decay vector is not static. It responds continuously to changes in any of its component variables. This dynamic character is what this paper terms the spinytrical geometry of institutional decay: the compounding, self-referential path whose velocity and direction are determined at every moment by the composite state of the institution's inputs.</w:t>
      </w:r>
    </w:p>
    <w:p>
      <w:pPr>
        <w:spacing w:after="0" w:before="0" w:line="480"/>
        <w:ind w:firstLine="720"/>
        <w:jc w:val="both"/>
      </w:pPr>
      <w:r>
        <w:rPr>
          <w:rFonts w:ascii="Times New Roman" w:cs="Times New Roman" w:eastAsia="Times New Roman" w:hAnsi="Times New Roman"/>
          <w:sz w:val="24"/>
          <w:szCs w:val="24"/>
        </w:rPr>
        <w:t xml:space="preserve">The term spinytrical is proposed as a conceptual descriptor for this class of geometric relationship, one that is defined by its rotational and self-referential properties, asymptotically approaching a critical point whose character is determined by the full history of the inputs that produced it. It is offered as a conceptual tool rather than a completed mathematical formalism. The mathematical specification of spinytrical geometry, including the full wave function description of institutional decay trajectories, is the work of future research.</w:t>
      </w:r>
    </w:p>
    <w:p>
      <w:pPr>
        <w:spacing w:after="120" w:before="240" w:line="480"/>
        <w:jc w:val="left"/>
      </w:pPr>
      <w:r>
        <w:rPr>
          <w:rFonts w:ascii="Times New Roman" w:cs="Times New Roman" w:eastAsia="Times New Roman" w:hAnsi="Times New Roman"/>
          <w:b/>
          <w:bCs/>
          <w:sz w:val="26"/>
          <w:szCs w:val="26"/>
        </w:rPr>
        <w:t xml:space="preserve">3.3 Toward a Formal Mapping: The Decay Wave Function</w:t>
      </w:r>
    </w:p>
    <w:p>
      <w:pPr>
        <w:spacing w:after="0" w:before="0" w:line="480"/>
        <w:ind w:firstLine="720"/>
        <w:jc w:val="both"/>
      </w:pPr>
      <w:r>
        <w:rPr>
          <w:rFonts w:ascii="Times New Roman" w:cs="Times New Roman" w:eastAsia="Times New Roman" w:hAnsi="Times New Roman"/>
          <w:sz w:val="24"/>
          <w:szCs w:val="24"/>
        </w:rPr>
        <w:t xml:space="preserve">The weighted matrix in Table 1 maps qualitative institutional variables onto physical analogs with proposed observable proxies. This subsection proposes a formal expression of how those properties might be composed into a single decay wave function, and extends the mapping to the level of the individual conscious actors who constitute institutional mass. This is presented explicitly as a proposed approach: the architecture of a formalization that future research, with larger empirical case sets and greater computational resources, is invited to build and test. It is not a claim that the formalization has been completed.</w:t>
      </w:r>
    </w:p>
    <w:p>
      <w:pPr>
        <w:spacing w:after="0" w:before="0" w:line="480"/>
        <w:ind w:firstLine="720"/>
        <w:jc w:val="both"/>
      </w:pPr>
      <w:r>
        <w:rPr>
          <w:rFonts w:ascii="Times New Roman" w:cs="Times New Roman" w:eastAsia="Times New Roman" w:hAnsi="Times New Roman"/>
          <w:sz w:val="24"/>
          <w:szCs w:val="24"/>
        </w:rPr>
        <w:t xml:space="preserve">Each conscious mass body, meaning each individual human actor within or outside an institutional system, can be described at any moment t by a decay wave function W(t) whose value is determined by the composite interaction of seven properties. Mass M: accumulated influence, commitments, resources, and relationships. The total weight of what the actor has built and who depends on them. Energy output E: the rate at which the actor converts their mass into action, production, and influence per unit time. Spin vector S: the fundamental directional orientation of the actor's seeking, not preference in isolation but the trajectory they are on, what they are building toward, and the character of other actors and institutions drawn into their probability space. Decay frequency f: the pace at which the actor acts, decides, produces, and transforms, the operational tempo determining whether a lifecycle event unfolds over months or decades. Wavelength character λ: the qualitative signature of the actor's output and influence, the spectral class of what they radiate, whether they generate capacity in those around them or extract it. Probability space P: the range of trajectories accessible to the actor at any given moment, determined by accumulated mass, current spin, energy state, and the density of other mass bodies in their local environment. Resonance coupling R: the degree to which the actor's decay frequency and spin vector overlap with those of other actors in the system, governing whether coupled relationships amplify or dampen the trajectory.</w:t>
      </w:r>
    </w:p>
    <w:p>
      <w:pPr>
        <w:spacing w:after="0" w:before="0" w:line="480"/>
        <w:ind w:firstLine="720"/>
        <w:jc w:val="both"/>
      </w:pPr>
      <w:r>
        <w:rPr>
          <w:rFonts w:ascii="Times New Roman" w:cs="Times New Roman" w:eastAsia="Times New Roman" w:hAnsi="Times New Roman"/>
          <w:sz w:val="24"/>
          <w:szCs w:val="24"/>
        </w:rPr>
        <w:t xml:space="preserve">The proposed wave function is: W(t) = f(M, E, S, f, λ, P, R). The trajectory of W(t) toward its next critical event is the composite product of all seven variables interacting continuously. This is not a derived equation. It is a proposed formal structure: a claim that these seven properties are real, that they are in principle observable and measurable through the proxies identified in Table 1, and that their relationships follow the same structural logic as the physical analogs from which they are drawn. The weights assigned to each variable require empirical calibration across a large case set. The specific mathematical form of how W(t) approaches its critical point as a function of the seven variables is the central object of the formalization this paper invites. What is proposed here is that these seven variables are the right variables, that the physical analogs are the right analogs, and that the logic of inversion and proportionality governing institutional decay also governs the individual decay wave functions that compose it.</w:t>
      </w:r>
    </w:p>
    <w:p>
      <w:pPr>
        <w:spacing w:after="0" w:before="0" w:line="480"/>
        <w:ind w:firstLine="720"/>
        <w:jc w:val="both"/>
      </w:pPr>
      <w:r>
        <w:rPr>
          <w:rFonts w:ascii="Times New Roman" w:cs="Times New Roman" w:eastAsia="Times New Roman" w:hAnsi="Times New Roman"/>
          <w:sz w:val="24"/>
          <w:szCs w:val="24"/>
        </w:rPr>
        <w:t xml:space="preserve">The institutional application and the individual application of this framework are distinct. This paper's primary argument concerns institutional decay: the collapse of captured institutions and the rebound innovations they produce. The individual conscious mass body mapping proposed here points beyond this paper toward a more complete account of how individual actors constitute institutional mass, how their decay wave functions compose into institutional spin vectors, and how the event horizon of an institutional collapse intersects with the individual probability spaces of the actors within it. That account is the work of future research. What this subsection offers is the proposed formal structure for beginning it.</w:t>
      </w:r>
    </w:p>
    <w:p>
      <w:pPr>
        <w:spacing w:after="120" w:before="240" w:line="480"/>
        <w:jc w:val="left"/>
      </w:pPr>
      <w:r>
        <w:rPr>
          <w:rFonts w:ascii="Times New Roman" w:cs="Times New Roman" w:eastAsia="Times New Roman" w:hAnsi="Times New Roman"/>
          <w:b/>
          <w:bCs/>
          <w:sz w:val="26"/>
          <w:szCs w:val="26"/>
        </w:rPr>
        <w:t xml:space="preserve">3.4 The Two-Sided Equation</w:t>
      </w:r>
    </w:p>
    <w:p>
      <w:pPr>
        <w:spacing w:after="0" w:before="0" w:line="480"/>
        <w:ind w:firstLine="720"/>
        <w:jc w:val="both"/>
      </w:pPr>
      <w:r>
        <w:rPr>
          <w:rFonts w:ascii="Times New Roman" w:cs="Times New Roman" w:eastAsia="Times New Roman" w:hAnsi="Times New Roman"/>
          <w:sz w:val="24"/>
          <w:szCs w:val="24"/>
        </w:rPr>
        <w:t xml:space="preserve">The full framework is expressible as a two-sided relationship whose left and right sides are connected by the conservation of institutional energy across the collapse event. The left side is the collapsing institution, characterized by its composite decay vector, total accumulated mass, energy density, duration coefficient, and approach velocity at the moment of supercritical convergence. The right side is the rebound institution, characterized by a decay vector that is the directional inverse of the left side inputs, proportional in magnitude, and immediate in its own decay function from the moment of formation.</w:t>
      </w:r>
    </w:p>
    <w:p>
      <w:pPr>
        <w:spacing w:after="0" w:before="0" w:line="480"/>
        <w:ind w:firstLine="720"/>
        <w:jc w:val="both"/>
      </w:pPr>
      <w:r>
        <w:rPr>
          <w:rFonts w:ascii="Times New Roman" w:cs="Times New Roman" w:eastAsia="Times New Roman" w:hAnsi="Times New Roman"/>
          <w:sz w:val="24"/>
          <w:szCs w:val="24"/>
        </w:rPr>
        <w:t xml:space="preserve">Three principles govern the relationship between left and right. First, inversion: every qualitative feature of the collapse is expressed in its opposite form in the rebound. Second, proportionality: the magnitude of the rebound corresponds to the magnitude of the collapse. Larger collapses produce larger, more precisely defined rebounds. Third, immediacy: the right side begins its own decay function at the moment of the collapse point. The new institutional form is not a response to the collapse that follows after a delay. It is the collapse expressed in its inverted form, decaying immediately from the instant of formation.</w:t>
      </w:r>
    </w:p>
    <w:p>
      <w:pPr>
        <w:spacing w:after="120" w:before="240" w:line="480"/>
        <w:jc w:val="left"/>
      </w:pPr>
      <w:r>
        <w:rPr>
          <w:rFonts w:ascii="Times New Roman" w:cs="Times New Roman" w:eastAsia="Times New Roman" w:hAnsi="Times New Roman"/>
          <w:b/>
          <w:bCs/>
          <w:sz w:val="26"/>
          <w:szCs w:val="26"/>
        </w:rPr>
        <w:t xml:space="preserve">3.5 Stellar Lifecycles, Critical Junctures, and the Limits of Path Dependency</w:t>
      </w:r>
    </w:p>
    <w:p>
      <w:pPr>
        <w:spacing w:after="0" w:before="0" w:line="480"/>
        <w:ind w:firstLine="720"/>
        <w:jc w:val="both"/>
      </w:pPr>
      <w:r>
        <w:rPr>
          <w:rFonts w:ascii="Times New Roman" w:cs="Times New Roman" w:eastAsia="Times New Roman" w:hAnsi="Times New Roman"/>
          <w:sz w:val="24"/>
          <w:szCs w:val="24"/>
        </w:rPr>
        <w:t xml:space="preserve">The punctuated equilibrium literature, developed most fully by Mahoney (2000), Pierson (2004), and Baumgartner and Jones (1993), describes institutional change as characterized by long periods of stability punctuated by sudden transformative critical junctures that lock in new developmental paths. The Resistance Innovation Cycles framework is compatible with this tradition and the Institutional Decay Point Collapse maps precisely onto the concept of a critical juncture.</w:t>
      </w:r>
    </w:p>
    <w:p>
      <w:pPr>
        <w:spacing w:after="0" w:before="0" w:line="480"/>
        <w:ind w:firstLine="720"/>
        <w:jc w:val="both"/>
      </w:pPr>
      <w:r>
        <w:rPr>
          <w:rFonts w:ascii="Times New Roman" w:cs="Times New Roman" w:eastAsia="Times New Roman" w:hAnsi="Times New Roman"/>
          <w:sz w:val="24"/>
          <w:szCs w:val="24"/>
        </w:rPr>
        <w:t xml:space="preserve">But the path dependency literature cannot answer the question this framework is designed to answer: what determines the character of the new path that forms after the critical juncture? Mahoney and Pierson identify that junctures occur and that new paths are locked in. They have no account of why the new path has the specific features it has, or why those features correspond so regularly to the specific features of the institutional failure that produced the juncture. The weighted matrix answers this question. The new path is determined by the decay vector inputs of the collapsing form.</w:t>
      </w:r>
    </w:p>
    <w:p>
      <w:pPr>
        <w:spacing w:after="0" w:before="0" w:line="480"/>
        <w:ind w:firstLine="720"/>
        <w:jc w:val="both"/>
      </w:pPr>
      <w:r>
        <w:rPr>
          <w:rFonts w:ascii="Times New Roman" w:cs="Times New Roman" w:eastAsia="Times New Roman" w:hAnsi="Times New Roman"/>
          <w:sz w:val="24"/>
          <w:szCs w:val="24"/>
        </w:rPr>
        <w:t xml:space="preserve">The stellar lifecycle provides the physical model that makes this relationship fully legible. A yellow star of sufficient mass burns for billions of years in dynamic equilibrium, its decay function operating continuously but slowly. Then its internal composition shifts, the decay function accelerates, and the star expands briefly into a red giant before collapsing in an instant into a white dwarf that will persist for another near-eternal period. The specific properties of the white dwarf are determined entirely by the mass and rotational inputs of the collapse event. This is punctuated equilibrium with full physical specification. The long stable phase is the decay function operating below critical threshold. The punctuation is the collapse event. The new stable phase is the rebound form settling into its own long decay cycle. The contribution of this framework to the path dependency tradition is precisely the derivability claim: the character of the post-juncture form is physically calculable from the inputs of the collapse event.</w:t>
      </w:r>
    </w:p>
    <w:p>
      <w:pPr>
        <w:spacing w:after="120" w:before="240" w:line="480"/>
        <w:jc w:val="left"/>
      </w:pPr>
      <w:r>
        <w:rPr>
          <w:rFonts w:ascii="Times New Roman" w:cs="Times New Roman" w:eastAsia="Times New Roman" w:hAnsi="Times New Roman"/>
          <w:b/>
          <w:bCs/>
          <w:sz w:val="26"/>
          <w:szCs w:val="26"/>
        </w:rPr>
        <w:t xml:space="preserve">3.6 Empirical Implications</w:t>
      </w:r>
    </w:p>
    <w:p>
      <w:pPr>
        <w:spacing w:after="0" w:before="0" w:line="480"/>
        <w:ind w:firstLine="720"/>
        <w:jc w:val="both"/>
      </w:pPr>
      <w:r>
        <w:rPr>
          <w:rFonts w:ascii="Times New Roman" w:cs="Times New Roman" w:eastAsia="Times New Roman" w:hAnsi="Times New Roman"/>
          <w:sz w:val="24"/>
          <w:szCs w:val="24"/>
        </w:rPr>
        <w:t xml:space="preserve">The framework generates several empirical implications that extend beyond the three case studies selected for this paper and constitute a research agenda for future testing.</w:t>
      </w:r>
    </w:p>
    <w:p>
      <w:pPr>
        <w:spacing w:after="0" w:before="0" w:line="480"/>
        <w:ind w:firstLine="720"/>
        <w:jc w:val="both"/>
      </w:pPr>
      <w:r>
        <w:rPr>
          <w:rFonts w:ascii="Times New Roman" w:cs="Times New Roman" w:eastAsia="Times New Roman" w:hAnsi="Times New Roman"/>
          <w:sz w:val="24"/>
          <w:szCs w:val="24"/>
        </w:rPr>
        <w:t xml:space="preserve">First, the derivability claim: given the weighted matrix of collapse inputs for any institutional failure event, the framework predicts the architectural features of the rebound innovation before examining it. This claim is testable against any historical case of institutional collapse followed by counter-institutional innovation. The cases selected in this paper, Gutenberg, Samizdat, and Bitcoin, should be understood as illustrative tests of this claim, not exhaustive proof of it.</w:t>
      </w:r>
    </w:p>
    <w:p>
      <w:pPr>
        <w:spacing w:after="0" w:before="0" w:line="480"/>
        <w:ind w:firstLine="720"/>
        <w:jc w:val="both"/>
      </w:pPr>
      <w:r>
        <w:rPr>
          <w:rFonts w:ascii="Times New Roman" w:cs="Times New Roman" w:eastAsia="Times New Roman" w:hAnsi="Times New Roman"/>
          <w:sz w:val="24"/>
          <w:szCs w:val="24"/>
        </w:rPr>
        <w:t xml:space="preserve">Second, the duration-magnitude relationship: if stupefaction duration determines collapse magnitude, then we should observe that longer-duration institutional overreach events produce larger and more architecturally precise rebound innovations. This prediction can be tested by comparing the relative duration of the overreach phase across cases and the relative magnitude and architectural precision of the corresponding rebound innovations. A forty million dollar cryptocurrency fraud that unfolds over months should produce a smaller and less architecturally precise rebound than a decades-long systemic financial overreach.</w:t>
      </w:r>
    </w:p>
    <w:p>
      <w:pPr>
        <w:spacing w:after="0" w:before="0" w:line="480"/>
        <w:ind w:firstLine="720"/>
        <w:jc w:val="both"/>
      </w:pPr>
      <w:r>
        <w:rPr>
          <w:rFonts w:ascii="Times New Roman" w:cs="Times New Roman" w:eastAsia="Times New Roman" w:hAnsi="Times New Roman"/>
          <w:sz w:val="24"/>
          <w:szCs w:val="24"/>
        </w:rPr>
        <w:t xml:space="preserve">Third, the suppression-decentralization relationship: if suppression capacity enters the equation as a left-side variable, then we should observe that institutions with higher suppression capacity produce rebound innovations with more radically decentralized architectures. The Soviet state had among the highest suppression capacities of any twentieth century institution. Samizdat was among the most radically decentralized information distribution systems ever built. The United States financial regulatory apparatus had significant but bounded suppression capacity. Bitcoin is more decentralized than Samizdat in some respects and less in others, in a pattern that should correspond to the specific character of American financial regulatory suppression capacity in 2008. This relationship is testable.</w:t>
      </w:r>
    </w:p>
    <w:p>
      <w:pPr>
        <w:spacing w:after="0" w:before="0" w:line="480"/>
        <w:ind w:firstLine="720"/>
        <w:jc w:val="both"/>
      </w:pPr>
      <w:r>
        <w:rPr>
          <w:rFonts w:ascii="Times New Roman" w:cs="Times New Roman" w:eastAsia="Times New Roman" w:hAnsi="Times New Roman"/>
          <w:sz w:val="24"/>
          <w:szCs w:val="24"/>
        </w:rPr>
        <w:t xml:space="preserve">Fourth, the compounding precision claim: if each successive rebound innovation is more architecturally precise than its predecessor because each collapse is more thoroughly documented and more determinative of its outputs, then we should observe a historical pattern of increasing architectural precision in rebound innovations over time. The Gutenberg press was a powerful inversion of the Church's information monopoly but a relatively blunt one. Samizdat was more precisely calibrated to the specific features of Soviet censorship. Bitcoin is the most architecturally precise inversion of an institutional failure in the three cases examined. Testing this claim across a larger case set would require developing a coding scheme for architectural precision that the weighted matrix methodology makes possible.</w:t>
      </w:r>
    </w:p>
    <w:p>
      <w:pPr>
        <w:spacing w:after="120" w:before="240" w:line="480"/>
        <w:jc w:val="left"/>
      </w:pPr>
      <w:r>
        <w:rPr>
          <w:rFonts w:ascii="Times New Roman" w:cs="Times New Roman" w:eastAsia="Times New Roman" w:hAnsi="Times New Roman"/>
          <w:b/>
          <w:bCs/>
          <w:sz w:val="26"/>
          <w:szCs w:val="26"/>
        </w:rPr>
        <w:t xml:space="preserve">3.7 Case Selection Rationale</w:t>
      </w:r>
    </w:p>
    <w:p>
      <w:pPr>
        <w:spacing w:after="0" w:before="0" w:line="480"/>
        <w:ind w:firstLine="720"/>
        <w:jc w:val="both"/>
      </w:pPr>
      <w:r>
        <w:rPr>
          <w:rFonts w:ascii="Times New Roman" w:cs="Times New Roman" w:eastAsia="Times New Roman" w:hAnsi="Times New Roman"/>
          <w:sz w:val="24"/>
          <w:szCs w:val="24"/>
        </w:rPr>
        <w:t xml:space="preserve">The three cases selected for this paper, the Gutenberg printing press, Soviet Samizdat, and Bitcoin, were chosen according to a most-different systems logic: they span five centuries, three distinct political and economic contexts, and three radically different technological environments. If the same structural pattern appears across cases that differ maximally on these background conditions, the case for structural rather than contingent explanation is strengthened.</w:t>
      </w:r>
    </w:p>
    <w:p>
      <w:pPr>
        <w:spacing w:after="0" w:before="0" w:line="480"/>
        <w:ind w:firstLine="720"/>
        <w:jc w:val="both"/>
      </w:pPr>
      <w:r>
        <w:rPr>
          <w:rFonts w:ascii="Times New Roman" w:cs="Times New Roman" w:eastAsia="Times New Roman" w:hAnsi="Times New Roman"/>
          <w:sz w:val="24"/>
          <w:szCs w:val="24"/>
        </w:rPr>
        <w:t xml:space="preserve">The universe of potential cases is substantially larger. The underground press in Nazi-occupied Europe represents an additional case of distributed information infrastructure built against total state suppression. The development of end-to-end encryption following the Snowden revelations in 2013 represents a more recent case of architectural resistance to surveillance infrastructure whose features correspond precisely to the surveillance apparatus revealed. Tor and the dark web represent a case of anonymization infrastructure built against state monitoring of internet traffic. Hawala, the ancient Islamic trust-based money transfer system that becomes a resistance technology when states attempt to suppress it, represents a non-Western and deep historical case.</w:t>
      </w:r>
    </w:p>
    <w:p>
      <w:pPr>
        <w:spacing w:after="0" w:before="0" w:line="480"/>
        <w:ind w:firstLine="720"/>
        <w:jc w:val="both"/>
      </w:pPr>
      <w:r>
        <w:rPr>
          <w:rFonts w:ascii="Times New Roman" w:cs="Times New Roman" w:eastAsia="Times New Roman" w:hAnsi="Times New Roman"/>
          <w:sz w:val="24"/>
          <w:szCs w:val="24"/>
        </w:rPr>
        <w:t xml:space="preserve">These cases were not selected for this paper because the three chosen cases already demonstrate the pattern across sufficient variation to support the theoretical argument. Future research should test the framework against the fuller universe of cases, including cases where the predicted pattern does not appear, which would be equally important for evaluating the framework's scope conditions.</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IV. Three Historical Cases</w:t>
      </w:r>
    </w:p>
    <w:p>
      <w:pPr>
        <w:spacing w:after="120" w:before="240" w:line="480"/>
        <w:jc w:val="left"/>
      </w:pPr>
      <w:r>
        <w:rPr>
          <w:rFonts w:ascii="Times New Roman" w:cs="Times New Roman" w:eastAsia="Times New Roman" w:hAnsi="Times New Roman"/>
          <w:b/>
          <w:bCs/>
          <w:sz w:val="26"/>
          <w:szCs w:val="26"/>
        </w:rPr>
        <w:t xml:space="preserve">4.1 Case One: The Gutenberg Press</w:t>
      </w:r>
    </w:p>
    <w:p>
      <w:pPr>
        <w:spacing w:after="0" w:before="0" w:line="480"/>
        <w:ind w:firstLine="720"/>
        <w:jc w:val="both"/>
      </w:pPr>
      <w:r>
        <w:rPr>
          <w:rFonts w:ascii="Times New Roman" w:cs="Times New Roman" w:eastAsia="Times New Roman" w:hAnsi="Times New Roman"/>
          <w:sz w:val="24"/>
          <w:szCs w:val="24"/>
        </w:rPr>
        <w:t xml:space="preserve">The Gutenberg printing press, developed in Mainz around 1450, is the founding case of Resistance Innovation Cycles, not because it was the first technology used in political resistance, but because it is the first case in which the full five-stage cycle becomes legible as a structural pattern. Prior to the press, the monopoly on textual production was held jointly by the ecclesiastical establishment and secular authorities. Censorship was operationally simple: destroy the heretic and destroy the notes. The capture of information production was structurally stable because the cost and complexity of reproduction made dissent expensive and its suppression cheap.</w:t>
      </w:r>
    </w:p>
    <w:p>
      <w:pPr>
        <w:spacing w:after="0" w:before="0" w:line="480"/>
        <w:ind w:firstLine="720"/>
        <w:jc w:val="both"/>
      </w:pPr>
      <w:r>
        <w:rPr>
          <w:rFonts w:ascii="Times New Roman" w:cs="Times New Roman" w:eastAsia="Times New Roman" w:hAnsi="Times New Roman"/>
          <w:sz w:val="24"/>
          <w:szCs w:val="24"/>
        </w:rPr>
        <w:t xml:space="preserve">The press inverted this cost structure entirely. By the late fifteenth century, presses in operation across Western Europe had produced more than twenty million volumes. The suppression of any given text required the destruction of thousands of copies distributed across dozens of jurisdictions. The Church's institutional response, the Index Librorum Prohibitorum, inadvertently demonstrated the proportionality principle: every book placed on the list became sought after by readers who understood the ban as an advertisement of its dangerous content.</w:t>
      </w:r>
    </w:p>
    <w:p>
      <w:pPr>
        <w:spacing w:after="0" w:before="0" w:line="480"/>
        <w:ind w:firstLine="720"/>
        <w:jc w:val="both"/>
      </w:pPr>
      <w:r>
        <w:rPr>
          <w:rFonts w:ascii="Times New Roman" w:cs="Times New Roman" w:eastAsia="Times New Roman" w:hAnsi="Times New Roman"/>
          <w:sz w:val="24"/>
          <w:szCs w:val="24"/>
        </w:rPr>
        <w:t xml:space="preserve">The Reformation is the clearest proof of the rebound's relationship to the collapse. Between 1518 and 1525, presses published approximately 2.1 million copies of Luther's sermons and tracts. The speed of dissemination was beyond the institutional capacity of the Church to interdict. The capture of information production had created the conditions for its own inversion. This case establishes the founding proposition of Resistance Innovation Cycles: that the pattern is not contingent on any specific technology, political moment, or cultural context. It is contingent only on the threshold of overreach being crossed and a sufficiently uncompromised margin remaining capable of exploiting the opportunity the collapse creates.</w:t>
      </w:r>
    </w:p>
    <w:p>
      <w:pPr>
        <w:spacing w:after="120" w:before="240" w:line="480"/>
        <w:jc w:val="left"/>
      </w:pPr>
      <w:r>
        <w:rPr>
          <w:rFonts w:ascii="Times New Roman" w:cs="Times New Roman" w:eastAsia="Times New Roman" w:hAnsi="Times New Roman"/>
          <w:b/>
          <w:bCs/>
          <w:sz w:val="26"/>
          <w:szCs w:val="26"/>
        </w:rPr>
        <w:t xml:space="preserve">4.2 Case Two: Soviet Samizdat</w:t>
      </w:r>
    </w:p>
    <w:p>
      <w:pPr>
        <w:spacing w:after="0" w:before="0" w:line="480"/>
        <w:ind w:firstLine="720"/>
        <w:jc w:val="both"/>
      </w:pPr>
      <w:r>
        <w:rPr>
          <w:rFonts w:ascii="Times New Roman" w:cs="Times New Roman" w:eastAsia="Times New Roman" w:hAnsi="Times New Roman"/>
          <w:sz w:val="24"/>
          <w:szCs w:val="24"/>
        </w:rPr>
        <w:t xml:space="preserve">The Soviet Samizdat network constitutes proof of the framework's central corollary: that the Resistance Innovation Cycle cannot be permanently broken, even under conditions of near-total institutional capture. The Soviet state achieved effective monopoly over every significant mechanism of textual reproduction. Printing presses, photocopiers, and duplicating machines were state property, their use registered and monitored. If the Resistance Innovation Cycle were contingent on the availability of specific technologies, Soviet totalitarianism should have broken it permanently.</w:t>
      </w:r>
    </w:p>
    <w:p>
      <w:pPr>
        <w:spacing w:after="0" w:before="0" w:line="480"/>
        <w:ind w:firstLine="720"/>
        <w:jc w:val="both"/>
      </w:pPr>
      <w:r>
        <w:rPr>
          <w:rFonts w:ascii="Times New Roman" w:cs="Times New Roman" w:eastAsia="Times New Roman" w:hAnsi="Times New Roman"/>
          <w:sz w:val="24"/>
          <w:szCs w:val="24"/>
        </w:rPr>
        <w:t xml:space="preserve">It did not. Beginning in the late 1950s and expanding through the 1960s and 1970s, Soviet dissidents invented an entirely new distribution architecture from the only materials the state had not captured: typewriters, carbon paper, and the willingness of a network of readers to each produce additional copies by hand before passing them on. Samizdat was a distributed, peer-to-peer information network. It solved, with mid-twentieth century technology, the same structural problem that Bitcoin would later solve with cryptography: how to distribute information through a network of participants when no central node can be trusted and any central node can be captured or destroyed.</w:t>
      </w:r>
    </w:p>
    <w:p>
      <w:pPr>
        <w:spacing w:after="0" w:before="0" w:line="480"/>
        <w:ind w:firstLine="720"/>
        <w:jc w:val="both"/>
      </w:pPr>
      <w:r>
        <w:rPr>
          <w:rFonts w:ascii="Times New Roman" w:cs="Times New Roman" w:eastAsia="Times New Roman" w:hAnsi="Times New Roman"/>
          <w:sz w:val="24"/>
          <w:szCs w:val="24"/>
        </w:rPr>
        <w:t xml:space="preserve">Both Samizdat and Bitcoin are architectural responses to the same problem: the state's monopoly over the trusted intermediaries through which information and value flow. Both solutions eliminate the trusted intermediary entirely and replace it with a distributed network of participants who collectively validate the content being passed. The technology differs by half a century. The structural logic is identical. The circulation of Samizdat was relatively small in absolute terms, an estimated two hundred thousand readers at its peak. But those readers disproportionately held positions of cultural and intellectual influence. The uncompromised margin does not need to be a majority. It needs only to be sufficient to sustain the network and eventually to reach the people capable of acting on what the network produces.</w:t>
      </w:r>
    </w:p>
    <w:p>
      <w:pPr>
        <w:spacing w:after="120" w:before="240" w:line="480"/>
        <w:jc w:val="left"/>
      </w:pPr>
      <w:r>
        <w:rPr>
          <w:rFonts w:ascii="Times New Roman" w:cs="Times New Roman" w:eastAsia="Times New Roman" w:hAnsi="Times New Roman"/>
          <w:b/>
          <w:bCs/>
          <w:sz w:val="26"/>
          <w:szCs w:val="26"/>
        </w:rPr>
        <w:t xml:space="preserve">4.3 Case Three: Bitcoin and the Alternative Hypotheses</w:t>
      </w:r>
    </w:p>
    <w:p>
      <w:pPr>
        <w:spacing w:after="0" w:before="0" w:line="480"/>
        <w:ind w:firstLine="720"/>
        <w:jc w:val="both"/>
      </w:pPr>
      <w:r>
        <w:rPr>
          <w:rFonts w:ascii="Times New Roman" w:cs="Times New Roman" w:eastAsia="Times New Roman" w:hAnsi="Times New Roman"/>
          <w:sz w:val="24"/>
          <w:szCs w:val="24"/>
        </w:rPr>
        <w:t xml:space="preserve">Bitcoin is the key case study for a specific reason: it is the first instance of a Resistance Innovation Cycle in which the proportionality relationship between collapse and rebound is not merely visible but qualitatively demonstrable with a precision that approaches quantitative exactness. The features of the 2008 financial collapse map onto the architectural features of Bitcoin point for point in a way that exceeds what coincidence or contingency could produce.</w:t>
      </w:r>
    </w:p>
    <w:p>
      <w:pPr>
        <w:spacing w:after="0" w:before="0" w:line="480"/>
        <w:ind w:firstLine="720"/>
        <w:jc w:val="both"/>
      </w:pPr>
      <w:r>
        <w:rPr>
          <w:rFonts w:ascii="Times New Roman" w:cs="Times New Roman" w:eastAsia="Times New Roman" w:hAnsi="Times New Roman"/>
          <w:sz w:val="24"/>
          <w:szCs w:val="24"/>
        </w:rPr>
        <w:t xml:space="preserve">The 2008 collapse was characterized by opacity, centralized control, the abuse of trusted intermediaries whose trust was purchasable, instruments of deliberate incomprehensibility, and a closed architecture insulated from public accountability. Bitcoin's technical design is the structural inverse of each of these inputs. The blockchain is a public ledger transparent by design. There are no trusted intermediaries: validation is performed by the distributed network through cryptographic proof. The protocol is open source, its complexity an invitation to scrutiny rather than a barrier to it. The rules are fixed by mathematical consensus and cannot be altered by any single actor regardless of institutional size. Satoshi Nakamoto's pseudonymous authorship, and subsequent disappearance in 2010, is itself an architectural choice reflecting the lesson of every prior Stage Five: that a known creator is a suppression target.</w:t>
      </w:r>
    </w:p>
    <w:p>
      <w:pPr>
        <w:spacing w:after="0" w:before="0" w:line="480"/>
        <w:ind w:firstLine="720"/>
        <w:jc w:val="both"/>
      </w:pPr>
      <w:r>
        <w:rPr>
          <w:rFonts w:ascii="Times New Roman" w:cs="Times New Roman" w:eastAsia="Times New Roman" w:hAnsi="Times New Roman"/>
          <w:sz w:val="24"/>
          <w:szCs w:val="24"/>
        </w:rPr>
        <w:t xml:space="preserve">The timing confirms the relationship. The Bitcoin whitepaper was released October 31, 2008, weeks after the Lehman collapse. The genesis block, mined January 3, 2009, contains an embedded reference to The Times of London headline: Chancellor on brink of second bailout for banks. This is not casual cultural reference. It is a permanent timestamp embedding the genesis of the system within the specific failure it was built to replace.</w:t>
      </w:r>
    </w:p>
    <w:p>
      <w:pPr>
        <w:spacing w:after="0" w:before="0" w:line="480"/>
        <w:ind w:firstLine="720"/>
        <w:jc w:val="both"/>
      </w:pPr>
      <w:r>
        <w:rPr>
          <w:rFonts w:ascii="Times New Roman" w:cs="Times New Roman" w:eastAsia="Times New Roman" w:hAnsi="Times New Roman"/>
          <w:sz w:val="24"/>
          <w:szCs w:val="24"/>
        </w:rPr>
        <w:t xml:space="preserve">Three alternative hypotheses must be addressed. Technological determinism holds that Bitcoin was simply technically possible by 2008 and would have emerged regardless of the financial crisis. Economic opportunity holds that cryptocurrency represented a speculative opportunity entrepreneurs would have pursued in any environment. Cultural explanation holds that cypherpunk ideology was sufficiently developed to have produced Bitcoin absent the crisis.</w:t>
      </w:r>
    </w:p>
    <w:p>
      <w:pPr>
        <w:spacing w:after="0" w:before="0" w:line="480"/>
        <w:ind w:firstLine="720"/>
        <w:jc w:val="both"/>
      </w:pPr>
      <w:r>
        <w:rPr>
          <w:rFonts w:ascii="Times New Roman" w:cs="Times New Roman" w:eastAsia="Times New Roman" w:hAnsi="Times New Roman"/>
          <w:sz w:val="24"/>
          <w:szCs w:val="24"/>
        </w:rPr>
        <w:t xml:space="preserve">All three fail on the same ground: they confuse technical possibility and ideological readiness with energy. The cypherpunk movement had existed for fifteen years before Bitcoin. Eric Hughes wrote the Cypherpunk Manifesto in 1993. The cryptographic primitives required to build Bitcoin were available well before 2008. The technical capacity was present. The ideological commitment was present. What the 2008 collapse provided was neither of these things. It provided the energy: a mass of people and capital that had just experienced the catastrophic failure of the trusted intermediaries on which their financial lives depended, and that was actively seeking a new form to settle into. Bitcoin has the mass it has because a supercritical collapse event produced the energy required to give the rebound its magnitude. Technical possibility is not energy. Ideological readiness is not energy. The energy is the product of the collapse, and it is the variable that the alternative hypotheses cannot account for.</w:t>
      </w:r>
    </w:p>
    <w:p>
      <w:pPr>
        <w:spacing w:after="0" w:before="0" w:line="480"/>
        <w:ind w:firstLine="720"/>
        <w:jc w:val="both"/>
      </w:pPr>
      <w:r>
        <w:rPr>
          <w:rFonts w:ascii="Times New Roman" w:cs="Times New Roman" w:eastAsia="Times New Roman" w:hAnsi="Times New Roman"/>
          <w:sz w:val="24"/>
          <w:szCs w:val="24"/>
        </w:rPr>
        <w:t xml:space="preserve">Minsky's financial instability hypothesis (Minsky 1986) and Kindleberger's account of manias, panics, and crashes (Kindleberger 1978) provide the financial economics foundation for the 2008 left-side analysis. Both establish that financial crises follow structural patterns of instability accumulation rather than representing random shocks. The Resistance Innovation Cycles framework accepts this foundation and extends it: the structural pattern of the instability accumulation determines the structural character of the counter-institutional response.</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V. Stage Five in Real Time: The Jamie Dimon Case</w:t>
      </w:r>
    </w:p>
    <w:p>
      <w:pPr>
        <w:spacing w:after="0" w:before="0" w:line="480"/>
        <w:ind w:firstLine="720"/>
        <w:jc w:val="both"/>
      </w:pPr>
      <w:r>
        <w:rPr>
          <w:rFonts w:ascii="Times New Roman" w:cs="Times New Roman" w:eastAsia="Times New Roman" w:hAnsi="Times New Roman"/>
          <w:sz w:val="24"/>
          <w:szCs w:val="24"/>
        </w:rPr>
        <w:t xml:space="preserve">The recursive character of the Resistance Innovation Cycle is demonstrated not only in historical retrospect but in observable documented contemporary events. Beginning in 2017, Jamie Dimon, CEO of JPMorgan Chase, made a series of public statements condemning Bitcoin, including a public threat to terminate any JPMorgan trader who bought or held it. This statement produced a measurable decline in Bitcoin's market price.</w:t>
      </w:r>
    </w:p>
    <w:p>
      <w:pPr>
        <w:spacing w:after="0" w:before="0" w:line="480"/>
        <w:ind w:firstLine="720"/>
        <w:jc w:val="both"/>
      </w:pPr>
      <w:r>
        <w:rPr>
          <w:rFonts w:ascii="Times New Roman" w:cs="Times New Roman" w:eastAsia="Times New Roman" w:hAnsi="Times New Roman"/>
          <w:sz w:val="24"/>
          <w:szCs w:val="24"/>
        </w:rPr>
        <w:t xml:space="preserve">The subsequent discovery transforms this from institutional conservatism into textbook Stage Five: at the same time Dimon was publicly condemning Bitcoin, JPMorgan, through its investment vehicles and client services, was among the largest institutional acquirers of Bitcoin in the market. The institution was simultaneously suppressing price in public and acquiring at the depressed price in private.</w:t>
      </w:r>
    </w:p>
    <w:p>
      <w:pPr>
        <w:spacing w:after="0" w:before="0" w:line="480"/>
        <w:ind w:firstLine="720"/>
        <w:jc w:val="both"/>
      </w:pPr>
      <w:r>
        <w:rPr>
          <w:rFonts w:ascii="Times New Roman" w:cs="Times New Roman" w:eastAsia="Times New Roman" w:hAnsi="Times New Roman"/>
          <w:sz w:val="24"/>
          <w:szCs w:val="24"/>
        </w:rPr>
        <w:t xml:space="preserve">Read through the Resistance Innovation Cycles framework, this is not hypocrisy. It is the two simultaneous tracks of Stage One operating on the rebound form. The public condemnation is stupefaction deployed as a financial instrument: institutional authority weaponized to suppress the recognition threshold of the unknowing mass, reducing demand and suppressing price while the knowing core accumulates. The mechanism is structurally identical to knowing corruptors rating subprime bonds AAA while privately shorting the instruments they had certified. Stage One has begun again. The cycle is confirmed, not closed.</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VI. Implications</w:t>
      </w:r>
    </w:p>
    <w:p>
      <w:pPr>
        <w:spacing w:after="0" w:before="0" w:line="480"/>
        <w:ind w:firstLine="720"/>
        <w:jc w:val="both"/>
      </w:pPr>
      <w:r>
        <w:rPr>
          <w:rFonts w:ascii="Times New Roman" w:cs="Times New Roman" w:eastAsia="Times New Roman" w:hAnsi="Times New Roman"/>
          <w:sz w:val="24"/>
          <w:szCs w:val="24"/>
        </w:rPr>
        <w:t xml:space="preserve">The framework's contributions to existing scholarship are specific and can be stated precisely. Against Tilly, the Resistance Innovation Cycles framework adds the proportionality relationship: not only do populations resist, but what they build is structurally determined by the collapse inputs and derivable before examination. Against Scott, the framework adds the architectural dimension: populations do not merely evade state legibility, they build structurally illegible systems whose design is derivable from the legibility apparatus deployed against them. Against Winner, the framework adds predictability: the politics of resistance artifacts are structurally determined by the collapse inputs and calculable before the artifact is examined. Against the path dependency literature, the framework adds derivability: the character of the post-juncture institutional form is physically calculable from the inputs of the collapse event, not historically indeterminate.</w:t>
      </w:r>
    </w:p>
    <w:p>
      <w:pPr>
        <w:spacing w:after="0" w:before="0" w:line="480"/>
        <w:ind w:firstLine="720"/>
        <w:jc w:val="both"/>
      </w:pPr>
      <w:r>
        <w:rPr>
          <w:rFonts w:ascii="Times New Roman" w:cs="Times New Roman" w:eastAsia="Times New Roman" w:hAnsi="Times New Roman"/>
          <w:sz w:val="24"/>
          <w:szCs w:val="24"/>
        </w:rPr>
        <w:t xml:space="preserve">The stupefaction mechanism opens a specific research program: the measurement of relative sophistication thresholds across populations, the identification of the structural channels through which those thresholds are lowered, and the empirical testing of the duration-magnitude relationship proposed in Section 3.5. Herman and Chomsky's Manufacturing Consent (1988) provides the most developed existing account of the media dimension of stupefaction. The Resistance Innovation Cycles framework extends their account by treating stupefaction not merely as a media phenomenon but as a quantitative input variable in the institutional decay function.</w:t>
      </w:r>
    </w:p>
    <w:p>
      <w:pPr>
        <w:spacing w:after="0" w:before="0" w:line="480"/>
        <w:ind w:firstLine="720"/>
        <w:jc w:val="both"/>
      </w:pPr>
      <w:r>
        <w:rPr>
          <w:rFonts w:ascii="Times New Roman" w:cs="Times New Roman" w:eastAsia="Times New Roman" w:hAnsi="Times New Roman"/>
          <w:sz w:val="24"/>
          <w:szCs w:val="24"/>
        </w:rPr>
        <w:t xml:space="preserve">The weighted matrix methodology proposed in Section III opens the possibility of modeling institutional decay cycles with increasing quantitative precision as the framework is applied to additional cases. Each new case contributes additional qualitative variables, refines the weighting of existing ones, and increases the predictive accuracy of the decay vector derivation. The framework does not claim to have completed this work. It claims to have identified the architecture for it and demonstrated that the architecture is coherent through three illustrative cases.</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VII. Anticipated Objections and Structured Agency</w:t>
      </w:r>
    </w:p>
    <w:p>
      <w:pPr>
        <w:spacing w:after="0" w:before="0" w:line="480"/>
        <w:ind w:firstLine="720"/>
        <w:jc w:val="both"/>
      </w:pPr>
      <w:r>
        <w:rPr>
          <w:rFonts w:ascii="Times New Roman" w:cs="Times New Roman" w:eastAsia="Times New Roman" w:hAnsi="Times New Roman"/>
          <w:sz w:val="24"/>
          <w:szCs w:val="24"/>
        </w:rPr>
        <w:t xml:space="preserve">The framework's physical language invites a necessary clarification: is this a determinist argument? Does treating institutions as mass systems governed by decay functions leave room for human agency? The answer is that it not only leaves room for agency but describes agency with greater analytical precision than purely voluntarist accounts achieve. The framework is a theory of structured agency, not determinism.</w:t>
      </w:r>
    </w:p>
    <w:p>
      <w:pPr>
        <w:spacing w:after="0" w:before="0" w:line="480"/>
        <w:ind w:firstLine="720"/>
        <w:jc w:val="both"/>
      </w:pPr>
      <w:r>
        <w:rPr>
          <w:rFonts w:ascii="Times New Roman" w:cs="Times New Roman" w:eastAsia="Times New Roman" w:hAnsi="Times New Roman"/>
          <w:sz w:val="24"/>
          <w:szCs w:val="24"/>
        </w:rPr>
        <w:t xml:space="preserve">Every individual actor retains a real probability space of choices at every moment. Those choices are genuine. Individuals made choices that produced the 2008 collapse. Those choices never needed to be made. Satoshi Nakamoto chose to build Bitcoin. Luther chose to publish. The corrupt banker chose to certify the fraudulent valuation. The framework does not deny this. It describes the conditions under which that probability space of choice progressively contracts.</w:t>
      </w:r>
    </w:p>
    <w:p>
      <w:pPr>
        <w:spacing w:after="0" w:before="0" w:line="480"/>
        <w:ind w:firstLine="720"/>
        <w:jc w:val="both"/>
      </w:pPr>
      <w:r>
        <w:rPr>
          <w:rFonts w:ascii="Times New Roman" w:cs="Times New Roman" w:eastAsia="Times New Roman" w:hAnsi="Times New Roman"/>
          <w:sz w:val="24"/>
          <w:szCs w:val="24"/>
        </w:rPr>
        <w:t xml:space="preserve">The event horizon clarifies exactly where and how agency operates within the cycle. Before an institution crosses the critical threshold, every participant retains meaningful exit trajectories. But at a specific point, when the institutional mass has accumulated sufficiently and the directional momentum has tightened past the critical threshold, those caught within the collapse find themselves governed by a force larger than any individual decision. Their agency is real. Their structural exit is not. The event horizon is the analytically precise point at which the balance between individual agency and structural force shifts, and locating that point is what the weighted matrix is for.</w:t>
      </w:r>
    </w:p>
    <w:p>
      <w:pPr>
        <w:spacing w:after="0" w:before="0" w:line="480"/>
        <w:ind w:firstLine="720"/>
        <w:jc w:val="both"/>
      </w:pPr>
      <w:r>
        <w:rPr>
          <w:rFonts w:ascii="Times New Roman" w:cs="Times New Roman" w:eastAsia="Times New Roman" w:hAnsi="Times New Roman"/>
          <w:sz w:val="24"/>
          <w:szCs w:val="24"/>
        </w:rPr>
        <w:t xml:space="preserve">A sufficiently aware and organized population can resist, rebuke, and dismantle any form of corruption or stupefaction before it reaches the critical threshold. This is not a closed system. It is a system with thresholds. Mass tends toward stability. Settled institutions resist change not because of any moral failure but because accumulated mass requires proportionally larger force to redirect. The stupefaction mechanism exploits precisely this tendency: it works with the natural preference of established systems for their existing form, reinforcing that form even as corruption hollows it. The uncompromised margin is the mass that has retained sufficient kinetic energy to maintain an exit trajectory when the event horizon forms.</w:t>
      </w:r>
    </w:p>
    <w:p>
      <w:pPr>
        <w:spacing w:after="0" w:before="0" w:line="480"/>
        <w:ind w:firstLine="720"/>
        <w:jc w:val="both"/>
      </w:pPr>
      <w:r>
        <w:rPr>
          <w:rFonts w:ascii="Times New Roman" w:cs="Times New Roman" w:eastAsia="Times New Roman" w:hAnsi="Times New Roman"/>
          <w:sz w:val="24"/>
          <w:szCs w:val="24"/>
        </w:rPr>
        <w:t xml:space="preserve">This places the framework between pure structuralism and pure voluntarism not as a compromise but as a more analytically precise description of how agency operates within institutional systems. Giddens's structuration theory (1984) and Bourdieu's account of habitus and field (1990) both address the relationship between structure and agency in ways broadly compatible with this framework. The Resistance Innovation Cycles framework adds to both a specific mechanism, the decay function approaching a critical threshold, that specifies when structural forces become dominant over individual agency rather than treating the balance as continuous and uniform.</w:t>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VIII. Conclusion</w:t>
      </w:r>
    </w:p>
    <w:p>
      <w:pPr>
        <w:spacing w:after="0" w:before="0" w:line="480"/>
        <w:ind w:firstLine="720"/>
        <w:jc w:val="both"/>
      </w:pPr>
      <w:r>
        <w:rPr>
          <w:rFonts w:ascii="Times New Roman" w:cs="Times New Roman" w:eastAsia="Times New Roman" w:hAnsi="Times New Roman"/>
          <w:sz w:val="24"/>
          <w:szCs w:val="24"/>
        </w:rPr>
        <w:t xml:space="preserve">This paper has proposed and developed a theoretical framework, Resistance Innovation Cycles, to describe and explain a recurring structural pattern in political history: the systematic production of counter-technologies and counter-institutions by populations subject to institutional overreach. The framework identifies five stages, Elite Capture, Stupefaction, Critical Mass Collapse, Rebound Innovation, and Re-Capture, and argues that the features of each rebound innovation are a direct, proportional inverse of the features of the collapse that produces it.</w:t>
      </w:r>
    </w:p>
    <w:p>
      <w:pPr>
        <w:spacing w:after="0" w:before="0" w:line="480"/>
        <w:ind w:firstLine="720"/>
        <w:jc w:val="both"/>
      </w:pPr>
      <w:r>
        <w:rPr>
          <w:rFonts w:ascii="Times New Roman" w:cs="Times New Roman" w:eastAsia="Times New Roman" w:hAnsi="Times New Roman"/>
          <w:sz w:val="24"/>
          <w:szCs w:val="24"/>
        </w:rPr>
        <w:t xml:space="preserve">The framework engages existing literature on contentious politics, the politics of artifacts, and institutional path dependency, specifying in each case what the existing account contributes and what gap this framework addresses. It proposes a first formal mapping of institutional decay variables through a weighted matrix, framed honestly as a conceptual architecture for future formalization rather than a completed mathematical demonstration. It generates four testable empirical predictions that extend the framework beyond the three illustrative cases and constitute a research agenda for future work.</w:t>
      </w:r>
    </w:p>
    <w:p>
      <w:pPr>
        <w:spacing w:after="0" w:before="0" w:line="480"/>
        <w:ind w:firstLine="720"/>
        <w:jc w:val="both"/>
      </w:pPr>
      <w:r>
        <w:rPr>
          <w:rFonts w:ascii="Times New Roman" w:cs="Times New Roman" w:eastAsia="Times New Roman" w:hAnsi="Times New Roman"/>
          <w:sz w:val="24"/>
          <w:szCs w:val="24"/>
        </w:rPr>
        <w:t xml:space="preserve">Three historical cases support the framework empirically. The Gutenberg press establishes the founding case. Soviet Samizdat proves the corollary that the cycle cannot be permanently broken even under near-total institutional capture. Bitcoin constitutes the most qualitatively precise test of the proportionality claim currently available, with each architectural feature of the system corresponding to a specific failure mode of the institutions it was built to replace. The alternative hypotheses of technological determinism and cultural explanation both fail on the same ground: they cannot account for the energy that the collapse provides and that gives the rebound its mass.</w:t>
      </w:r>
    </w:p>
    <w:p>
      <w:pPr>
        <w:spacing w:after="0" w:before="0" w:line="480"/>
        <w:ind w:firstLine="720"/>
        <w:jc w:val="both"/>
      </w:pPr>
      <w:r>
        <w:rPr>
          <w:rFonts w:ascii="Times New Roman" w:cs="Times New Roman" w:eastAsia="Times New Roman" w:hAnsi="Times New Roman"/>
          <w:sz w:val="24"/>
          <w:szCs w:val="24"/>
        </w:rPr>
        <w:t xml:space="preserve">The weighted matrix proposed in Section III is an invitation. It is a first attempt at the methodological bridge between the qualitative analysis of institutional decay and the quantitative precision that bridge would enable. The full mathematical formalization requires empirical calibration across a larger case set, a coding scheme for the qualitative variables that enables inter-rater reliability, and computational modeling that exceeds the scope of this paper. This paper provides the architecture. The equation has a left side and a right side. The relationship between them is governed by inversion and proportionality. The task of future research is to measure both sides with increasing precision and to test whether the relationship holds across the fuller universe of cases. That task is open. This paper is its beginning.</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b/>
          <w:bCs/>
          <w:sz w:val="28"/>
          <w:szCs w:val="28"/>
        </w:rPr>
        <w:t xml:space="preserve">Annotated Bibliography</w:t>
      </w:r>
    </w:p>
    <w:p>
      <w:pPr>
        <w:spacing w:after="80" w:before="200" w:line="480"/>
        <w:jc w:val="left"/>
      </w:pPr>
      <w:r>
        <w:rPr>
          <w:rFonts w:ascii="Times New Roman" w:cs="Times New Roman" w:eastAsia="Times New Roman" w:hAnsi="Times New Roman"/>
          <w:b/>
          <w:bCs/>
          <w:sz w:val="24"/>
          <w:szCs w:val="24"/>
          <w:u w:val="single"/>
        </w:rPr>
        <w:t xml:space="preserve">Foundational Framework Sources</w:t>
      </w:r>
    </w:p>
    <w:p>
      <w:pPr>
        <w:spacing w:after="0" w:before="200" w:line="480"/>
        <w:ind w:left="720" w:hanging="720"/>
        <w:jc w:val="both"/>
      </w:pPr>
      <w:r>
        <w:rPr>
          <w:rFonts w:ascii="Times New Roman" w:cs="Times New Roman" w:eastAsia="Times New Roman" w:hAnsi="Times New Roman"/>
          <w:sz w:val="24"/>
          <w:szCs w:val="24"/>
        </w:rPr>
        <w:t xml:space="preserve">Baaz, M., Schulz, M., Lilja, M., et al. (2023). Power, resistance and social change. Journal of Political Power, 16(2), 149-157.</w:t>
      </w:r>
    </w:p>
    <w:p>
      <w:pPr>
        <w:spacing w:after="200" w:before="0" w:line="480"/>
        <w:ind w:left="720"/>
        <w:jc w:val="both"/>
      </w:pPr>
      <w:r>
        <w:rPr>
          <w:rFonts w:ascii="Times New Roman" w:cs="Times New Roman" w:eastAsia="Times New Roman" w:hAnsi="Times New Roman"/>
          <w:sz w:val="24"/>
          <w:szCs w:val="24"/>
        </w:rPr>
        <w:t xml:space="preserve">This special issue introduction surveys the contemporary landscape of power and resistance, framing resistance as a creative and generative force rather than mere reaction. This reframing is foundational to the Resistance Innovation Cycles framework: state overreach does not simply produce grievance, it actively drives the invention of new tools and systems capable of circumventing state power. The authors' treatment of resistance as a structurally generative dynamic corresponds directly to Stage Four of the cycle.</w:t>
      </w:r>
    </w:p>
    <w:p>
      <w:pPr>
        <w:spacing w:after="0" w:before="200" w:line="480"/>
        <w:ind w:left="720" w:hanging="720"/>
        <w:jc w:val="both"/>
      </w:pPr>
      <w:r>
        <w:rPr>
          <w:rFonts w:ascii="Times New Roman" w:cs="Times New Roman" w:eastAsia="Times New Roman" w:hAnsi="Times New Roman"/>
          <w:sz w:val="24"/>
          <w:szCs w:val="24"/>
        </w:rPr>
        <w:t xml:space="preserve">Bourdieu, P. (1990). The logic of practice. Stanford University Press.</w:t>
      </w:r>
    </w:p>
    <w:p>
      <w:pPr>
        <w:spacing w:after="200" w:before="0" w:line="480"/>
        <w:ind w:left="720"/>
        <w:jc w:val="both"/>
      </w:pPr>
      <w:r>
        <w:rPr>
          <w:rFonts w:ascii="Times New Roman" w:cs="Times New Roman" w:eastAsia="Times New Roman" w:hAnsi="Times New Roman"/>
          <w:sz w:val="24"/>
          <w:szCs w:val="24"/>
        </w:rPr>
        <w:t xml:space="preserve">Bourdieu's account of habitus and field provides theoretical precedent for the structured agency argument developed in Section VII. His treatment of how social structures constrain individual action without eliminating it is compatible with the Resistance Innovation Cycles framework's account of how institutional decay functions constrain actor trajectories without eliminating agency. The framework adds to Bourdieu a specific mechanism, the event horizon, that specifies when structural forces become dominant over individual agency.</w:t>
      </w:r>
    </w:p>
    <w:p>
      <w:pPr>
        <w:spacing w:after="0" w:before="200" w:line="480"/>
        <w:ind w:left="720" w:hanging="720"/>
        <w:jc w:val="both"/>
      </w:pPr>
      <w:r>
        <w:rPr>
          <w:rFonts w:ascii="Times New Roman" w:cs="Times New Roman" w:eastAsia="Times New Roman" w:hAnsi="Times New Roman"/>
          <w:sz w:val="24"/>
          <w:szCs w:val="24"/>
        </w:rPr>
        <w:t xml:space="preserve">Demir, I., &amp; Aktan, C. C. (2016). Resistance to change in government. International Journal of Social Sciences and Humanity Studies, 8(2), 226-245.</w:t>
      </w:r>
    </w:p>
    <w:p>
      <w:pPr>
        <w:spacing w:after="200" w:before="0" w:line="480"/>
        <w:ind w:left="720"/>
        <w:jc w:val="both"/>
      </w:pPr>
      <w:r>
        <w:rPr>
          <w:rFonts w:ascii="Times New Roman" w:cs="Times New Roman" w:eastAsia="Times New Roman" w:hAnsi="Times New Roman"/>
          <w:sz w:val="24"/>
          <w:szCs w:val="24"/>
        </w:rPr>
        <w:t xml:space="preserve">Demir and Aktan's systematic review of the structural conditions generating resistance to economic and political reform provides micro-level grounding for the Resistance Innovation Cycles framework. Their distinction between active and passive resistance maps directly onto Stage Four dynamics: active resistance, including the development of alternative systems and technologies, is the precise category this framework theorizes through the two-sided equation.</w:t>
      </w:r>
    </w:p>
    <w:p>
      <w:pPr>
        <w:spacing w:after="0" w:before="200" w:line="480"/>
        <w:ind w:left="720" w:hanging="720"/>
        <w:jc w:val="both"/>
      </w:pPr>
      <w:r>
        <w:rPr>
          <w:rFonts w:ascii="Times New Roman" w:cs="Times New Roman" w:eastAsia="Times New Roman" w:hAnsi="Times New Roman"/>
          <w:sz w:val="24"/>
          <w:szCs w:val="24"/>
        </w:rPr>
        <w:t xml:space="preserve">Giddens, A. (1984). The constitution of society. University of California Press.</w:t>
      </w:r>
    </w:p>
    <w:p>
      <w:pPr>
        <w:spacing w:after="200" w:before="0" w:line="480"/>
        <w:ind w:left="720"/>
        <w:jc w:val="both"/>
      </w:pPr>
      <w:r>
        <w:rPr>
          <w:rFonts w:ascii="Times New Roman" w:cs="Times New Roman" w:eastAsia="Times New Roman" w:hAnsi="Times New Roman"/>
          <w:sz w:val="24"/>
          <w:szCs w:val="24"/>
        </w:rPr>
        <w:t xml:space="preserve">Giddens's structuration theory addresses the relationship between structure and agency in ways directly relevant to Section VII of this paper. His account of how structures are both constraining and enabling for individual actors is compatible with the Resistance Innovation Cycles framework's treatment of structured agency. The framework adds to Giddens a specific threshold mechanism, the event horizon of the decay function, that specifies when structural forces become dominant.</w:t>
      </w:r>
    </w:p>
    <w:p>
      <w:pPr>
        <w:spacing w:after="0" w:before="200" w:line="480"/>
        <w:ind w:left="720" w:hanging="720"/>
        <w:jc w:val="both"/>
      </w:pPr>
      <w:r>
        <w:rPr>
          <w:rFonts w:ascii="Times New Roman" w:cs="Times New Roman" w:eastAsia="Times New Roman" w:hAnsi="Times New Roman"/>
          <w:sz w:val="24"/>
          <w:szCs w:val="24"/>
        </w:rPr>
        <w:t xml:space="preserve">Gramsci, A. (1971). Selections from the prison notebooks. International Publishers.</w:t>
      </w:r>
    </w:p>
    <w:p>
      <w:pPr>
        <w:spacing w:after="200" w:before="0" w:line="480"/>
        <w:ind w:left="720"/>
        <w:jc w:val="both"/>
      </w:pPr>
      <w:r>
        <w:rPr>
          <w:rFonts w:ascii="Times New Roman" w:cs="Times New Roman" w:eastAsia="Times New Roman" w:hAnsi="Times New Roman"/>
          <w:sz w:val="24"/>
          <w:szCs w:val="24"/>
        </w:rPr>
        <w:t xml:space="preserve">Gramsci's concept of hegemony, the process by which dominant groups secure consent through cultural and ideological means rather than overt coercion, is directly relevant to the stupefaction mechanism described in Stage Two. The Resistance Innovation Cycles framework builds on Gramsci by treating stupefaction not merely as a cultural phenomenon but as a quantitative input variable: its duration directly determines the magnitude of the collapse it enables. This adds a measurable temporal and magnitude dimension to Gramsci's account.</w:t>
      </w:r>
    </w:p>
    <w:p>
      <w:pPr>
        <w:spacing w:after="0" w:before="200" w:line="480"/>
        <w:ind w:left="720" w:hanging="720"/>
        <w:jc w:val="both"/>
      </w:pPr>
      <w:r>
        <w:rPr>
          <w:rFonts w:ascii="Times New Roman" w:cs="Times New Roman" w:eastAsia="Times New Roman" w:hAnsi="Times New Roman"/>
          <w:sz w:val="24"/>
          <w:szCs w:val="24"/>
        </w:rPr>
        <w:t xml:space="preserve">Hansen, T. B., &amp; Stepputat, F. (2006). Sovereignty revisited. Annual Review of Anthropology, 35, 295-315.</w:t>
      </w:r>
    </w:p>
    <w:p>
      <w:pPr>
        <w:spacing w:after="200" w:before="0" w:line="480"/>
        <w:ind w:left="720"/>
        <w:jc w:val="both"/>
      </w:pPr>
      <w:r>
        <w:rPr>
          <w:rFonts w:ascii="Times New Roman" w:cs="Times New Roman" w:eastAsia="Times New Roman" w:hAnsi="Times New Roman"/>
          <w:sz w:val="24"/>
          <w:szCs w:val="24"/>
        </w:rPr>
        <w:t xml:space="preserve">Hansen and Stepputat's challenge to classical conceptions of sovereignty provides macro-structural foundation for the Resistance Innovation Cycles framework. Their survey of informal sovereignties that develop when formal state authority overextends maps directly onto Stage Four: alternative institutions move to fill the vacuum of legitimate authority created by elite capture.</w:t>
      </w:r>
    </w:p>
    <w:p>
      <w:pPr>
        <w:spacing w:after="0" w:before="200" w:line="480"/>
        <w:ind w:left="720" w:hanging="720"/>
        <w:jc w:val="both"/>
      </w:pPr>
      <w:r>
        <w:rPr>
          <w:rFonts w:ascii="Times New Roman" w:cs="Times New Roman" w:eastAsia="Times New Roman" w:hAnsi="Times New Roman"/>
          <w:sz w:val="24"/>
          <w:szCs w:val="24"/>
        </w:rPr>
        <w:t xml:space="preserve">Herman, E. S., &amp; Chomsky, N. (1988). Manufacturing consent: The political economy of the mass media. Pantheon Books.</w:t>
      </w:r>
    </w:p>
    <w:p>
      <w:pPr>
        <w:spacing w:after="200" w:before="0" w:line="480"/>
        <w:ind w:left="720"/>
        <w:jc w:val="both"/>
      </w:pPr>
      <w:r>
        <w:rPr>
          <w:rFonts w:ascii="Times New Roman" w:cs="Times New Roman" w:eastAsia="Times New Roman" w:hAnsi="Times New Roman"/>
          <w:sz w:val="24"/>
          <w:szCs w:val="24"/>
        </w:rPr>
        <w:t xml:space="preserve">Herman and Chomsky's propaganda model is the most developed existing account of the media dimension of stupefaction as described in Stage Two of this framework. Their analysis of how media structures systematically filter information to serve institutional interests corresponds directly to the stupefaction channel system. The Resistance Innovation Cycles framework extends their account by treating this filtering not merely as a media phenomenon but as a quantitative input variable in the institutional decay function whose duration determines collapse magnitude.</w:t>
      </w:r>
    </w:p>
    <w:p>
      <w:pPr>
        <w:spacing w:after="0" w:before="200" w:line="480"/>
        <w:ind w:left="720" w:hanging="720"/>
        <w:jc w:val="both"/>
      </w:pPr>
      <w:r>
        <w:rPr>
          <w:rFonts w:ascii="Times New Roman" w:cs="Times New Roman" w:eastAsia="Times New Roman" w:hAnsi="Times New Roman"/>
          <w:sz w:val="24"/>
          <w:szCs w:val="24"/>
        </w:rPr>
        <w:t xml:space="preserve">Lacey, N. (2019). Populism and the rule of law. Annual Review of Law and Social Science, 15, 79-96.</w:t>
      </w:r>
    </w:p>
    <w:p>
      <w:pPr>
        <w:spacing w:after="200" w:before="0" w:line="480"/>
        <w:ind w:left="720"/>
        <w:jc w:val="both"/>
      </w:pPr>
      <w:r>
        <w:rPr>
          <w:rFonts w:ascii="Times New Roman" w:cs="Times New Roman" w:eastAsia="Times New Roman" w:hAnsi="Times New Roman"/>
          <w:sz w:val="24"/>
          <w:szCs w:val="24"/>
        </w:rPr>
        <w:t xml:space="preserve">Lacey's examination of overcriminalization provides a concrete institutional pathway through which state overreach produces the oppressive conditions that trigger Stage Three. When legal systems expand to criminalize conduct populations regard as legitimate, those populations are incentivized to develop technologies and organizational forms that operate outside state visibility. Her comparative analysis also offers a lens for examining why some collapse events produce more radical rebound innovations than others.</w:t>
      </w:r>
    </w:p>
    <w:p>
      <w:pPr>
        <w:spacing w:after="0" w:before="200" w:line="480"/>
        <w:ind w:left="720" w:hanging="720"/>
        <w:jc w:val="both"/>
      </w:pPr>
      <w:r>
        <w:rPr>
          <w:rFonts w:ascii="Times New Roman" w:cs="Times New Roman" w:eastAsia="Times New Roman" w:hAnsi="Times New Roman"/>
          <w:sz w:val="24"/>
          <w:szCs w:val="24"/>
        </w:rPr>
        <w:t xml:space="preserve">Meierhenrich, J. (2021). Law and/or/as civility. Annual Review of Law and Social Science, 17, 97-122.</w:t>
      </w:r>
    </w:p>
    <w:p>
      <w:pPr>
        <w:spacing w:after="200" w:before="0" w:line="480"/>
        <w:ind w:left="720"/>
        <w:jc w:val="both"/>
      </w:pPr>
      <w:r>
        <w:rPr>
          <w:rFonts w:ascii="Times New Roman" w:cs="Times New Roman" w:eastAsia="Times New Roman" w:hAnsi="Times New Roman"/>
          <w:sz w:val="24"/>
          <w:szCs w:val="24"/>
        </w:rPr>
        <w:t xml:space="preserve">Meierhenrich's survey of the relationship between law and civility is relevant to the stupefaction mechanism. His treatment of civility as enforced conformity demonstrates how governance frameworks transform ordinary social life into instruments of oppression when sufficiently coercive, corresponding to the structural dimension of stupefaction: the colonization of the everyday environment in ways that lower the sophistication threshold below the level required to identify and resist institutional capture.</w:t>
      </w:r>
    </w:p>
    <w:p>
      <w:pPr>
        <w:spacing w:after="0" w:before="200" w:line="480"/>
        <w:ind w:left="720" w:hanging="720"/>
        <w:jc w:val="both"/>
      </w:pPr>
      <w:r>
        <w:rPr>
          <w:rFonts w:ascii="Times New Roman" w:cs="Times New Roman" w:eastAsia="Times New Roman" w:hAnsi="Times New Roman"/>
          <w:sz w:val="24"/>
          <w:szCs w:val="24"/>
        </w:rPr>
        <w:t xml:space="preserve">Weber, M. (1978). Economy and society. University of California Press.</w:t>
      </w:r>
    </w:p>
    <w:p>
      <w:pPr>
        <w:spacing w:after="200" w:before="0" w:line="480"/>
        <w:ind w:left="720"/>
        <w:jc w:val="both"/>
      </w:pPr>
      <w:r>
        <w:rPr>
          <w:rFonts w:ascii="Times New Roman" w:cs="Times New Roman" w:eastAsia="Times New Roman" w:hAnsi="Times New Roman"/>
          <w:sz w:val="24"/>
          <w:szCs w:val="24"/>
        </w:rPr>
        <w:t xml:space="preserve">Weber's account of institutional legitimacy is directly relevant to Stage Three of the Resistance Innovation Cycles framework. Weber identified that institutions sustain themselves through legitimate authority and that the erosion of legitimacy precedes institutional collapse. Stage Three is the terminal expression of that erosion: the point at which the gap between the institution's claimed legitimacy and its observable behavior has accumulated sufficient mass to trigger the collapse function. The Resistance Innovation Cycles framework adds to Weber the claim that the specific character of what replaces the collapsed institution is structurally predictable from the nature of the legitimacy failure.</w:t>
      </w:r>
    </w:p>
    <w:p>
      <w:pPr>
        <w:spacing w:after="80" w:before="200" w:line="480"/>
        <w:jc w:val="left"/>
      </w:pPr>
      <w:r>
        <w:rPr>
          <w:rFonts w:ascii="Times New Roman" w:cs="Times New Roman" w:eastAsia="Times New Roman" w:hAnsi="Times New Roman"/>
          <w:b/>
          <w:bCs/>
          <w:sz w:val="24"/>
          <w:szCs w:val="24"/>
          <w:u w:val="single"/>
        </w:rPr>
        <w:t xml:space="preserve">Path Dependency and Punctuated Equilibrium</w:t>
      </w:r>
    </w:p>
    <w:p>
      <w:pPr>
        <w:spacing w:after="0" w:before="200" w:line="480"/>
        <w:ind w:left="720" w:hanging="720"/>
        <w:jc w:val="both"/>
      </w:pPr>
      <w:r>
        <w:rPr>
          <w:rFonts w:ascii="Times New Roman" w:cs="Times New Roman" w:eastAsia="Times New Roman" w:hAnsi="Times New Roman"/>
          <w:sz w:val="24"/>
          <w:szCs w:val="24"/>
        </w:rPr>
        <w:t xml:space="preserve">Baumgartner, F. R., &amp; Jones, B. D. (1993). Agendas and instability in American politics. University of Chicago Press.</w:t>
      </w:r>
    </w:p>
    <w:p>
      <w:pPr>
        <w:spacing w:after="200" w:before="0" w:line="480"/>
        <w:ind w:left="720"/>
        <w:jc w:val="both"/>
      </w:pPr>
      <w:r>
        <w:rPr>
          <w:rFonts w:ascii="Times New Roman" w:cs="Times New Roman" w:eastAsia="Times New Roman" w:hAnsi="Times New Roman"/>
          <w:sz w:val="24"/>
          <w:szCs w:val="24"/>
        </w:rPr>
        <w:t xml:space="preserve">Baumgartner and Jones's punctuated equilibrium model of policy change provides the political science counterpart to the stellar lifecycle analogy developed in Section 3.4. Their account of long stable periods punctuated by sudden transformative moments corresponds directly to the spinytrical decay function. The Resistance Innovation Cycles framework extends their model by providing a specification of what determines the character of the post-punctuation equilibrium, a question their framework raises but cannot answer.</w:t>
      </w:r>
    </w:p>
    <w:p>
      <w:pPr>
        <w:spacing w:after="0" w:before="200" w:line="480"/>
        <w:ind w:left="720" w:hanging="720"/>
        <w:jc w:val="both"/>
      </w:pPr>
      <w:r>
        <w:rPr>
          <w:rFonts w:ascii="Times New Roman" w:cs="Times New Roman" w:eastAsia="Times New Roman" w:hAnsi="Times New Roman"/>
          <w:sz w:val="24"/>
          <w:szCs w:val="24"/>
        </w:rPr>
        <w:t xml:space="preserve">Mahoney, J. (2000). Path dependence in historical sociology. Theory and Society, 29(4), 507-548.</w:t>
      </w:r>
    </w:p>
    <w:p>
      <w:pPr>
        <w:spacing w:after="200" w:before="0" w:line="480"/>
        <w:ind w:left="720"/>
        <w:jc w:val="both"/>
      </w:pPr>
      <w:r>
        <w:rPr>
          <w:rFonts w:ascii="Times New Roman" w:cs="Times New Roman" w:eastAsia="Times New Roman" w:hAnsi="Times New Roman"/>
          <w:sz w:val="24"/>
          <w:szCs w:val="24"/>
        </w:rPr>
        <w:t xml:space="preserve">Mahoney's foundational treatment of path dependence establishes the conceptual framework of critical junctures and lock-in that the Resistance Innovation Cycles framework most directly engages. The Institutional Decay Point Collapse maps precisely onto Mahoney's critical juncture. This framework's contribution to the path dependency tradition is the derivability claim: the character of the post-juncture institutional form is not historically contingent but calculable from the decay vector inputs through the weighted matrix methodology.</w:t>
      </w:r>
    </w:p>
    <w:p>
      <w:pPr>
        <w:spacing w:after="0" w:before="200" w:line="480"/>
        <w:ind w:left="720" w:hanging="720"/>
        <w:jc w:val="both"/>
      </w:pPr>
      <w:r>
        <w:rPr>
          <w:rFonts w:ascii="Times New Roman" w:cs="Times New Roman" w:eastAsia="Times New Roman" w:hAnsi="Times New Roman"/>
          <w:sz w:val="24"/>
          <w:szCs w:val="24"/>
        </w:rPr>
        <w:t xml:space="preserve">Pierson, P. (2004). Politics in time: History, institutions, and social analysis. Princeton University Press.</w:t>
      </w:r>
    </w:p>
    <w:p>
      <w:pPr>
        <w:spacing w:after="200" w:before="0" w:line="480"/>
        <w:ind w:left="720"/>
        <w:jc w:val="both"/>
      </w:pPr>
      <w:r>
        <w:rPr>
          <w:rFonts w:ascii="Times New Roman" w:cs="Times New Roman" w:eastAsia="Times New Roman" w:hAnsi="Times New Roman"/>
          <w:sz w:val="24"/>
          <w:szCs w:val="24"/>
        </w:rPr>
        <w:t xml:space="preserve">Pierson's account of increasing returns and lock-in in political institutions is directly relevant to Stage Five of the Resistance Innovation Cycles framework. His analysis of how institutional arrangements become self-reinforcing over time maps onto the decay function's self-reinforcing character: as the corrupt institution accumulates mass, the energy required to redirect it increases, making the approach to the critical threshold increasingly inevitable. Pierson's framework explains stability. The Resistance Innovation Cycles framework adds the specification of what the terminal point of that stability produces.</w:t>
      </w:r>
    </w:p>
    <w:p>
      <w:pPr>
        <w:spacing w:after="80" w:before="200" w:line="480"/>
        <w:jc w:val="left"/>
      </w:pPr>
      <w:r>
        <w:rPr>
          <w:rFonts w:ascii="Times New Roman" w:cs="Times New Roman" w:eastAsia="Times New Roman" w:hAnsi="Times New Roman"/>
          <w:b/>
          <w:bCs/>
          <w:sz w:val="24"/>
          <w:szCs w:val="24"/>
          <w:u w:val="single"/>
        </w:rPr>
        <w:t xml:space="preserve">Contentious Politics, Legibility, and the Politics of Artifacts</w:t>
      </w:r>
    </w:p>
    <w:p>
      <w:pPr>
        <w:spacing w:after="0" w:before="200" w:line="480"/>
        <w:ind w:left="720" w:hanging="720"/>
        <w:jc w:val="both"/>
      </w:pPr>
      <w:r>
        <w:rPr>
          <w:rFonts w:ascii="Times New Roman" w:cs="Times New Roman" w:eastAsia="Times New Roman" w:hAnsi="Times New Roman"/>
          <w:sz w:val="24"/>
          <w:szCs w:val="24"/>
        </w:rPr>
        <w:t xml:space="preserve">Scott, J. C. (1985). Weapons of the weak: Everyday forms of peasant resistance. Yale University Press.</w:t>
      </w:r>
    </w:p>
    <w:p>
      <w:pPr>
        <w:spacing w:after="200" w:before="0" w:line="480"/>
        <w:ind w:left="720"/>
        <w:jc w:val="both"/>
      </w:pPr>
      <w:r>
        <w:rPr>
          <w:rFonts w:ascii="Times New Roman" w:cs="Times New Roman" w:eastAsia="Times New Roman" w:hAnsi="Times New Roman"/>
          <w:sz w:val="24"/>
          <w:szCs w:val="24"/>
        </w:rPr>
        <w:t xml:space="preserve">Scott's foundational account of infrapolitics, the low-profile everyday forms of resistance that fall beneath the state's threshold of visibility, is the closest existing account of Stage Four dynamics in the literature. The Resistance Innovation Cycles framework extends Scott's insight from evasion to architecture: populations do not merely hide from state power, they build systems structurally designed to be illegible to it, and the specific illegibility features are derivable from the specific legibility apparatus deployed against them.</w:t>
      </w:r>
    </w:p>
    <w:p>
      <w:pPr>
        <w:spacing w:after="0" w:before="200" w:line="480"/>
        <w:ind w:left="720" w:hanging="720"/>
        <w:jc w:val="both"/>
      </w:pPr>
      <w:r>
        <w:rPr>
          <w:rFonts w:ascii="Times New Roman" w:cs="Times New Roman" w:eastAsia="Times New Roman" w:hAnsi="Times New Roman"/>
          <w:sz w:val="24"/>
          <w:szCs w:val="24"/>
        </w:rPr>
        <w:t xml:space="preserve">Scott, J. C. (1998). Seeing like a state: How certain schemes to improve the human condition have failed. Yale University Press.</w:t>
      </w:r>
    </w:p>
    <w:p>
      <w:pPr>
        <w:spacing w:after="200" w:before="0" w:line="480"/>
        <w:ind w:left="720"/>
        <w:jc w:val="both"/>
      </w:pPr>
      <w:r>
        <w:rPr>
          <w:rFonts w:ascii="Times New Roman" w:cs="Times New Roman" w:eastAsia="Times New Roman" w:hAnsi="Times New Roman"/>
          <w:sz w:val="24"/>
          <w:szCs w:val="24"/>
        </w:rPr>
        <w:t xml:space="preserve">Scott's analysis of how states simplify and schematize social reality to render populations legible for administrative control corresponds closely to the stupefaction mechanism in Stage Two. His concept of high-modernist ideology as enforced legibility maps onto the deliberate incomprehensibility argument: just as states impose legibility on populations, captured institutions engineer incomprehensibility into their own architecture to prevent scrutiny from within.</w:t>
      </w:r>
    </w:p>
    <w:p>
      <w:pPr>
        <w:spacing w:after="0" w:before="200" w:line="480"/>
        <w:ind w:left="720" w:hanging="720"/>
        <w:jc w:val="both"/>
      </w:pPr>
      <w:r>
        <w:rPr>
          <w:rFonts w:ascii="Times New Roman" w:cs="Times New Roman" w:eastAsia="Times New Roman" w:hAnsi="Times New Roman"/>
          <w:sz w:val="24"/>
          <w:szCs w:val="24"/>
        </w:rPr>
        <w:t xml:space="preserve">Tilly, C. (2008). Contentious performances. Cambridge University Press.</w:t>
      </w:r>
    </w:p>
    <w:p>
      <w:pPr>
        <w:spacing w:after="200" w:before="0" w:line="480"/>
        <w:ind w:left="720"/>
        <w:jc w:val="both"/>
      </w:pPr>
      <w:r>
        <w:rPr>
          <w:rFonts w:ascii="Times New Roman" w:cs="Times New Roman" w:eastAsia="Times New Roman" w:hAnsi="Times New Roman"/>
          <w:sz w:val="24"/>
          <w:szCs w:val="24"/>
        </w:rPr>
        <w:t xml:space="preserve">Tilly's account of contentious politics as patterned repertoires of collective action is the foundational text this framework engages and extends. Tilly establishes that resistance is structured rather than spontaneous. The Resistance Innovation Cycles framework accepts this foundation and moves beyond it: not only is resistance patterned, but the specific architectural features of each rebound innovation are structurally determined by the collapse inputs and derivable before examination. Tilly documents that populations resist. This framework explains what they build and why.</w:t>
      </w:r>
    </w:p>
    <w:p>
      <w:pPr>
        <w:spacing w:after="0" w:before="200" w:line="480"/>
        <w:ind w:left="720" w:hanging="720"/>
        <w:jc w:val="both"/>
      </w:pPr>
      <w:r>
        <w:rPr>
          <w:rFonts w:ascii="Times New Roman" w:cs="Times New Roman" w:eastAsia="Times New Roman" w:hAnsi="Times New Roman"/>
          <w:sz w:val="24"/>
          <w:szCs w:val="24"/>
        </w:rPr>
        <w:t xml:space="preserve">Winner, L. (1980). Do artifacts have politics? Daedalus, 109(1), 121-136.</w:t>
      </w:r>
    </w:p>
    <w:p>
      <w:pPr>
        <w:spacing w:after="200" w:before="0" w:line="480"/>
        <w:ind w:left="720"/>
        <w:jc w:val="both"/>
      </w:pPr>
      <w:r>
        <w:rPr>
          <w:rFonts w:ascii="Times New Roman" w:cs="Times New Roman" w:eastAsia="Times New Roman" w:hAnsi="Times New Roman"/>
          <w:sz w:val="24"/>
          <w:szCs w:val="24"/>
        </w:rPr>
        <w:t xml:space="preserve">Winner's foundational argument that technologies embody political values in their design is the theoretical precedent this framework extends. The Resistance Innovation Cycles framework adds a predictive dimension: in the specific case of rebound innovations, the political values embodied in the artifact are structurally determined by the collapse inputs and calculable through the weighted matrix before the artifact is examined. The artifact does not merely have politics. Its politics are derivable.</w:t>
      </w:r>
    </w:p>
    <w:p>
      <w:pPr>
        <w:spacing w:after="80" w:before="200" w:line="480"/>
        <w:jc w:val="left"/>
      </w:pPr>
      <w:r>
        <w:rPr>
          <w:rFonts w:ascii="Times New Roman" w:cs="Times New Roman" w:eastAsia="Times New Roman" w:hAnsi="Times New Roman"/>
          <w:b/>
          <w:bCs/>
          <w:sz w:val="24"/>
          <w:szCs w:val="24"/>
          <w:u w:val="single"/>
        </w:rPr>
        <w:t xml:space="preserve">Case One: The Gutenberg Press</w:t>
      </w:r>
    </w:p>
    <w:p>
      <w:pPr>
        <w:spacing w:after="0" w:before="200" w:line="480"/>
        <w:ind w:left="720" w:hanging="720"/>
        <w:jc w:val="both"/>
      </w:pPr>
      <w:r>
        <w:rPr>
          <w:rFonts w:ascii="Times New Roman" w:cs="Times New Roman" w:eastAsia="Times New Roman" w:hAnsi="Times New Roman"/>
          <w:sz w:val="24"/>
          <w:szCs w:val="24"/>
        </w:rPr>
        <w:t xml:space="preserve">Bejan, T. M. (2017). Mere civility: Disagreement and the limits of toleration. Harvard University Press.</w:t>
      </w:r>
    </w:p>
    <w:p>
      <w:pPr>
        <w:spacing w:after="200" w:before="0" w:line="480"/>
        <w:ind w:left="720"/>
        <w:jc w:val="both"/>
      </w:pPr>
      <w:r>
        <w:rPr>
          <w:rFonts w:ascii="Times New Roman" w:cs="Times New Roman" w:eastAsia="Times New Roman" w:hAnsi="Times New Roman"/>
          <w:sz w:val="24"/>
          <w:szCs w:val="24"/>
        </w:rPr>
        <w:t xml:space="preserve">Bejan's intellectual history of Reformation-era debates about religious toleration provides the most direct treatment of the printing press as a technology of resistance in the existing literature. Her analysis of how the press enabled decentralized communication beyond the reach of sovereign authority establishes the historical precedent that this paper extends into a general theoretical framework. Bejan's treatment demonstrates that the Resistance Innovation Cycles pattern predates the digital age by five centuries and operates by the same structural logic across radically different technological contexts.</w:t>
      </w:r>
    </w:p>
    <w:p>
      <w:pPr>
        <w:spacing w:after="0" w:before="200" w:line="480"/>
        <w:ind w:left="720" w:hanging="720"/>
        <w:jc w:val="both"/>
      </w:pPr>
      <w:r>
        <w:rPr>
          <w:rFonts w:ascii="Times New Roman" w:cs="Times New Roman" w:eastAsia="Times New Roman" w:hAnsi="Times New Roman"/>
          <w:sz w:val="24"/>
          <w:szCs w:val="24"/>
        </w:rPr>
        <w:t xml:space="preserve">Eisenstein, E. L. (1980). The printing press as an agent of change. Cambridge University Press.</w:t>
      </w:r>
    </w:p>
    <w:p>
      <w:pPr>
        <w:spacing w:after="200" w:before="0" w:line="480"/>
        <w:ind w:left="720"/>
        <w:jc w:val="both"/>
      </w:pPr>
      <w:r>
        <w:rPr>
          <w:rFonts w:ascii="Times New Roman" w:cs="Times New Roman" w:eastAsia="Times New Roman" w:hAnsi="Times New Roman"/>
          <w:sz w:val="24"/>
          <w:szCs w:val="24"/>
        </w:rPr>
        <w:t xml:space="preserve">Eisenstein's foundational study of the printing press as a transformative political and social force is the essential historical anchor for Case One. Her analysis of how the press changed the cost structure of information production, making suppression structurally impossible once a text achieved sufficient circulation, establishes the founding mechanics of the proportionality principle and demonstrates the inversion of the Church's information monopoly into its structural opposite.</w:t>
      </w:r>
    </w:p>
    <w:p>
      <w:pPr>
        <w:spacing w:after="80" w:before="200" w:line="480"/>
        <w:jc w:val="left"/>
      </w:pPr>
      <w:r>
        <w:rPr>
          <w:rFonts w:ascii="Times New Roman" w:cs="Times New Roman" w:eastAsia="Times New Roman" w:hAnsi="Times New Roman"/>
          <w:b/>
          <w:bCs/>
          <w:sz w:val="24"/>
          <w:szCs w:val="24"/>
          <w:u w:val="single"/>
        </w:rPr>
        <w:t xml:space="preserve">Case Two: Soviet Samizdat</w:t>
      </w:r>
    </w:p>
    <w:p>
      <w:pPr>
        <w:spacing w:after="0" w:before="200" w:line="480"/>
        <w:ind w:left="720" w:hanging="720"/>
        <w:jc w:val="both"/>
      </w:pPr>
      <w:r>
        <w:rPr>
          <w:rFonts w:ascii="Times New Roman" w:cs="Times New Roman" w:eastAsia="Times New Roman" w:hAnsi="Times New Roman"/>
          <w:sz w:val="24"/>
          <w:szCs w:val="24"/>
        </w:rPr>
        <w:t xml:space="preserve">von Zitzewitz, J. (2022). [Review of] The culture of samizdat: Literature and underground networks in the late Soviet Union. Common Knowledge, 29(2), 242.</w:t>
      </w:r>
    </w:p>
    <w:p>
      <w:pPr>
        <w:spacing w:after="200" w:before="0" w:line="480"/>
        <w:ind w:left="720"/>
        <w:jc w:val="both"/>
      </w:pPr>
      <w:r>
        <w:rPr>
          <w:rFonts w:ascii="Times New Roman" w:cs="Times New Roman" w:eastAsia="Times New Roman" w:hAnsi="Times New Roman"/>
          <w:sz w:val="24"/>
          <w:szCs w:val="24"/>
        </w:rPr>
        <w:t xml:space="preserve">Von Zitzewitz's study of Samizdat as both a distribution network and a social network is the key source for Case Two. Her finding that Samizdat functioned as a peer-to-peer information architecture directly supports this paper's argument that Soviet dissidents invented a functionally equivalent replacement for the captured information infrastructure using only the materials the state had not yet monopolized. The Samizdat case proves the framework's central corollary: the cycle cannot be permanently broken even under conditions of near-total institutional capture.</w:t>
      </w:r>
    </w:p>
    <w:p>
      <w:pPr>
        <w:spacing w:after="80" w:before="200" w:line="480"/>
        <w:jc w:val="left"/>
      </w:pPr>
      <w:r>
        <w:rPr>
          <w:rFonts w:ascii="Times New Roman" w:cs="Times New Roman" w:eastAsia="Times New Roman" w:hAnsi="Times New Roman"/>
          <w:b/>
          <w:bCs/>
          <w:sz w:val="24"/>
          <w:szCs w:val="24"/>
          <w:u w:val="single"/>
        </w:rPr>
        <w:t xml:space="preserve">Case Three: Bitcoin and the 2008 Crisis</w:t>
      </w:r>
    </w:p>
    <w:p>
      <w:pPr>
        <w:spacing w:after="0" w:before="200" w:line="480"/>
        <w:ind w:left="720" w:hanging="720"/>
        <w:jc w:val="both"/>
      </w:pPr>
      <w:r>
        <w:rPr>
          <w:rFonts w:ascii="Times New Roman" w:cs="Times New Roman" w:eastAsia="Times New Roman" w:hAnsi="Times New Roman"/>
          <w:sz w:val="24"/>
          <w:szCs w:val="24"/>
        </w:rPr>
        <w:t xml:space="preserve">Hughes, E. (1993). A cypherpunk's manifesto. Satoshi Nakamoto Institute. https://nakamotoinstitute.org/library/cypherpunk-manifesto/</w:t>
      </w:r>
    </w:p>
    <w:p>
      <w:pPr>
        <w:spacing w:after="200" w:before="0" w:line="480"/>
        <w:ind w:left="720"/>
        <w:jc w:val="both"/>
      </w:pPr>
      <w:r>
        <w:rPr>
          <w:rFonts w:ascii="Times New Roman" w:cs="Times New Roman" w:eastAsia="Times New Roman" w:hAnsi="Times New Roman"/>
          <w:sz w:val="24"/>
          <w:szCs w:val="24"/>
        </w:rPr>
        <w:t xml:space="preserve">Hughes's manifesto is the ideological foundation of the uncompromised margin from which Bitcoin emerged. Written fifteen years before the financial crisis, it articulates the political philosophy of Stage Four actors: that privacy is necessary for an open society in the electronic age, that cypherpunks write code rather than lobby for political solutions, and that widely dispersed systems cannot be shut down. The manifesto also demonstrates that technical and ideological readiness alone do not produce a rebound of Bitcoin's magnitude: the energy of the 2008 collapse was the third and necessary variable.</w:t>
      </w:r>
    </w:p>
    <w:p>
      <w:pPr>
        <w:spacing w:after="0" w:before="200" w:line="480"/>
        <w:ind w:left="720" w:hanging="720"/>
        <w:jc w:val="both"/>
      </w:pPr>
      <w:r>
        <w:rPr>
          <w:rFonts w:ascii="Times New Roman" w:cs="Times New Roman" w:eastAsia="Times New Roman" w:hAnsi="Times New Roman"/>
          <w:sz w:val="24"/>
          <w:szCs w:val="24"/>
        </w:rPr>
        <w:t xml:space="preserve">Kindleberger, C. P. (1978). Manias, panics, and crashes: A history of financial crises. Basic Books.</w:t>
      </w:r>
    </w:p>
    <w:p>
      <w:pPr>
        <w:spacing w:after="200" w:before="0" w:line="480"/>
        <w:ind w:left="720"/>
        <w:jc w:val="both"/>
      </w:pPr>
      <w:r>
        <w:rPr>
          <w:rFonts w:ascii="Times New Roman" w:cs="Times New Roman" w:eastAsia="Times New Roman" w:hAnsi="Times New Roman"/>
          <w:sz w:val="24"/>
          <w:szCs w:val="24"/>
        </w:rPr>
        <w:t xml:space="preserve">Kindleberger's account of financial crises as following structural patterns of instability accumulation rather than representing random shocks provides the financial economics foundation for the 2008 left-side analysis in Case Three. The Resistance Innovation Cycles framework accepts Kindleberger's account of the structural accumulation of financial instability and extends it: the structural pattern of the instability accumulation determines the structural character of the counter-institutional response.</w:t>
      </w:r>
    </w:p>
    <w:p>
      <w:pPr>
        <w:spacing w:after="0" w:before="200" w:line="480"/>
        <w:ind w:left="720" w:hanging="720"/>
        <w:jc w:val="both"/>
      </w:pPr>
      <w:r>
        <w:rPr>
          <w:rFonts w:ascii="Times New Roman" w:cs="Times New Roman" w:eastAsia="Times New Roman" w:hAnsi="Times New Roman"/>
          <w:sz w:val="24"/>
          <w:szCs w:val="24"/>
        </w:rPr>
        <w:t xml:space="preserve">Minsky, H. P. (1986). Stabilizing an unstable economy. Yale University Press.</w:t>
      </w:r>
    </w:p>
    <w:p>
      <w:pPr>
        <w:spacing w:after="200" w:before="0" w:line="480"/>
        <w:ind w:left="720"/>
        <w:jc w:val="both"/>
      </w:pPr>
      <w:r>
        <w:rPr>
          <w:rFonts w:ascii="Times New Roman" w:cs="Times New Roman" w:eastAsia="Times New Roman" w:hAnsi="Times New Roman"/>
          <w:sz w:val="24"/>
          <w:szCs w:val="24"/>
        </w:rPr>
        <w:t xml:space="preserve">Minsky's financial instability hypothesis establishes that financial systems are endogenously prone to crisis through the dynamics of debt accumulation and speculative investment. This provides direct theoretical grounding for the 2008 collapse as a structurally determined event rather than an external shock, compatible with the Resistance Innovation Cycles framework's treatment of institutional collapse as the terminal expression of an internal decay function rather than an unexpected failure.</w:t>
      </w:r>
    </w:p>
    <w:p>
      <w:pPr>
        <w:spacing w:after="0" w:before="200" w:line="480"/>
        <w:ind w:left="720" w:hanging="720"/>
        <w:jc w:val="both"/>
      </w:pPr>
      <w:r>
        <w:rPr>
          <w:rFonts w:ascii="Times New Roman" w:cs="Times New Roman" w:eastAsia="Times New Roman" w:hAnsi="Times New Roman"/>
          <w:sz w:val="24"/>
          <w:szCs w:val="24"/>
        </w:rPr>
        <w:t xml:space="preserve">Nakamoto, S. (2008). Bitcoin: A peer-to-peer electronic cash system. https://bitcoin.org/bitcoin.pdf</w:t>
      </w:r>
    </w:p>
    <w:p>
      <w:pPr>
        <w:spacing w:after="200" w:before="0" w:line="480"/>
        <w:ind w:left="720"/>
        <w:jc w:val="both"/>
      </w:pPr>
      <w:r>
        <w:rPr>
          <w:rFonts w:ascii="Times New Roman" w:cs="Times New Roman" w:eastAsia="Times New Roman" w:hAnsi="Times New Roman"/>
          <w:sz w:val="24"/>
          <w:szCs w:val="24"/>
        </w:rPr>
        <w:t xml:space="preserve">The Bitcoin whitepaper is the primary source for Case Three. Released October 31, 2008, weeks after the Lehman collapse, it proposes a technical architecture whose every feature is the precise inverse of the 2008 collapse inputs: transparent public ledger in place of opacity, cryptographic proof in place of purchasable trusted intermediaries, fixed mathematical supply in place of discretionary policy, distributed network in place of centralized failure points. The genesis block's embedded reference to the bank bailout constitutes a permanent timestamp connecting the rebound to the collapse point that produced it.</w:t>
      </w:r>
    </w:p>
    <w:p>
      <w:pPr>
        <w:spacing w:after="80" w:before="200" w:line="480"/>
        <w:jc w:val="left"/>
      </w:pPr>
      <w:r>
        <w:rPr>
          <w:rFonts w:ascii="Times New Roman" w:cs="Times New Roman" w:eastAsia="Times New Roman" w:hAnsi="Times New Roman"/>
          <w:b/>
          <w:bCs/>
          <w:sz w:val="24"/>
          <w:szCs w:val="24"/>
          <w:u w:val="single"/>
        </w:rPr>
        <w:t xml:space="preserve">Contemporary Evidence</w:t>
      </w:r>
    </w:p>
    <w:p>
      <w:pPr>
        <w:spacing w:after="0" w:before="200" w:line="480"/>
        <w:ind w:left="720" w:hanging="720"/>
        <w:jc w:val="both"/>
      </w:pPr>
      <w:r>
        <w:rPr>
          <w:rFonts w:ascii="Times New Roman" w:cs="Times New Roman" w:eastAsia="Times New Roman" w:hAnsi="Times New Roman"/>
          <w:sz w:val="24"/>
          <w:szCs w:val="24"/>
        </w:rPr>
        <w:t xml:space="preserve">Eisner, M. P., &amp; Peng, C. S. (2026). Violent conflict in the human record: A review of the bioarchaeological evidence. Annual Review of Criminology, 9, 13-35.</w:t>
      </w:r>
    </w:p>
    <w:p>
      <w:pPr>
        <w:spacing w:after="200" w:before="0" w:line="480"/>
        <w:ind w:left="720"/>
        <w:jc w:val="both"/>
      </w:pPr>
      <w:r>
        <w:rPr>
          <w:rFonts w:ascii="Times New Roman" w:cs="Times New Roman" w:eastAsia="Times New Roman" w:hAnsi="Times New Roman"/>
          <w:sz w:val="24"/>
          <w:szCs w:val="24"/>
        </w:rPr>
        <w:t xml:space="preserve">Eisner and Peng's synthesis of bioarchaeological evidence spanning the full breadth of human history establishes that violence and resistance fluctuate in close relationship with the quality and stability of governing institutions rather than declining linearly with state development. This supports the framework's claim that Resistance Innovation Cycles are a structural constant across human societies rather than a modern or Western phenomenon.</w:t>
      </w:r>
    </w:p>
    <w:p>
      <w:pPr>
        <w:spacing w:after="0" w:before="200" w:line="480"/>
        <w:ind w:left="720" w:hanging="720"/>
        <w:jc w:val="both"/>
      </w:pPr>
      <w:r>
        <w:rPr>
          <w:rFonts w:ascii="Times New Roman" w:cs="Times New Roman" w:eastAsia="Times New Roman" w:hAnsi="Times New Roman"/>
          <w:sz w:val="24"/>
          <w:szCs w:val="24"/>
        </w:rPr>
        <w:t xml:space="preserve">Jardine, E. (2018). Tor, what is it good for? Political repression and the use of online anonymity-granting technologies. New Media and Society, 20(2), 435-452.</w:t>
      </w:r>
    </w:p>
    <w:p>
      <w:pPr>
        <w:spacing w:after="200" w:before="0" w:line="480"/>
        <w:ind w:left="720"/>
        <w:jc w:val="both"/>
      </w:pPr>
      <w:r>
        <w:rPr>
          <w:rFonts w:ascii="Times New Roman" w:cs="Times New Roman" w:eastAsia="Times New Roman" w:hAnsi="Times New Roman"/>
          <w:sz w:val="24"/>
          <w:szCs w:val="24"/>
        </w:rPr>
        <w:t xml:space="preserve">Jardine's quantitative study of Tor network usage across political regimes provides empirical grounding for the claim that the Resistance Innovation Cycle is an ongoing structural dynamic currently active across dozens of political contexts simultaneously. His econometric analysis shows that Tor usage correlates with political repression in ways reflecting the framework's Stage Four dynamics: as institutional overreach crosses the threshold, populations construct technical alternatives, and the magnitude of that construction correlates with the degree of overreach.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RESISTANCE INNOVATION CYCLES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2026-04-28T21:58:17.874Z</dcterms:created>
  <dcterms:modified xsi:type="dcterms:W3CDTF">2026-04-28T21:58:17.874Z</dcterms:modified>
</cp:coreProperties>
</file>

<file path=docProps/custom.xml><?xml version="1.0" encoding="utf-8"?>
<Properties xmlns="http://schemas.openxmlformats.org/officeDocument/2006/custom-properties" xmlns:vt="http://schemas.openxmlformats.org/officeDocument/2006/docPropsVTypes"/>
</file>