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ASSOCIAÇÃO DE ENSINO E CULTURA DE MATO GROSSO DO SUL - FACULDADES INTEGRADAS, </w:t>
      </w:r>
    </w:p>
    <w:p w:rsidR="00000000" w:rsidDel="00000000" w:rsidP="00000000" w:rsidRDefault="00000000" w:rsidRPr="00000000" w14:paraId="00000002">
      <w:pPr>
        <w:ind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Tecnologo em Analise e Desenvolvimento de Sistema  </w:t>
      </w:r>
    </w:p>
    <w:p w:rsidR="00000000" w:rsidDel="00000000" w:rsidP="00000000" w:rsidRDefault="00000000" w:rsidRPr="00000000" w14:paraId="00000003">
      <w:pPr>
        <w:jc w:val="left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Segurança da Informação </w:t>
      </w:r>
    </w:p>
    <w:p w:rsidR="00000000" w:rsidDel="00000000" w:rsidP="00000000" w:rsidRDefault="00000000" w:rsidRPr="00000000" w14:paraId="00000006">
      <w:pPr>
        <w:ind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Relatório: Mais Um Ataque à Sony.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Alunos:</w:t>
      </w:r>
      <w:r w:rsidDel="00000000" w:rsidR="00000000" w:rsidRPr="00000000">
        <w:rPr>
          <w:rFonts w:ascii="Arial" w:cs="Arial" w:eastAsia="Arial" w:hAnsi="Arial"/>
          <w:rtl w:val="0"/>
        </w:rPr>
        <w:t xml:space="preserve"> João Pedro Ketelhut, Miguel Ximarelli;</w:t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Tecnólogo em Analise e Desenvolvimento de Sistema  Faculdades Integradas de Três Lagoas – FITL/AEMS.</w:t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E-mail do autor: Ketelhutgonzaga5@gmail.com,.</w:t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Professor</w:t>
      </w:r>
      <w:r w:rsidDel="00000000" w:rsidR="00000000" w:rsidRPr="00000000">
        <w:rPr>
          <w:rFonts w:ascii="Arial" w:cs="Arial" w:eastAsia="Arial" w:hAnsi="Arial"/>
          <w:rtl w:val="0"/>
        </w:rPr>
        <w:t xml:space="preserve">: Richard Vieira do Espirito Santo.</w:t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Docente das Faculdades Integradas de Três Lagoas – FITL/AEMS.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Três Lagoas - MS</w:t>
      </w:r>
    </w:p>
    <w:p w:rsidR="00000000" w:rsidDel="00000000" w:rsidP="00000000" w:rsidRDefault="00000000" w:rsidRPr="00000000" w14:paraId="00000023">
      <w:pPr>
        <w:ind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19/03/2024 </w:t>
      </w:r>
    </w:p>
    <w:p w:rsidR="00000000" w:rsidDel="00000000" w:rsidP="00000000" w:rsidRDefault="00000000" w:rsidRPr="00000000" w14:paraId="00000024">
      <w:pPr>
        <w:spacing w:after="160" w:line="259" w:lineRule="auto"/>
        <w:ind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RESUMO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presente estudo analisa os ataques cibernéticos à Sony Pictures Entertainment em 2014, perpetrados pelo grupo hacker Guardians of Peace. Através de uma abordagem multidisciplinar, investigamos as causas, consequências e respostas da empresa diante desse incidente de segurança cibernética de grande escala. Utilizando dados provenientes de fontes confiáveis e uma revisão bibliográfica extensiva, identificamos as vulnerabilidades exploradas pelos hackers, as motivações por trás dos ataques e o impacto financeiro e reputacional sobre a Sony e a indústria do entretenimento. Avaliamos criticamente as medidas adotadas pela Sony para conter os danos e fortalecer sua postura de segurança cibernética, incluindo a contratação de especialistas, revisão de políticas internas e investimento em tecnologias de proteção de dados. Este estudo também discute as lições aprendidas com o incidente e suas implicações para a segurança cibernética corporativa, destacando a importância da prevenção, detecção e resposta a ameaças cibernéticas em organizações globais.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Palavras-chave:</w:t>
      </w:r>
      <w:r w:rsidDel="00000000" w:rsidR="00000000" w:rsidRPr="00000000">
        <w:rPr>
          <w:rFonts w:ascii="Arial" w:cs="Arial" w:eastAsia="Arial" w:hAnsi="Arial"/>
          <w:rtl w:val="0"/>
        </w:rPr>
        <w:t xml:space="preserve">Ataques cibernéticos, Sony Pictures Entertainment, Guardians of Peace, Segurança cibernética, Vulnerabilidades, Resposta a incidentes, Proteção de dados, Gestão de crises, Indústria do entretenimento.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Rule="auto"/>
        <w:ind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Rule="auto"/>
        <w:ind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3F">
      <w:pPr>
        <w:tabs>
          <w:tab w:val="left" w:leader="none" w:pos="709"/>
          <w:tab w:val="right" w:leader="none" w:pos="9062"/>
        </w:tabs>
        <w:spacing w:after="100" w:line="276" w:lineRule="auto"/>
        <w:ind w:left="709" w:hanging="709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  <w:tab/>
        <w:t xml:space="preserve">OBJETIVOS......................................................................................................5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709"/>
          <w:tab w:val="right" w:leader="none" w:pos="9062"/>
        </w:tabs>
        <w:spacing w:after="100" w:line="276" w:lineRule="auto"/>
        <w:ind w:left="705" w:hanging="705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INTRODUÇÃO TEÓRICA.................................................................................6</w:t>
      </w:r>
    </w:p>
    <w:p w:rsidR="00000000" w:rsidDel="00000000" w:rsidP="00000000" w:rsidRDefault="00000000" w:rsidRPr="00000000" w14:paraId="00000041">
      <w:pPr>
        <w:tabs>
          <w:tab w:val="left" w:leader="none" w:pos="709"/>
          <w:tab w:val="right" w:leader="none" w:pos="9062"/>
        </w:tabs>
        <w:spacing w:after="100" w:line="276" w:lineRule="auto"/>
        <w:ind w:left="705" w:hanging="70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MATERIAIS E MÉTODOS.........................................................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....................7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709"/>
          <w:tab w:val="right" w:leader="none" w:pos="9062"/>
        </w:tabs>
        <w:spacing w:after="10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         CONCLUSÕES.................................................................................................9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709"/>
          <w:tab w:val="right" w:leader="none" w:pos="9062"/>
        </w:tabs>
        <w:spacing w:after="10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REFERÊNCIAS</w:t>
        <w:tab/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709"/>
          <w:tab w:val="right" w:leader="none" w:pos="9062"/>
        </w:tabs>
        <w:spacing w:after="100" w:line="276" w:lineRule="auto"/>
        <w:ind w:left="708" w:firstLine="0"/>
        <w:rPr>
          <w:rFonts w:ascii="Arial" w:cs="Arial" w:eastAsia="Arial" w:hAnsi="Arial"/>
        </w:rPr>
        <w:sectPr>
          <w:headerReference r:id="rId6" w:type="default"/>
          <w:headerReference r:id="rId7" w:type="first"/>
          <w:pgSz w:h="16838" w:w="11906" w:orient="portrait"/>
          <w:pgMar w:bottom="1134" w:top="1701" w:left="1701" w:right="1134" w:header="708" w:footer="708"/>
          <w:pgNumType w:start="0"/>
          <w:titlePg w:val="1"/>
        </w:sect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120" w:lineRule="auto"/>
        <w:ind w:left="709" w:hanging="709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Este texto tem como objetivo analisar os ataques cibernéticos à Sony Pictures Entertainment em 2014, destacando as causas por trás do incidente, suas consequências e as lições aprendidas. Além disso, busca-se entender como a empresa lidou com a crise e as medidas subsequentes tomadas para mitigar riscos futuros e fortalecer sua postura de segurança cibernética.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120" w:lineRule="auto"/>
        <w:ind w:left="709" w:hanging="709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INTRODUÇÃO TEÓRICA</w:t>
      </w:r>
    </w:p>
    <w:p w:rsidR="00000000" w:rsidDel="00000000" w:rsidP="00000000" w:rsidRDefault="00000000" w:rsidRPr="00000000" w14:paraId="00000063">
      <w:pPr>
        <w:spacing w:after="120" w:lineRule="auto"/>
        <w:ind w:firstLine="0"/>
        <w:jc w:val="left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No final de 2014, a Sony Pictures Entertainment foi alvo de um dos mais notórios e devastadores ataques cibernéticos da história corporativa. A invasão, perpetrada por um grupo hacker conhecido como Guardians of Peace (Guardiões da Paz), resultou na exposição de uma vasta quantidade de dados confidenciais da empresa, incluindo emails internos, informações financeiras e propriedade intelectual. Este incidente não apenas causou prejuízos financeiros significativos à Sony, mas também teve repercussões em termos de reputação e segurança cibernética globalmente.</w:t>
      </w:r>
    </w:p>
    <w:p w:rsidR="00000000" w:rsidDel="00000000" w:rsidP="00000000" w:rsidRDefault="00000000" w:rsidRPr="00000000" w14:paraId="00000064">
      <w:pPr>
        <w:spacing w:after="120" w:lineRule="auto"/>
        <w:ind w:firstLine="0"/>
        <w:jc w:val="left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lineRule="auto"/>
        <w:ind w:firstLine="0"/>
        <w:jc w:val="left"/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120" w:lineRule="auto"/>
        <w:ind w:left="709" w:hanging="709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MATERIAIS E MÉTODOS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Coleta de Dados: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Os dados utilizados para a elaboração deste estudo foram coletados a partir de fontes confiáveis e variadas, incluindo relatórios oficiais da Sony Pictures Entertainment, comunicados de imprensa, artigos acadêmicos, notícias veiculadas em meios de comunicação respeitáveis e documentos públicos relacionados ao incidente de segurança cibernética em questão.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Revisão Bibliográfica: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Foi realizada uma revisão bibliográfica extensiva para contextualizar os eventos que culminaram nos ataques hacker à Sony Pictures Entertainment em 2014. Esta revisão incluiu literatura acadêmica sobre segurança cibernética, casos de estudo sobre ataques cibernéticos corporativos anteriores e análises de especialistas em segurança digital.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Análise dos Eventos: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Os eventos relacionados aos ataques cibernéticos à Sony foram detalhadamente analisados, considerando-se múltiplas perspectivas, incluindo os motivos dos perpetradores, as vulnerabilidades exploradas, as consequências para a empresa e as respostas subsequentes da Sony e da comunidade de segurança cibernética.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Identificação de Causas e Consequências: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A identificação das causas subjacentes aos ataques e a análise das consequências foram realizadas com base em uma abordagem multidisciplinar, considerando aspectos técnicos, políticos, econômicos e sociais. Isso incluiu a investigação das motivações dos perpetradores, o impacto financeiro e reputacional sobre a Sony e a indústria do entretenimento, bem como implicações mais amplas para a segurança cibernética global.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 Avaliação das Respostas da Sony: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As respostas da Sony ao incidente foram avaliadas criticamente, considerando-se sua eficácia na contenção dos danos, na restauração da confiança do público e na implementação de medidas de segurança cibernética apropriadas. Isso incluiu uma análise das ações imediatas tomadas durante a crise, bem como das medidas de longo prazo adotadas para fortalecer a segurança da empresa.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 Discussão e Implicações: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- Por fim, uma discussão abrangente foi conduzida para examinar as lições aprendidas com os ataques à Sony e suas implicações para a segurança cibernética corporativa. Isso envolveu a identificação de melhores práticas em termos de prevenção, detecção e resposta a ameaças cibernéticas, bem como considerações éticas e legais associadas à gestão de incidentes de segurança cibernética em organizações globais.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120" w:lineRule="auto"/>
        <w:ind w:left="709" w:hanging="709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CONCLUSÕES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</w:rPr>
      </w:pP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Os ataques cibernéticos à Sony Pictures Entertainment em 2014 representaram um ponto de virada significativo na história da segurança cibernética corporativa. O incidente destacou a importância crítica de investir em medidas de proteção de dados robustas e de estar preparado para enfrentar ameaças cibernéticas cada vez mais sofisticadas. Embora tenha sido um período tumultuado para a Sony, os ataques também serviram como um catalisador para melhorias substanciais em sua postura de segurança cibernética e conscientização sobre os riscos associados à era digital.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spacing w:before="480" w:lineRule="auto"/>
        <w:ind w:firstLine="0"/>
        <w:jc w:val="center"/>
        <w:rPr>
          <w:rFonts w:ascii="Arial" w:cs="Arial" w:eastAsia="Arial" w:hAnsi="Arial"/>
          <w:b w:val="1"/>
          <w:smallCaps w:val="1"/>
        </w:rPr>
      </w:pPr>
      <w:bookmarkStart w:colFirst="0" w:colLast="0" w:name="_30j0zll" w:id="0"/>
      <w:bookmarkEnd w:id="0"/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REFERÊNCIAS</w:t>
      </w:r>
    </w:p>
    <w:p w:rsidR="00000000" w:rsidDel="00000000" w:rsidP="00000000" w:rsidRDefault="00000000" w:rsidRPr="00000000" w14:paraId="000000BD">
      <w:pPr>
        <w:keepNext w:val="1"/>
        <w:spacing w:before="480" w:lineRule="auto"/>
        <w:ind w:firstLine="0"/>
        <w:jc w:val="center"/>
        <w:rPr>
          <w:rFonts w:ascii="Arial" w:cs="Arial" w:eastAsia="Arial" w:hAnsi="Arial"/>
          <w:b w:val="1"/>
          <w:smallCaps w:val="1"/>
        </w:rPr>
      </w:pPr>
      <w:bookmarkStart w:colFirst="0" w:colLast="0" w:name="_8fuh92g291g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DIGITAL, O.; SCHENDES, W.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Sony confirma que sofreu duas invasões cibernéticas em 2023</w:t>
      </w:r>
      <w:r w:rsidDel="00000000" w:rsidR="00000000" w:rsidRPr="00000000">
        <w:rPr>
          <w:rFonts w:ascii="Arial" w:cs="Arial" w:eastAsia="Arial" w:hAnsi="Arial"/>
          <w:rtl w:val="0"/>
        </w:rPr>
        <w:t xml:space="preserve">. Disponível em: &lt;https://olhardigital.com.br/2023/10/06/seguranca/sony-confirma-que-sofreu-duas-invasoes-ciberneticas-em-2023/#:~:text=Mais%20uma%20invas%C3%A3o%20em%202023&gt;. Acesso em: 19 mar. 2024.</w:t>
      </w:r>
    </w:p>
    <w:p w:rsidR="00000000" w:rsidDel="00000000" w:rsidP="00000000" w:rsidRDefault="00000000" w:rsidRPr="00000000" w14:paraId="000000BF">
      <w:pPr>
        <w:spacing w:after="240" w:before="240" w:line="240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‌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Sony confirma roubo de dados em dois ataques recentes</w:t>
      </w:r>
      <w:r w:rsidDel="00000000" w:rsidR="00000000" w:rsidRPr="00000000">
        <w:rPr>
          <w:rFonts w:ascii="Arial" w:cs="Arial" w:eastAsia="Arial" w:hAnsi="Arial"/>
          <w:rtl w:val="0"/>
        </w:rPr>
        <w:t xml:space="preserve"> | CISO Advisor. Disponível em: &lt;https://www.cisoadvisor.com.br/sony-confirma-roubo-de-dados-em-dois-ataques-recentes/&gt;. Acesso em: 19 mar. 2024.</w:t>
      </w:r>
    </w:p>
    <w:p w:rsidR="00000000" w:rsidDel="00000000" w:rsidP="00000000" w:rsidRDefault="00000000" w:rsidRPr="00000000" w14:paraId="000000C0">
      <w:pPr>
        <w:spacing w:after="240" w:before="240" w:line="240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‌</w:t>
      </w:r>
      <w:r w:rsidDel="00000000" w:rsidR="00000000" w:rsidRPr="00000000">
        <w:rPr>
          <w:rFonts w:ascii="Arial" w:cs="Arial" w:eastAsia="Arial" w:hAnsi="Arial"/>
          <w:rtl w:val="0"/>
        </w:rPr>
        <w:t xml:space="preserve">LYLES, T.; ÀS 14:58, M. E. C. P. 5 DE O. DE 2023.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Sony confirmou que ataque hacker invadiu dados de quase 7 mil funcionários e ex-funcionários. </w:t>
      </w:r>
      <w:r w:rsidDel="00000000" w:rsidR="00000000" w:rsidRPr="00000000">
        <w:rPr>
          <w:rFonts w:ascii="Arial" w:cs="Arial" w:eastAsia="Arial" w:hAnsi="Arial"/>
          <w:rtl w:val="0"/>
        </w:rPr>
        <w:t xml:space="preserve">Disponível em: &lt;https://br.ign.com/tech/114534/news/sony-confirmou-que-ataque-hacker-invadiu-dados-de-quase-7-mil-funcionarios-e-ex-funcionarios&gt;. Acesso em: 19 mar.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Hacker acessou dados de 77 milhões de usuários de PlayStation, diz Sony. </w:t>
      </w:r>
      <w:r w:rsidDel="00000000" w:rsidR="00000000" w:rsidRPr="00000000">
        <w:rPr>
          <w:rFonts w:ascii="Arial" w:cs="Arial" w:eastAsia="Arial" w:hAnsi="Arial"/>
          <w:rtl w:val="0"/>
        </w:rPr>
        <w:t xml:space="preserve">Disponível em: &lt;https://www.bbc.com/portuguese/noticias/2011/04/110427_sony_hacker_bg&gt;.Acesso em: 19 mar. 2024.</w:t>
      </w:r>
    </w:p>
    <w:p w:rsidR="00000000" w:rsidDel="00000000" w:rsidP="00000000" w:rsidRDefault="00000000" w:rsidRPr="00000000" w14:paraId="000000C2">
      <w:pPr>
        <w:spacing w:after="240" w:before="240" w:line="240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‌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“Hack do século”, caso Sony chama atenção para segurança de dados</w:t>
      </w:r>
      <w:r w:rsidDel="00000000" w:rsidR="00000000" w:rsidRPr="00000000">
        <w:rPr>
          <w:rFonts w:ascii="Arial" w:cs="Arial" w:eastAsia="Arial" w:hAnsi="Arial"/>
          <w:rtl w:val="0"/>
        </w:rPr>
        <w:t xml:space="preserve"> - Segurança e o mundo digital - Futuro Digital | Folha. Disponível em: &lt;https://temas.folha.uol.com.br/futuro-digital/seguranca-e-o-mundo-digital/hack-do-seculo-caso-sony-chama-atencao-para-seguranca-de-dados.shtml&gt;.Acesso em: 19 mar. 2024.</w:t>
      </w:r>
    </w:p>
    <w:p w:rsidR="00000000" w:rsidDel="00000000" w:rsidP="00000000" w:rsidRDefault="00000000" w:rsidRPr="00000000" w14:paraId="000000C3">
      <w:pPr>
        <w:spacing w:after="240" w:before="240" w:line="240" w:lineRule="auto"/>
        <w:ind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‌</w:t>
      </w:r>
    </w:p>
    <w:p w:rsidR="00000000" w:rsidDel="00000000" w:rsidP="00000000" w:rsidRDefault="00000000" w:rsidRPr="00000000" w14:paraId="000000C4">
      <w:pPr>
        <w:spacing w:after="240" w:before="240" w:line="240" w:lineRule="auto"/>
        <w:ind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="240" w:lineRule="auto"/>
        <w:ind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40" w:lineRule="auto"/>
        <w:ind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8" w:type="default"/>
      <w:type w:val="nextPage"/>
      <w:pgSz w:h="16838" w:w="11906" w:orient="portrait"/>
      <w:pgMar w:bottom="1134" w:top="1701" w:left="1701" w:right="1134" w:header="708" w:footer="708"/>
      <w:pgNumType w:start="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-903179</wp:posOffset>
          </wp:positionH>
          <wp:positionV relativeFrom="paragraph">
            <wp:posOffset>-202588</wp:posOffset>
          </wp:positionV>
          <wp:extent cx="1480992" cy="609689"/>
          <wp:effectExtent b="0" l="0" r="0" t="0"/>
          <wp:wrapNone/>
          <wp:docPr descr="Imagem de desenho animado&#10;&#10;Descrição gerada automaticamente com confiança média" id="1" name="image1.png"/>
          <a:graphic>
            <a:graphicData uri="http://schemas.openxmlformats.org/drawingml/2006/picture">
              <pic:pic>
                <pic:nvPicPr>
                  <pic:cNvPr descr="Imagem de desenho animado&#10;&#10;Descrição gerada automaticamente com confiança mé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80992" cy="60968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1423" w:hanging="360"/>
      </w:pPr>
      <w:rPr/>
    </w:lvl>
    <w:lvl w:ilvl="1">
      <w:start w:val="1"/>
      <w:numFmt w:val="decimal"/>
      <w:lvlText w:val="%1.%2"/>
      <w:lvlJc w:val="left"/>
      <w:pPr>
        <w:ind w:left="1423" w:hanging="360"/>
      </w:pPr>
      <w:rPr/>
    </w:lvl>
    <w:lvl w:ilvl="2">
      <w:start w:val="1"/>
      <w:numFmt w:val="decimal"/>
      <w:lvlText w:val="%1.%2.%3"/>
      <w:lvlJc w:val="left"/>
      <w:pPr>
        <w:ind w:left="1783" w:hanging="720"/>
      </w:pPr>
      <w:rPr/>
    </w:lvl>
    <w:lvl w:ilvl="3">
      <w:start w:val="1"/>
      <w:numFmt w:val="decimal"/>
      <w:lvlText w:val="%1.%2.%3.%4"/>
      <w:lvlJc w:val="left"/>
      <w:pPr>
        <w:ind w:left="1783" w:hanging="720"/>
      </w:pPr>
      <w:rPr/>
    </w:lvl>
    <w:lvl w:ilvl="4">
      <w:start w:val="1"/>
      <w:numFmt w:val="decimal"/>
      <w:lvlText w:val="%1.%2.%3.%4.%5"/>
      <w:lvlJc w:val="left"/>
      <w:pPr>
        <w:ind w:left="2143" w:hanging="1080"/>
      </w:pPr>
      <w:rPr/>
    </w:lvl>
    <w:lvl w:ilvl="5">
      <w:start w:val="1"/>
      <w:numFmt w:val="decimal"/>
      <w:lvlText w:val="%1.%2.%3.%4.%5.%6"/>
      <w:lvlJc w:val="left"/>
      <w:pPr>
        <w:ind w:left="2143" w:hanging="1080"/>
      </w:pPr>
      <w:rPr/>
    </w:lvl>
    <w:lvl w:ilvl="6">
      <w:start w:val="1"/>
      <w:numFmt w:val="decimal"/>
      <w:lvlText w:val="%1.%2.%3.%4.%5.%6.%7"/>
      <w:lvlJc w:val="left"/>
      <w:pPr>
        <w:ind w:left="2503" w:hanging="1440"/>
      </w:pPr>
      <w:rPr/>
    </w:lvl>
    <w:lvl w:ilvl="7">
      <w:start w:val="1"/>
      <w:numFmt w:val="decimal"/>
      <w:lvlText w:val="%1.%2.%3.%4.%5.%6.%7.%8"/>
      <w:lvlJc w:val="left"/>
      <w:pPr>
        <w:ind w:left="2503" w:hanging="1440"/>
      </w:pPr>
      <w:rPr/>
    </w:lvl>
    <w:lvl w:ilvl="8">
      <w:start w:val="1"/>
      <w:numFmt w:val="decimal"/>
      <w:lvlText w:val="%1.%2.%3.%4.%5.%6.%7.%8.%9"/>
      <w:lvlJc w:val="left"/>
      <w:pPr>
        <w:ind w:left="2863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