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B4E43" w14:textId="3F26454B" w:rsidR="00772455" w:rsidRPr="001E0EEB" w:rsidRDefault="0DDDBC3A" w:rsidP="35D72EAA">
      <w:pPr>
        <w:spacing w:line="360" w:lineRule="auto"/>
        <w:jc w:val="center"/>
        <w:rPr>
          <w:rFonts w:ascii="Arial" w:hAnsi="Arial" w:cs="Arial"/>
          <w:b/>
          <w:bCs/>
          <w:color w:val="005EB8"/>
          <w:sz w:val="36"/>
          <w:szCs w:val="36"/>
        </w:rPr>
      </w:pPr>
      <w:r w:rsidRPr="35D72EAA">
        <w:rPr>
          <w:rFonts w:ascii="Arial" w:hAnsi="Arial" w:cs="Arial"/>
          <w:b/>
          <w:bCs/>
          <w:color w:val="005EB8"/>
          <w:sz w:val="22"/>
          <w:szCs w:val="22"/>
        </w:rPr>
        <w:t xml:space="preserve"> </w:t>
      </w:r>
      <w:r w:rsidRPr="35D72EAA">
        <w:rPr>
          <w:rFonts w:ascii="Arial" w:hAnsi="Arial" w:cs="Arial"/>
          <w:b/>
          <w:bCs/>
          <w:color w:val="005EB8"/>
          <w:sz w:val="36"/>
          <w:szCs w:val="36"/>
        </w:rPr>
        <w:t>BaRS Reporting and Analytics</w:t>
      </w:r>
      <w:r w:rsidR="6ACE87C5" w:rsidRPr="35D72EAA">
        <w:rPr>
          <w:rFonts w:ascii="Arial" w:hAnsi="Arial" w:cs="Arial"/>
          <w:b/>
          <w:bCs/>
          <w:color w:val="005EB8"/>
          <w:sz w:val="36"/>
          <w:szCs w:val="36"/>
        </w:rPr>
        <w:t>:</w:t>
      </w:r>
      <w:r w:rsidRPr="35D72EAA">
        <w:rPr>
          <w:b/>
          <w:bCs/>
          <w:color w:val="005EB8"/>
          <w:sz w:val="36"/>
          <w:szCs w:val="36"/>
        </w:rPr>
        <w:t xml:space="preserve"> </w:t>
      </w:r>
      <w:r w:rsidR="2CA66BDA" w:rsidRPr="35D72EAA">
        <w:rPr>
          <w:b/>
          <w:bCs/>
          <w:color w:val="005EB8"/>
          <w:sz w:val="36"/>
          <w:szCs w:val="36"/>
        </w:rPr>
        <w:t>Strengthening Adoption, Utilisation and Benefits Reporting</w:t>
      </w:r>
    </w:p>
    <w:p w14:paraId="0116FAD9" w14:textId="286119F3" w:rsidR="001E0EEB" w:rsidRPr="001E0EEB" w:rsidRDefault="001E0EEB" w:rsidP="35D72EAA">
      <w:pPr>
        <w:spacing w:after="0" w:line="360" w:lineRule="auto"/>
      </w:pPr>
      <w:r w:rsidRPr="35D72EAA">
        <w:rPr>
          <w:rFonts w:ascii="Arial" w:eastAsia="Calibri" w:hAnsi="Arial" w:cs="Arial"/>
          <w:b/>
          <w:bCs/>
          <w:sz w:val="22"/>
          <w:szCs w:val="22"/>
        </w:rPr>
        <w:t>Paper for the DUEC Board</w:t>
      </w:r>
      <w:r w:rsidR="005E457C" w:rsidRPr="35D72EAA">
        <w:rPr>
          <w:rFonts w:ascii="Arial" w:eastAsia="Calibri" w:hAnsi="Arial" w:cs="Arial"/>
          <w:sz w:val="22"/>
          <w:szCs w:val="22"/>
        </w:rPr>
        <w:t>:</w:t>
      </w:r>
      <w:r w:rsidR="0ADE54E7" w:rsidRPr="35D72EAA">
        <w:rPr>
          <w:rFonts w:ascii="Arial" w:eastAsia="Calibri" w:hAnsi="Arial" w:cs="Arial"/>
          <w:sz w:val="22"/>
          <w:szCs w:val="22"/>
        </w:rPr>
        <w:t xml:space="preserve"> </w:t>
      </w:r>
      <w:r w:rsidR="0ADE54E7" w:rsidRPr="35D72EAA">
        <w:rPr>
          <w:rFonts w:ascii="Arial" w:eastAsia="Arial" w:hAnsi="Arial" w:cs="Arial"/>
          <w:sz w:val="24"/>
          <w:szCs w:val="24"/>
        </w:rPr>
        <w:t>Seeking agreement on the problem statement, strategic direction and next steps</w:t>
      </w:r>
    </w:p>
    <w:p w14:paraId="501B8961" w14:textId="3DB3C094" w:rsidR="001E0EEB" w:rsidRPr="001E0EEB" w:rsidRDefault="001E0EEB" w:rsidP="35D72EAA">
      <w:pPr>
        <w:spacing w:after="20" w:line="360" w:lineRule="auto"/>
        <w:rPr>
          <w:rFonts w:ascii="Arial" w:eastAsia="Calibri" w:hAnsi="Arial" w:cs="Arial"/>
          <w:sz w:val="22"/>
          <w:szCs w:val="22"/>
        </w:rPr>
      </w:pPr>
    </w:p>
    <w:p w14:paraId="08E4E46B" w14:textId="6627823D" w:rsidR="001E0EEB" w:rsidRPr="001E0EEB" w:rsidRDefault="001E0EEB" w:rsidP="001E0EEB">
      <w:pPr>
        <w:spacing w:after="200" w:line="360" w:lineRule="auto"/>
        <w:rPr>
          <w:rFonts w:ascii="Arial" w:hAnsi="Arial" w:cs="Arial"/>
          <w:sz w:val="22"/>
          <w:szCs w:val="22"/>
        </w:rPr>
      </w:pPr>
      <w:r w:rsidRPr="00E67B94">
        <w:rPr>
          <w:rFonts w:ascii="Arial" w:eastAsia="Calibri" w:hAnsi="Arial" w:cs="Arial"/>
          <w:b/>
          <w:bCs/>
          <w:sz w:val="22"/>
          <w:szCs w:val="22"/>
        </w:rPr>
        <w:t>Author</w:t>
      </w:r>
      <w:r w:rsidRPr="001E0EEB">
        <w:rPr>
          <w:rFonts w:ascii="Arial" w:eastAsia="Calibri" w:hAnsi="Arial" w:cs="Arial"/>
          <w:sz w:val="22"/>
          <w:szCs w:val="22"/>
        </w:rPr>
        <w:t xml:space="preserve">: Goitom Hadgu      </w:t>
      </w:r>
      <w:commentRangeStart w:id="0"/>
      <w:r w:rsidRPr="00E67B94">
        <w:rPr>
          <w:rFonts w:ascii="Arial" w:eastAsia="Calibri" w:hAnsi="Arial" w:cs="Arial"/>
          <w:b/>
          <w:bCs/>
          <w:sz w:val="22"/>
          <w:szCs w:val="22"/>
        </w:rPr>
        <w:t>Sponsor</w:t>
      </w:r>
      <w:r>
        <w:rPr>
          <w:rFonts w:ascii="Arial" w:eastAsia="Calibri" w:hAnsi="Arial" w:cs="Arial"/>
          <w:sz w:val="22"/>
          <w:szCs w:val="22"/>
        </w:rPr>
        <w:t>: Jacqui J</w:t>
      </w:r>
      <w:r w:rsidR="00DF259F">
        <w:rPr>
          <w:rFonts w:ascii="Arial" w:eastAsia="Calibri" w:hAnsi="Arial" w:cs="Arial"/>
          <w:sz w:val="22"/>
          <w:szCs w:val="22"/>
        </w:rPr>
        <w:t>edr</w:t>
      </w:r>
      <w:r w:rsidR="00C76C9E">
        <w:rPr>
          <w:rFonts w:ascii="Arial" w:eastAsia="Calibri" w:hAnsi="Arial" w:cs="Arial"/>
          <w:sz w:val="22"/>
          <w:szCs w:val="22"/>
        </w:rPr>
        <w:t>zej</w:t>
      </w:r>
      <w:r w:rsidR="003376D4">
        <w:rPr>
          <w:rFonts w:ascii="Arial" w:eastAsia="Calibri" w:hAnsi="Arial" w:cs="Arial"/>
          <w:sz w:val="22"/>
          <w:szCs w:val="22"/>
        </w:rPr>
        <w:t>ewski</w:t>
      </w:r>
      <w:r>
        <w:rPr>
          <w:rFonts w:ascii="Arial" w:eastAsia="Calibri" w:hAnsi="Arial" w:cs="Arial"/>
          <w:sz w:val="22"/>
          <w:szCs w:val="22"/>
        </w:rPr>
        <w:t xml:space="preserve">      </w:t>
      </w:r>
      <w:commentRangeEnd w:id="0"/>
      <w:r w:rsidR="004848CB" w:rsidRPr="00E67B94">
        <w:rPr>
          <w:rStyle w:val="CommentReference"/>
          <w:rFonts w:ascii="Arial" w:eastAsia="Calibri" w:hAnsi="Arial" w:cs="Arial"/>
          <w:b/>
          <w:bCs/>
          <w:sz w:val="22"/>
          <w:szCs w:val="22"/>
        </w:rPr>
        <w:commentReference w:id="0"/>
      </w:r>
      <w:r w:rsidRPr="00E67B94">
        <w:rPr>
          <w:rFonts w:ascii="Arial" w:eastAsia="Calibri" w:hAnsi="Arial" w:cs="Arial"/>
          <w:b/>
          <w:bCs/>
          <w:sz w:val="22"/>
          <w:szCs w:val="22"/>
        </w:rPr>
        <w:t>Date</w:t>
      </w:r>
      <w:r w:rsidRPr="001E0EEB">
        <w:rPr>
          <w:rFonts w:ascii="Arial" w:eastAsia="Calibri" w:hAnsi="Arial" w:cs="Arial"/>
          <w:sz w:val="22"/>
          <w:szCs w:val="22"/>
        </w:rPr>
        <w:t xml:space="preserve">: </w:t>
      </w:r>
      <w:r w:rsidR="00DB6813">
        <w:rPr>
          <w:rFonts w:ascii="Arial" w:eastAsia="Calibri" w:hAnsi="Arial" w:cs="Arial"/>
          <w:sz w:val="22"/>
          <w:szCs w:val="22"/>
        </w:rPr>
        <w:t xml:space="preserve">27 </w:t>
      </w:r>
      <w:r>
        <w:rPr>
          <w:rFonts w:ascii="Arial" w:eastAsia="Calibri" w:hAnsi="Arial" w:cs="Arial"/>
          <w:sz w:val="22"/>
          <w:szCs w:val="22"/>
        </w:rPr>
        <w:t>July</w:t>
      </w:r>
      <w:r w:rsidRPr="001E0EEB">
        <w:rPr>
          <w:rFonts w:ascii="Arial" w:eastAsia="Calibri" w:hAnsi="Arial" w:cs="Arial"/>
          <w:sz w:val="22"/>
          <w:szCs w:val="22"/>
        </w:rPr>
        <w:t xml:space="preserve"> 2026      </w:t>
      </w:r>
    </w:p>
    <w:p w14:paraId="3B2432A1" w14:textId="3AA8B905" w:rsidR="002C4644" w:rsidRPr="005C04F4" w:rsidRDefault="00C74DC5" w:rsidP="005C04F4">
      <w:pPr>
        <w:pStyle w:val="Heading1"/>
        <w:spacing w:line="360" w:lineRule="auto"/>
        <w:rPr>
          <w:rFonts w:ascii="Arial" w:hAnsi="Arial" w:cs="Arial"/>
        </w:rPr>
      </w:pPr>
      <w:r w:rsidRPr="005C04F4">
        <w:rPr>
          <w:rFonts w:ascii="Arial" w:hAnsi="Arial" w:cs="Arial"/>
        </w:rPr>
        <w:t>W</w:t>
      </w:r>
      <w:r w:rsidR="00A609B6" w:rsidRPr="005C04F4">
        <w:rPr>
          <w:rFonts w:ascii="Arial" w:hAnsi="Arial" w:cs="Arial"/>
        </w:rPr>
        <w:t xml:space="preserve">hat the </w:t>
      </w:r>
      <w:r w:rsidR="009A7EED" w:rsidRPr="005C04F4">
        <w:rPr>
          <w:rFonts w:ascii="Arial" w:hAnsi="Arial" w:cs="Arial"/>
        </w:rPr>
        <w:t>Board</w:t>
      </w:r>
      <w:r w:rsidR="001E0FAD" w:rsidRPr="005C04F4">
        <w:rPr>
          <w:rFonts w:ascii="Arial" w:hAnsi="Arial" w:cs="Arial"/>
        </w:rPr>
        <w:t xml:space="preserve"> </w:t>
      </w:r>
      <w:r w:rsidR="00B91F5E" w:rsidRPr="005C04F4">
        <w:rPr>
          <w:rFonts w:ascii="Arial" w:hAnsi="Arial" w:cs="Arial"/>
        </w:rPr>
        <w:t>is bei</w:t>
      </w:r>
      <w:r w:rsidR="00B8494A" w:rsidRPr="005C04F4">
        <w:rPr>
          <w:rFonts w:ascii="Arial" w:hAnsi="Arial" w:cs="Arial"/>
        </w:rPr>
        <w:t>ng asked t</w:t>
      </w:r>
      <w:r w:rsidR="00FB470F" w:rsidRPr="005C04F4">
        <w:rPr>
          <w:rFonts w:ascii="Arial" w:hAnsi="Arial" w:cs="Arial"/>
        </w:rPr>
        <w:t>o a</w:t>
      </w:r>
      <w:r w:rsidR="00BE049E" w:rsidRPr="005C04F4">
        <w:rPr>
          <w:rFonts w:ascii="Arial" w:hAnsi="Arial" w:cs="Arial"/>
        </w:rPr>
        <w:t>gree</w:t>
      </w:r>
    </w:p>
    <w:p w14:paraId="3DA38F18" w14:textId="77777777" w:rsidR="002929D8" w:rsidRPr="005C04F4" w:rsidRDefault="002929D8" w:rsidP="005C04F4">
      <w:pPr>
        <w:spacing w:before="100" w:after="60" w:line="360" w:lineRule="auto"/>
        <w:rPr>
          <w:rFonts w:ascii="Arial" w:hAnsi="Arial" w:cs="Arial"/>
          <w:sz w:val="22"/>
          <w:szCs w:val="22"/>
        </w:rPr>
      </w:pPr>
      <w:r w:rsidRPr="005C04F4">
        <w:rPr>
          <w:rFonts w:ascii="Arial" w:eastAsia="Calibri" w:hAnsi="Arial" w:cs="Arial"/>
          <w:color w:val="1A1A1A"/>
          <w:sz w:val="22"/>
          <w:szCs w:val="22"/>
        </w:rPr>
        <w:t>The Board is not being asked to approve a new version of BaRS. It is being asked to agree three things:</w:t>
      </w:r>
    </w:p>
    <w:p w14:paraId="46B55E37" w14:textId="15D47C8E" w:rsidR="002929D8" w:rsidRPr="005C04F4" w:rsidRDefault="002929D8" w:rsidP="005C04F4">
      <w:pPr>
        <w:pStyle w:val="ListParagraph"/>
        <w:numPr>
          <w:ilvl w:val="0"/>
          <w:numId w:val="24"/>
        </w:numPr>
        <w:spacing w:after="100" w:line="360" w:lineRule="auto"/>
        <w:contextualSpacing w:val="0"/>
        <w:rPr>
          <w:rFonts w:ascii="Arial" w:hAnsi="Arial" w:cs="Arial"/>
          <w:sz w:val="22"/>
          <w:szCs w:val="22"/>
        </w:rPr>
      </w:pPr>
      <w:r w:rsidRPr="005C04F4">
        <w:rPr>
          <w:rFonts w:ascii="Arial" w:eastAsia="Calibri" w:hAnsi="Arial" w:cs="Arial"/>
          <w:b/>
          <w:bCs/>
          <w:color w:val="1A1A1A"/>
          <w:sz w:val="22"/>
          <w:szCs w:val="22"/>
        </w:rPr>
        <w:t xml:space="preserve">The problem. </w:t>
      </w:r>
      <w:r w:rsidRPr="005C04F4">
        <w:rPr>
          <w:rFonts w:ascii="Arial" w:eastAsia="Calibri" w:hAnsi="Arial" w:cs="Arial"/>
          <w:color w:val="1A1A1A"/>
          <w:sz w:val="22"/>
          <w:szCs w:val="22"/>
        </w:rPr>
        <w:t xml:space="preserve">BaRS cannot currently evidence how much it is being used or the benefit it </w:t>
      </w:r>
      <w:r w:rsidRPr="008B3921">
        <w:rPr>
          <w:rFonts w:ascii="Arial" w:eastAsia="Calibri" w:hAnsi="Arial" w:cs="Arial"/>
          <w:sz w:val="22"/>
          <w:szCs w:val="22"/>
        </w:rPr>
        <w:t>delivers, because the transaction model does not capture the business information re</w:t>
      </w:r>
      <w:r w:rsidR="008B3921" w:rsidRPr="008B3921">
        <w:rPr>
          <w:rFonts w:ascii="Arial" w:eastAsia="Calibri" w:hAnsi="Arial" w:cs="Arial"/>
          <w:sz w:val="22"/>
          <w:szCs w:val="22"/>
        </w:rPr>
        <w:t>quired to</w:t>
      </w:r>
      <w:r w:rsidR="001B0FA9" w:rsidRPr="008B3921">
        <w:rPr>
          <w:rFonts w:ascii="Arial" w:hAnsi="Arial" w:cs="Arial"/>
          <w:sz w:val="22"/>
          <w:szCs w:val="22"/>
        </w:rPr>
        <w:t xml:space="preserve"> support credible, repeatable benefits reporting.</w:t>
      </w:r>
    </w:p>
    <w:p w14:paraId="36EC3D4C" w14:textId="2786EFA4" w:rsidR="002929D8" w:rsidRPr="005C04F4" w:rsidRDefault="002929D8" w:rsidP="005C04F4">
      <w:pPr>
        <w:pStyle w:val="ListParagraph"/>
        <w:numPr>
          <w:ilvl w:val="0"/>
          <w:numId w:val="24"/>
        </w:numPr>
        <w:spacing w:after="100" w:line="360" w:lineRule="auto"/>
        <w:contextualSpacing w:val="0"/>
        <w:rPr>
          <w:rFonts w:ascii="Arial" w:hAnsi="Arial" w:cs="Arial"/>
          <w:sz w:val="22"/>
          <w:szCs w:val="22"/>
        </w:rPr>
      </w:pPr>
      <w:r w:rsidRPr="005C04F4">
        <w:rPr>
          <w:rFonts w:ascii="Arial" w:eastAsia="Calibri" w:hAnsi="Arial" w:cs="Arial"/>
          <w:b/>
          <w:bCs/>
          <w:color w:val="1A1A1A"/>
          <w:sz w:val="22"/>
          <w:szCs w:val="22"/>
        </w:rPr>
        <w:t xml:space="preserve">The principle. </w:t>
      </w:r>
      <w:r w:rsidRPr="005C04F4">
        <w:rPr>
          <w:rFonts w:ascii="Arial" w:eastAsia="Calibri" w:hAnsi="Arial" w:cs="Arial"/>
          <w:color w:val="1A1A1A"/>
          <w:sz w:val="22"/>
          <w:szCs w:val="22"/>
        </w:rPr>
        <w:t xml:space="preserve">This information should be captured at source, by design, rather than reconstructed after the fact. </w:t>
      </w:r>
    </w:p>
    <w:p w14:paraId="1FF853DE" w14:textId="0E0800C0" w:rsidR="002929D8" w:rsidRPr="005C04F4" w:rsidRDefault="002929D8" w:rsidP="005C04F4">
      <w:pPr>
        <w:pStyle w:val="ListParagraph"/>
        <w:numPr>
          <w:ilvl w:val="0"/>
          <w:numId w:val="24"/>
        </w:numPr>
        <w:spacing w:after="100" w:line="360" w:lineRule="auto"/>
        <w:contextualSpacing w:val="0"/>
        <w:rPr>
          <w:rFonts w:ascii="Arial" w:hAnsi="Arial" w:cs="Arial"/>
          <w:sz w:val="22"/>
          <w:szCs w:val="22"/>
        </w:rPr>
      </w:pPr>
      <w:r w:rsidRPr="005C04F4">
        <w:rPr>
          <w:rFonts w:ascii="Arial" w:eastAsia="Calibri" w:hAnsi="Arial" w:cs="Arial"/>
          <w:b/>
          <w:bCs/>
          <w:color w:val="1A1A1A"/>
          <w:sz w:val="22"/>
          <w:szCs w:val="22"/>
        </w:rPr>
        <w:t xml:space="preserve">The direction of travel. </w:t>
      </w:r>
      <w:r w:rsidRPr="005C04F4">
        <w:rPr>
          <w:rFonts w:ascii="Arial" w:eastAsia="Calibri" w:hAnsi="Arial" w:cs="Arial"/>
          <w:color w:val="1A1A1A"/>
          <w:sz w:val="22"/>
          <w:szCs w:val="22"/>
        </w:rPr>
        <w:t xml:space="preserve">Structured reporting information </w:t>
      </w:r>
      <w:r w:rsidR="00D8564D">
        <w:rPr>
          <w:rFonts w:ascii="Arial" w:eastAsia="Calibri" w:hAnsi="Arial" w:cs="Arial"/>
          <w:color w:val="1A1A1A"/>
          <w:sz w:val="22"/>
          <w:szCs w:val="22"/>
        </w:rPr>
        <w:t xml:space="preserve">/ metadata </w:t>
      </w:r>
      <w:r w:rsidRPr="005C04F4">
        <w:rPr>
          <w:rFonts w:ascii="Arial" w:eastAsia="Calibri" w:hAnsi="Arial" w:cs="Arial"/>
          <w:color w:val="1A1A1A"/>
          <w:sz w:val="22"/>
          <w:szCs w:val="22"/>
        </w:rPr>
        <w:t>should be built into future BaRS releases, with a short piece of technical work to confirm what genuinely needs a specification change</w:t>
      </w:r>
      <w:r w:rsidR="00D8564D">
        <w:rPr>
          <w:rFonts w:ascii="Arial" w:eastAsia="Calibri" w:hAnsi="Arial" w:cs="Arial"/>
          <w:color w:val="1A1A1A"/>
          <w:sz w:val="22"/>
          <w:szCs w:val="22"/>
        </w:rPr>
        <w:t>.</w:t>
      </w:r>
    </w:p>
    <w:p w14:paraId="19DDEB57" w14:textId="2BCE746E" w:rsidR="00A37C86" w:rsidRDefault="00654F81" w:rsidP="005C04F4">
      <w:pPr>
        <w:pBdr>
          <w:bottom w:val="single" w:sz="12" w:space="1" w:color="auto"/>
        </w:pBdr>
        <w:spacing w:before="60" w:after="160" w:line="360" w:lineRule="auto"/>
        <w:rPr>
          <w:rFonts w:ascii="Arial" w:eastAsia="Calibri" w:hAnsi="Arial" w:cs="Arial"/>
          <w:i/>
          <w:iCs/>
          <w:color w:val="000000" w:themeColor="text1"/>
          <w:sz w:val="22"/>
          <w:szCs w:val="22"/>
        </w:rPr>
      </w:pPr>
      <w:r>
        <w:rPr>
          <w:rFonts w:ascii="Arial" w:eastAsia="Calibri" w:hAnsi="Arial" w:cs="Arial"/>
          <w:i/>
          <w:iCs/>
          <w:color w:val="000000" w:themeColor="text1"/>
          <w:sz w:val="22"/>
          <w:szCs w:val="22"/>
        </w:rPr>
        <w:t xml:space="preserve">This all </w:t>
      </w:r>
      <w:r w:rsidR="002929D8" w:rsidRPr="005C04F4">
        <w:rPr>
          <w:rFonts w:ascii="Arial" w:eastAsia="Calibri" w:hAnsi="Arial" w:cs="Arial"/>
          <w:i/>
          <w:iCs/>
          <w:color w:val="000000" w:themeColor="text1"/>
          <w:sz w:val="22"/>
          <w:szCs w:val="22"/>
        </w:rPr>
        <w:t>sits within the existing FHIR framework</w:t>
      </w:r>
      <w:r w:rsidR="004D76A2">
        <w:rPr>
          <w:rFonts w:ascii="Arial" w:eastAsia="Calibri" w:hAnsi="Arial" w:cs="Arial"/>
          <w:i/>
          <w:iCs/>
          <w:color w:val="000000" w:themeColor="text1"/>
          <w:sz w:val="22"/>
          <w:szCs w:val="22"/>
        </w:rPr>
        <w:t xml:space="preserve"> and standards</w:t>
      </w:r>
      <w:r w:rsidR="002929D8" w:rsidRPr="005C04F4">
        <w:rPr>
          <w:rFonts w:ascii="Arial" w:eastAsia="Calibri" w:hAnsi="Arial" w:cs="Arial"/>
          <w:i/>
          <w:iCs/>
          <w:color w:val="000000" w:themeColor="text1"/>
          <w:sz w:val="22"/>
          <w:szCs w:val="22"/>
        </w:rPr>
        <w:t>. Nothing proposed here would take BaRS out of FHIR compliance.</w:t>
      </w:r>
      <w:r w:rsidR="00781913">
        <w:rPr>
          <w:rFonts w:ascii="Arial" w:eastAsia="Calibri" w:hAnsi="Arial" w:cs="Arial"/>
          <w:i/>
          <w:iCs/>
          <w:color w:val="000000" w:themeColor="text1"/>
          <w:sz w:val="22"/>
          <w:szCs w:val="22"/>
        </w:rPr>
        <w:t xml:space="preserve"> </w:t>
      </w:r>
      <w:r w:rsidR="00781913" w:rsidRPr="00781913">
        <w:rPr>
          <w:rFonts w:ascii="Arial" w:eastAsia="Calibri" w:hAnsi="Arial" w:cs="Arial"/>
          <w:i/>
          <w:iCs/>
          <w:color w:val="000000" w:themeColor="text1"/>
          <w:sz w:val="22"/>
          <w:szCs w:val="22"/>
        </w:rPr>
        <w:t>These are data capture asks within the existing FHIR framework, not requests to change the underlying technical architecture.</w:t>
      </w:r>
      <w:r w:rsidR="00781913">
        <w:rPr>
          <w:rFonts w:ascii="Arial" w:eastAsia="Calibri" w:hAnsi="Arial" w:cs="Arial"/>
          <w:i/>
          <w:iCs/>
          <w:color w:val="000000" w:themeColor="text1"/>
          <w:sz w:val="22"/>
          <w:szCs w:val="22"/>
        </w:rPr>
        <w:t xml:space="preserve"> </w:t>
      </w:r>
      <w:r w:rsidR="002929D8" w:rsidRPr="005C04F4">
        <w:rPr>
          <w:rFonts w:ascii="Arial" w:eastAsia="Calibri" w:hAnsi="Arial" w:cs="Arial"/>
          <w:i/>
          <w:iCs/>
          <w:color w:val="000000" w:themeColor="text1"/>
          <w:sz w:val="22"/>
          <w:szCs w:val="22"/>
        </w:rPr>
        <w:t xml:space="preserve">Detail on the specific fields, priorities and effort </w:t>
      </w:r>
      <w:r w:rsidR="00255D8A">
        <w:rPr>
          <w:rFonts w:ascii="Arial" w:eastAsia="Calibri" w:hAnsi="Arial" w:cs="Arial"/>
          <w:i/>
          <w:iCs/>
          <w:color w:val="000000" w:themeColor="text1"/>
          <w:sz w:val="22"/>
          <w:szCs w:val="22"/>
        </w:rPr>
        <w:t xml:space="preserve">estimate </w:t>
      </w:r>
      <w:r w:rsidR="002929D8" w:rsidRPr="005C04F4">
        <w:rPr>
          <w:rFonts w:ascii="Arial" w:eastAsia="Calibri" w:hAnsi="Arial" w:cs="Arial"/>
          <w:i/>
          <w:iCs/>
          <w:color w:val="000000" w:themeColor="text1"/>
          <w:sz w:val="22"/>
          <w:szCs w:val="22"/>
        </w:rPr>
        <w:t xml:space="preserve">is </w:t>
      </w:r>
      <w:r w:rsidR="00255D8A">
        <w:rPr>
          <w:rFonts w:ascii="Arial" w:eastAsia="Calibri" w:hAnsi="Arial" w:cs="Arial"/>
          <w:i/>
          <w:iCs/>
          <w:color w:val="000000" w:themeColor="text1"/>
          <w:sz w:val="22"/>
          <w:szCs w:val="22"/>
        </w:rPr>
        <w:t xml:space="preserve">in </w:t>
      </w:r>
      <w:r w:rsidR="002929D8" w:rsidRPr="005C04F4">
        <w:rPr>
          <w:rFonts w:ascii="Arial" w:eastAsia="Calibri" w:hAnsi="Arial" w:cs="Arial"/>
          <w:i/>
          <w:iCs/>
          <w:color w:val="000000" w:themeColor="text1"/>
          <w:sz w:val="22"/>
          <w:szCs w:val="22"/>
        </w:rPr>
        <w:t>Annex A.</w:t>
      </w:r>
    </w:p>
    <w:p w14:paraId="4F6785E9" w14:textId="77777777" w:rsidR="001B0FA9" w:rsidRPr="005C04F4" w:rsidRDefault="001B0FA9" w:rsidP="005C04F4">
      <w:pPr>
        <w:pBdr>
          <w:bottom w:val="single" w:sz="12" w:space="1" w:color="auto"/>
        </w:pBdr>
        <w:spacing w:before="60" w:after="160" w:line="360" w:lineRule="auto"/>
        <w:rPr>
          <w:rFonts w:ascii="Arial" w:eastAsia="Calibri" w:hAnsi="Arial" w:cs="Arial"/>
          <w:i/>
          <w:iCs/>
          <w:color w:val="000000" w:themeColor="text1"/>
          <w:sz w:val="22"/>
          <w:szCs w:val="22"/>
        </w:rPr>
      </w:pPr>
    </w:p>
    <w:p w14:paraId="22E5288C" w14:textId="75CECA4E" w:rsidR="00693226" w:rsidRPr="005C04F4" w:rsidRDefault="008D4936" w:rsidP="005C04F4">
      <w:pPr>
        <w:pStyle w:val="Heading1"/>
        <w:spacing w:line="360" w:lineRule="auto"/>
        <w:rPr>
          <w:rFonts w:ascii="Arial" w:hAnsi="Arial" w:cs="Arial"/>
          <w:b/>
          <w:bCs/>
          <w:color w:val="005EB8"/>
        </w:rPr>
      </w:pPr>
      <w:r w:rsidRPr="005C04F4">
        <w:rPr>
          <w:rFonts w:ascii="Arial" w:hAnsi="Arial" w:cs="Arial"/>
        </w:rPr>
        <w:t>Executive Summary </w:t>
      </w:r>
    </w:p>
    <w:p w14:paraId="071037AD" w14:textId="36E530E1" w:rsidR="006A7836" w:rsidRPr="005C04F4" w:rsidRDefault="006A7836" w:rsidP="005C04F4">
      <w:pPr>
        <w:spacing w:after="140" w:line="360" w:lineRule="auto"/>
        <w:rPr>
          <w:rFonts w:ascii="Arial" w:hAnsi="Arial" w:cs="Arial"/>
          <w:sz w:val="22"/>
          <w:szCs w:val="22"/>
        </w:rPr>
      </w:pPr>
      <w:r w:rsidRPr="005C04F4">
        <w:rPr>
          <w:rFonts w:ascii="Arial" w:eastAsia="Calibri" w:hAnsi="Arial" w:cs="Arial"/>
          <w:color w:val="1A1A1A"/>
          <w:sz w:val="22"/>
          <w:szCs w:val="22"/>
        </w:rPr>
        <w:t>BaRS is becoming the national standard for digital booking and referral across Urgent and Emergency Care</w:t>
      </w:r>
      <w:r w:rsidR="005750BC">
        <w:rPr>
          <w:rFonts w:ascii="Arial" w:eastAsia="Calibri" w:hAnsi="Arial" w:cs="Arial"/>
          <w:color w:val="1A1A1A"/>
          <w:sz w:val="22"/>
          <w:szCs w:val="22"/>
        </w:rPr>
        <w:t xml:space="preserve"> (UEC)</w:t>
      </w:r>
      <w:r w:rsidRPr="005C04F4">
        <w:rPr>
          <w:rFonts w:ascii="Arial" w:eastAsia="Calibri" w:hAnsi="Arial" w:cs="Arial"/>
          <w:color w:val="1A1A1A"/>
          <w:sz w:val="22"/>
          <w:szCs w:val="22"/>
        </w:rPr>
        <w:t>. As it does, the programme is expected to demonstrate how many patients are being referred and booked through it, which providers and services are using it, and how adoption and benefit are growing at provider, regional and national level.</w:t>
      </w:r>
    </w:p>
    <w:p w14:paraId="14348F0A" w14:textId="41AADE34" w:rsidR="006A7836" w:rsidRPr="005C04F4" w:rsidRDefault="006A7836" w:rsidP="005C04F4">
      <w:pPr>
        <w:spacing w:after="140" w:line="360" w:lineRule="auto"/>
        <w:rPr>
          <w:rFonts w:ascii="Arial" w:hAnsi="Arial" w:cs="Arial"/>
          <w:sz w:val="22"/>
          <w:szCs w:val="22"/>
        </w:rPr>
      </w:pPr>
      <w:r w:rsidRPr="005C04F4">
        <w:rPr>
          <w:rFonts w:ascii="Arial" w:eastAsia="Calibri" w:hAnsi="Arial" w:cs="Arial"/>
          <w:color w:val="1A1A1A"/>
          <w:sz w:val="22"/>
          <w:szCs w:val="22"/>
        </w:rPr>
        <w:t>At present we cannot answer those questions with confidence. The issue is not the reporting platform</w:t>
      </w:r>
      <w:r w:rsidR="00555FD7">
        <w:rPr>
          <w:rFonts w:ascii="Arial" w:eastAsia="Calibri" w:hAnsi="Arial" w:cs="Arial"/>
          <w:color w:val="1A1A1A"/>
          <w:sz w:val="22"/>
          <w:szCs w:val="22"/>
        </w:rPr>
        <w:t xml:space="preserve"> (</w:t>
      </w:r>
      <w:r w:rsidR="00CE0EA5">
        <w:rPr>
          <w:rFonts w:ascii="Arial" w:eastAsia="Calibri" w:hAnsi="Arial" w:cs="Arial"/>
          <w:color w:val="1A1A1A"/>
          <w:sz w:val="22"/>
          <w:szCs w:val="22"/>
        </w:rPr>
        <w:t>i.e. S</w:t>
      </w:r>
      <w:r w:rsidR="00555FD7">
        <w:rPr>
          <w:rFonts w:ascii="Arial" w:eastAsia="Calibri" w:hAnsi="Arial" w:cs="Arial"/>
          <w:color w:val="1A1A1A"/>
          <w:sz w:val="22"/>
          <w:szCs w:val="22"/>
        </w:rPr>
        <w:t>plunk)</w:t>
      </w:r>
      <w:r w:rsidRPr="005C04F4">
        <w:rPr>
          <w:rFonts w:ascii="Arial" w:eastAsia="Calibri" w:hAnsi="Arial" w:cs="Arial"/>
          <w:color w:val="1A1A1A"/>
          <w:sz w:val="22"/>
          <w:szCs w:val="22"/>
        </w:rPr>
        <w:t xml:space="preserve">. It is that the BaRS transaction model does not consistently capture the business information that adoption and benefit reporting depend on. Splunk, the platform we use today, was only ever </w:t>
      </w:r>
      <w:r w:rsidR="00975F6A">
        <w:rPr>
          <w:rFonts w:ascii="Arial" w:eastAsia="Calibri" w:hAnsi="Arial" w:cs="Arial"/>
          <w:color w:val="1A1A1A"/>
          <w:sz w:val="22"/>
          <w:szCs w:val="22"/>
        </w:rPr>
        <w:t>developed</w:t>
      </w:r>
      <w:r w:rsidR="00975F6A" w:rsidRPr="005C04F4">
        <w:rPr>
          <w:rFonts w:ascii="Arial" w:eastAsia="Calibri" w:hAnsi="Arial" w:cs="Arial"/>
          <w:color w:val="1A1A1A"/>
          <w:sz w:val="22"/>
          <w:szCs w:val="22"/>
        </w:rPr>
        <w:t xml:space="preserve"> </w:t>
      </w:r>
      <w:r w:rsidRPr="005C04F4">
        <w:rPr>
          <w:rFonts w:ascii="Arial" w:eastAsia="Calibri" w:hAnsi="Arial" w:cs="Arial"/>
          <w:color w:val="1A1A1A"/>
          <w:sz w:val="22"/>
          <w:szCs w:val="22"/>
        </w:rPr>
        <w:t>to monitor traffic volume on the API proxy. It was never designed to hold this level of detail, and NHS England is in any case moving away from it.</w:t>
      </w:r>
    </w:p>
    <w:p w14:paraId="3F602609" w14:textId="77777777" w:rsidR="006A7836" w:rsidRPr="005C04F4" w:rsidRDefault="006A7836" w:rsidP="005C04F4">
      <w:pPr>
        <w:spacing w:after="140" w:line="360" w:lineRule="auto"/>
        <w:rPr>
          <w:rFonts w:ascii="Arial" w:hAnsi="Arial" w:cs="Arial"/>
          <w:sz w:val="22"/>
          <w:szCs w:val="22"/>
        </w:rPr>
      </w:pPr>
      <w:r w:rsidRPr="005C04F4">
        <w:rPr>
          <w:rFonts w:ascii="Arial" w:eastAsia="Calibri" w:hAnsi="Arial" w:cs="Arial"/>
          <w:color w:val="1A1A1A"/>
          <w:sz w:val="22"/>
          <w:szCs w:val="22"/>
        </w:rPr>
        <w:t>The consequence is that the programme is left evidencing technical activity, the number of messages passing through, rather than operational benefit. We can see that traffic is flowing. We cannot reliably say whether a transaction was a referral, an update or a cancellation, which use case it belonged to, or which Trust or service was at each end. For every application except GP to Pharmacy, the data is too ambiguous to build a credible benefits case.</w:t>
      </w:r>
    </w:p>
    <w:p w14:paraId="669FF1F9" w14:textId="77777777" w:rsidR="006A7836" w:rsidRPr="005C04F4" w:rsidRDefault="006A7836" w:rsidP="005C04F4">
      <w:pPr>
        <w:pBdr>
          <w:bottom w:val="single" w:sz="12" w:space="1" w:color="auto"/>
        </w:pBdr>
        <w:spacing w:after="140" w:line="360" w:lineRule="auto"/>
        <w:rPr>
          <w:rFonts w:ascii="Arial" w:eastAsia="Calibri" w:hAnsi="Arial" w:cs="Arial"/>
          <w:color w:val="1A1A1A"/>
          <w:sz w:val="22"/>
          <w:szCs w:val="22"/>
        </w:rPr>
      </w:pPr>
      <w:r w:rsidRPr="005C04F4">
        <w:rPr>
          <w:rFonts w:ascii="Arial" w:eastAsia="Calibri" w:hAnsi="Arial" w:cs="Arial"/>
          <w:color w:val="1A1A1A"/>
          <w:sz w:val="22"/>
          <w:szCs w:val="22"/>
        </w:rPr>
        <w:t>This paper sets out the gap, proposes the reporting the programme needs, and asks the Board to agree the problem, the principle of capturing this information at source, and the direction of travel. Capturing it by design is what will let the programme move from reporting technical activity to evidencing measurable benefit for patients, providers and the NHS.</w:t>
      </w:r>
    </w:p>
    <w:p w14:paraId="6C2B23F3" w14:textId="77777777" w:rsidR="00A37C86" w:rsidRPr="005C04F4" w:rsidRDefault="00A37C86" w:rsidP="005C04F4">
      <w:pPr>
        <w:pBdr>
          <w:bottom w:val="single" w:sz="12" w:space="1" w:color="auto"/>
        </w:pBdr>
        <w:spacing w:after="140" w:line="360" w:lineRule="auto"/>
        <w:rPr>
          <w:rFonts w:ascii="Arial" w:eastAsia="Calibri" w:hAnsi="Arial" w:cs="Arial"/>
          <w:color w:val="1A1A1A"/>
          <w:sz w:val="22"/>
          <w:szCs w:val="22"/>
        </w:rPr>
      </w:pPr>
    </w:p>
    <w:p w14:paraId="164BD9FF" w14:textId="55856E81" w:rsidR="42DB4458" w:rsidRPr="005C04F4" w:rsidRDefault="00F7371F" w:rsidP="005C04F4">
      <w:pPr>
        <w:pStyle w:val="Heading1"/>
        <w:spacing w:line="360" w:lineRule="auto"/>
        <w:rPr>
          <w:rFonts w:ascii="Arial" w:hAnsi="Arial" w:cs="Arial"/>
        </w:rPr>
      </w:pPr>
      <w:r w:rsidRPr="005C04F4">
        <w:rPr>
          <w:rFonts w:ascii="Arial" w:hAnsi="Arial" w:cs="Arial"/>
        </w:rPr>
        <w:t>T</w:t>
      </w:r>
      <w:r w:rsidR="003A1911" w:rsidRPr="005C04F4">
        <w:rPr>
          <w:rFonts w:ascii="Arial" w:hAnsi="Arial" w:cs="Arial"/>
        </w:rPr>
        <w:t>he bu</w:t>
      </w:r>
      <w:r w:rsidR="00277CCD" w:rsidRPr="005C04F4">
        <w:rPr>
          <w:rFonts w:ascii="Arial" w:hAnsi="Arial" w:cs="Arial"/>
        </w:rPr>
        <w:t>siness</w:t>
      </w:r>
      <w:r w:rsidR="00121F77" w:rsidRPr="005C04F4">
        <w:rPr>
          <w:rFonts w:ascii="Arial" w:hAnsi="Arial" w:cs="Arial"/>
        </w:rPr>
        <w:t xml:space="preserve"> proble</w:t>
      </w:r>
      <w:r w:rsidR="00D70EA4" w:rsidRPr="005C04F4">
        <w:rPr>
          <w:rFonts w:ascii="Arial" w:hAnsi="Arial" w:cs="Arial"/>
        </w:rPr>
        <w:t>m</w:t>
      </w:r>
    </w:p>
    <w:p w14:paraId="7B18B69C" w14:textId="117AE2F3" w:rsidR="00F11C04" w:rsidRPr="005C04F4" w:rsidRDefault="00F11C04" w:rsidP="005C04F4">
      <w:pPr>
        <w:spacing w:after="140" w:line="360" w:lineRule="auto"/>
        <w:rPr>
          <w:rFonts w:ascii="Arial" w:hAnsi="Arial" w:cs="Arial"/>
          <w:color w:val="000000" w:themeColor="text1"/>
          <w:sz w:val="22"/>
          <w:szCs w:val="22"/>
        </w:rPr>
      </w:pPr>
      <w:r w:rsidRPr="005C04F4">
        <w:rPr>
          <w:rFonts w:ascii="Arial" w:eastAsia="Calibri" w:hAnsi="Arial" w:cs="Arial"/>
          <w:color w:val="000000" w:themeColor="text1"/>
          <w:sz w:val="22"/>
          <w:szCs w:val="22"/>
        </w:rPr>
        <w:t xml:space="preserve">The </w:t>
      </w:r>
      <w:r w:rsidR="00B63DD2">
        <w:rPr>
          <w:rFonts w:ascii="Arial" w:eastAsia="Calibri" w:hAnsi="Arial" w:cs="Arial"/>
          <w:color w:val="000000" w:themeColor="text1"/>
          <w:sz w:val="22"/>
          <w:szCs w:val="22"/>
        </w:rPr>
        <w:t xml:space="preserve">BaRS </w:t>
      </w:r>
      <w:r w:rsidRPr="005C04F4">
        <w:rPr>
          <w:rFonts w:ascii="Arial" w:eastAsia="Calibri" w:hAnsi="Arial" w:cs="Arial"/>
          <w:color w:val="000000" w:themeColor="text1"/>
          <w:sz w:val="22"/>
          <w:szCs w:val="22"/>
        </w:rPr>
        <w:t xml:space="preserve">programme is now </w:t>
      </w:r>
      <w:r w:rsidR="00B63DD2">
        <w:rPr>
          <w:rFonts w:ascii="Arial" w:eastAsia="Calibri" w:hAnsi="Arial" w:cs="Arial"/>
          <w:color w:val="000000" w:themeColor="text1"/>
          <w:sz w:val="22"/>
          <w:szCs w:val="22"/>
        </w:rPr>
        <w:t xml:space="preserve">challenged and </w:t>
      </w:r>
      <w:r w:rsidRPr="005C04F4">
        <w:rPr>
          <w:rFonts w:ascii="Arial" w:eastAsia="Calibri" w:hAnsi="Arial" w:cs="Arial"/>
          <w:color w:val="000000" w:themeColor="text1"/>
          <w:sz w:val="22"/>
          <w:szCs w:val="22"/>
        </w:rPr>
        <w:t>expected to go well beyond traffic monitoring. Leadership, regions and providers all want the same evidence, and the current data cannot supply it. Specifically, the programme needs to be able to report:</w:t>
      </w:r>
    </w:p>
    <w:p w14:paraId="7E226818" w14:textId="77777777" w:rsidR="00F11C04" w:rsidRPr="005C04F4" w:rsidRDefault="00F11C04" w:rsidP="005C04F4">
      <w:pPr>
        <w:pStyle w:val="ListParagraph"/>
        <w:numPr>
          <w:ilvl w:val="0"/>
          <w:numId w:val="25"/>
        </w:numPr>
        <w:spacing w:after="80" w:line="360" w:lineRule="auto"/>
        <w:contextualSpacing w:val="0"/>
        <w:rPr>
          <w:rFonts w:ascii="Arial" w:hAnsi="Arial" w:cs="Arial"/>
          <w:color w:val="000000" w:themeColor="text1"/>
          <w:sz w:val="22"/>
          <w:szCs w:val="22"/>
        </w:rPr>
      </w:pPr>
      <w:r w:rsidRPr="005C04F4">
        <w:rPr>
          <w:rFonts w:ascii="Arial" w:eastAsia="Calibri" w:hAnsi="Arial" w:cs="Arial"/>
          <w:color w:val="000000" w:themeColor="text1"/>
          <w:sz w:val="22"/>
          <w:szCs w:val="22"/>
        </w:rPr>
        <w:t>How many Trusts, Sites and Services are live, and how many are actively using BaRS.</w:t>
      </w:r>
    </w:p>
    <w:p w14:paraId="09005071" w14:textId="77777777" w:rsidR="00F11C04" w:rsidRPr="005C04F4" w:rsidRDefault="00F11C04" w:rsidP="005C04F4">
      <w:pPr>
        <w:pStyle w:val="ListParagraph"/>
        <w:numPr>
          <w:ilvl w:val="0"/>
          <w:numId w:val="25"/>
        </w:numPr>
        <w:spacing w:after="80" w:line="360" w:lineRule="auto"/>
        <w:contextualSpacing w:val="0"/>
        <w:rPr>
          <w:rFonts w:ascii="Arial" w:hAnsi="Arial" w:cs="Arial"/>
          <w:color w:val="000000" w:themeColor="text1"/>
          <w:sz w:val="22"/>
          <w:szCs w:val="22"/>
        </w:rPr>
      </w:pPr>
      <w:r w:rsidRPr="005C04F4">
        <w:rPr>
          <w:rFonts w:ascii="Arial" w:eastAsia="Calibri" w:hAnsi="Arial" w:cs="Arial"/>
          <w:color w:val="000000" w:themeColor="text1"/>
          <w:sz w:val="22"/>
          <w:szCs w:val="22"/>
        </w:rPr>
        <w:t>Referral and booking volumes, and how these are growing over time.</w:t>
      </w:r>
    </w:p>
    <w:p w14:paraId="6C1AABEE" w14:textId="77777777" w:rsidR="00F11C04" w:rsidRPr="005C04F4" w:rsidRDefault="00F11C04" w:rsidP="005C04F4">
      <w:pPr>
        <w:pStyle w:val="ListParagraph"/>
        <w:numPr>
          <w:ilvl w:val="0"/>
          <w:numId w:val="25"/>
        </w:numPr>
        <w:spacing w:after="80" w:line="360" w:lineRule="auto"/>
        <w:contextualSpacing w:val="0"/>
        <w:rPr>
          <w:rFonts w:ascii="Arial" w:hAnsi="Arial" w:cs="Arial"/>
          <w:color w:val="000000" w:themeColor="text1"/>
          <w:sz w:val="22"/>
          <w:szCs w:val="22"/>
        </w:rPr>
      </w:pPr>
      <w:r w:rsidRPr="005C04F4">
        <w:rPr>
          <w:rFonts w:ascii="Arial" w:eastAsia="Calibri" w:hAnsi="Arial" w:cs="Arial"/>
          <w:color w:val="000000" w:themeColor="text1"/>
          <w:sz w:val="22"/>
          <w:szCs w:val="22"/>
        </w:rPr>
        <w:t>Adoption across providers and suppliers, at provider, regional and national level.</w:t>
      </w:r>
    </w:p>
    <w:p w14:paraId="5642C218" w14:textId="386336A5" w:rsidR="00F11C04" w:rsidRPr="005C04F4" w:rsidRDefault="00F11C04" w:rsidP="005C04F4">
      <w:pPr>
        <w:pStyle w:val="ListParagraph"/>
        <w:numPr>
          <w:ilvl w:val="0"/>
          <w:numId w:val="25"/>
        </w:numPr>
        <w:spacing w:after="80" w:line="360" w:lineRule="auto"/>
        <w:contextualSpacing w:val="0"/>
        <w:rPr>
          <w:rFonts w:ascii="Arial" w:hAnsi="Arial" w:cs="Arial"/>
          <w:color w:val="000000" w:themeColor="text1"/>
          <w:sz w:val="22"/>
          <w:szCs w:val="22"/>
        </w:rPr>
      </w:pPr>
      <w:r w:rsidRPr="005C04F4">
        <w:rPr>
          <w:rFonts w:ascii="Arial" w:eastAsia="Calibri" w:hAnsi="Arial" w:cs="Arial"/>
          <w:color w:val="000000" w:themeColor="text1"/>
          <w:sz w:val="22"/>
          <w:szCs w:val="22"/>
        </w:rPr>
        <w:t>Utilisation by application and by use case</w:t>
      </w:r>
      <w:r w:rsidR="002774B4">
        <w:rPr>
          <w:rFonts w:ascii="Arial" w:eastAsia="Calibri" w:hAnsi="Arial" w:cs="Arial"/>
          <w:color w:val="000000" w:themeColor="text1"/>
          <w:sz w:val="22"/>
          <w:szCs w:val="22"/>
        </w:rPr>
        <w:t xml:space="preserve"> </w:t>
      </w:r>
      <w:r w:rsidRPr="005C04F4">
        <w:rPr>
          <w:rFonts w:ascii="Arial" w:eastAsia="Calibri" w:hAnsi="Arial" w:cs="Arial"/>
          <w:color w:val="000000" w:themeColor="text1"/>
          <w:sz w:val="22"/>
          <w:szCs w:val="22"/>
        </w:rPr>
        <w:t>so the programme can distinguish breadth of connection from depth of clinical use.</w:t>
      </w:r>
    </w:p>
    <w:p w14:paraId="5A1CFDA4" w14:textId="30321932" w:rsidR="00F11C04" w:rsidRPr="005C04F4" w:rsidRDefault="00F11C04" w:rsidP="005C04F4">
      <w:pPr>
        <w:pStyle w:val="ListParagraph"/>
        <w:numPr>
          <w:ilvl w:val="0"/>
          <w:numId w:val="25"/>
        </w:numPr>
        <w:spacing w:after="80" w:line="360" w:lineRule="auto"/>
        <w:contextualSpacing w:val="0"/>
        <w:rPr>
          <w:rFonts w:ascii="Arial" w:hAnsi="Arial" w:cs="Arial"/>
          <w:color w:val="000000" w:themeColor="text1"/>
          <w:sz w:val="22"/>
          <w:szCs w:val="22"/>
        </w:rPr>
      </w:pPr>
      <w:r w:rsidRPr="005C04F4">
        <w:rPr>
          <w:rFonts w:ascii="Arial" w:eastAsia="Calibri" w:hAnsi="Arial" w:cs="Arial"/>
          <w:color w:val="000000" w:themeColor="text1"/>
          <w:sz w:val="22"/>
          <w:szCs w:val="22"/>
        </w:rPr>
        <w:t>Organisation-level visibility to support performance monitoring and escalation</w:t>
      </w:r>
      <w:r w:rsidR="002774B4">
        <w:rPr>
          <w:rFonts w:ascii="Arial" w:eastAsia="Calibri" w:hAnsi="Arial" w:cs="Arial"/>
          <w:color w:val="000000" w:themeColor="text1"/>
          <w:sz w:val="22"/>
          <w:szCs w:val="22"/>
        </w:rPr>
        <w:t>.</w:t>
      </w:r>
    </w:p>
    <w:p w14:paraId="253B5E23" w14:textId="015F4C7A" w:rsidR="00F11C04" w:rsidRPr="005C04F4" w:rsidRDefault="00F11C04" w:rsidP="005C04F4">
      <w:pPr>
        <w:pBdr>
          <w:bottom w:val="single" w:sz="12" w:space="1" w:color="auto"/>
        </w:pBdr>
        <w:spacing w:after="140" w:line="360" w:lineRule="auto"/>
        <w:rPr>
          <w:rFonts w:ascii="Arial" w:eastAsia="Calibri" w:hAnsi="Arial" w:cs="Arial"/>
          <w:color w:val="000000" w:themeColor="text1"/>
          <w:sz w:val="22"/>
          <w:szCs w:val="22"/>
        </w:rPr>
      </w:pPr>
      <w:r w:rsidRPr="005C04F4">
        <w:rPr>
          <w:rFonts w:ascii="Arial" w:eastAsia="Calibri" w:hAnsi="Arial" w:cs="Arial"/>
          <w:color w:val="000000" w:themeColor="text1"/>
          <w:sz w:val="22"/>
          <w:szCs w:val="22"/>
        </w:rPr>
        <w:t xml:space="preserve">This last point matters for the wider adoption strategy. The 171 target counts Services, each one a unique sender </w:t>
      </w:r>
      <w:r w:rsidR="00A85840">
        <w:rPr>
          <w:rFonts w:ascii="Arial" w:eastAsia="Calibri" w:hAnsi="Arial" w:cs="Arial"/>
          <w:color w:val="000000" w:themeColor="text1"/>
          <w:sz w:val="22"/>
          <w:szCs w:val="22"/>
        </w:rPr>
        <w:t>or</w:t>
      </w:r>
      <w:r w:rsidR="00A85840" w:rsidRPr="005C04F4">
        <w:rPr>
          <w:rFonts w:ascii="Arial" w:eastAsia="Calibri" w:hAnsi="Arial" w:cs="Arial"/>
          <w:color w:val="000000" w:themeColor="text1"/>
          <w:sz w:val="22"/>
          <w:szCs w:val="22"/>
        </w:rPr>
        <w:t xml:space="preserve"> </w:t>
      </w:r>
      <w:r w:rsidRPr="005C04F4">
        <w:rPr>
          <w:rFonts w:ascii="Arial" w:eastAsia="Calibri" w:hAnsi="Arial" w:cs="Arial"/>
          <w:color w:val="000000" w:themeColor="text1"/>
          <w:sz w:val="22"/>
          <w:szCs w:val="22"/>
        </w:rPr>
        <w:t>receiver</w:t>
      </w:r>
      <w:r w:rsidR="00296665">
        <w:rPr>
          <w:rFonts w:ascii="Arial" w:eastAsia="Calibri" w:hAnsi="Arial" w:cs="Arial"/>
          <w:color w:val="000000" w:themeColor="text1"/>
          <w:sz w:val="22"/>
          <w:szCs w:val="22"/>
        </w:rPr>
        <w:t xml:space="preserve"> </w:t>
      </w:r>
      <w:r w:rsidR="00A85840">
        <w:rPr>
          <w:rFonts w:ascii="Arial" w:eastAsia="Calibri" w:hAnsi="Arial" w:cs="Arial"/>
          <w:color w:val="000000" w:themeColor="text1"/>
          <w:sz w:val="22"/>
          <w:szCs w:val="22"/>
        </w:rPr>
        <w:t>of a BaRS</w:t>
      </w:r>
      <w:r w:rsidR="00296665">
        <w:rPr>
          <w:rFonts w:ascii="Arial" w:eastAsia="Calibri" w:hAnsi="Arial" w:cs="Arial"/>
          <w:color w:val="000000" w:themeColor="text1"/>
          <w:sz w:val="22"/>
          <w:szCs w:val="22"/>
        </w:rPr>
        <w:t xml:space="preserve"> referral (this is also known as an end-point)</w:t>
      </w:r>
      <w:r w:rsidRPr="005C04F4">
        <w:rPr>
          <w:rFonts w:ascii="Arial" w:eastAsia="Calibri" w:hAnsi="Arial" w:cs="Arial"/>
          <w:color w:val="000000" w:themeColor="text1"/>
          <w:sz w:val="22"/>
          <w:szCs w:val="22"/>
        </w:rPr>
        <w:t>. The clinical and patient-flow benefit comes from use cases, the scenarios running inside those connections</w:t>
      </w:r>
      <w:r w:rsidR="003B4814">
        <w:rPr>
          <w:rFonts w:ascii="Arial" w:eastAsia="Calibri" w:hAnsi="Arial" w:cs="Arial"/>
          <w:color w:val="000000" w:themeColor="text1"/>
          <w:sz w:val="22"/>
          <w:szCs w:val="22"/>
        </w:rPr>
        <w:t xml:space="preserve"> between end-points</w:t>
      </w:r>
      <w:r w:rsidRPr="005C04F4">
        <w:rPr>
          <w:rFonts w:ascii="Arial" w:eastAsia="Calibri" w:hAnsi="Arial" w:cs="Arial"/>
          <w:color w:val="000000" w:themeColor="text1"/>
          <w:sz w:val="22"/>
          <w:szCs w:val="22"/>
        </w:rPr>
        <w:t xml:space="preserve">. Today the data reliably counts neither. Without it, the programme cannot show whether growth in the headline number reflects real, high-utilisation adoption or a widening set of live but lightly used connections. Better reporting is what lets the Board </w:t>
      </w:r>
      <w:r w:rsidR="00810FC4">
        <w:rPr>
          <w:rFonts w:ascii="Arial" w:eastAsia="Calibri" w:hAnsi="Arial" w:cs="Arial"/>
          <w:color w:val="000000" w:themeColor="text1"/>
          <w:sz w:val="22"/>
          <w:szCs w:val="22"/>
        </w:rPr>
        <w:t>understand this better.</w:t>
      </w:r>
    </w:p>
    <w:p w14:paraId="40B587DE" w14:textId="77777777" w:rsidR="005C04F4" w:rsidRPr="005C04F4" w:rsidRDefault="005C04F4" w:rsidP="005C04F4">
      <w:pPr>
        <w:pBdr>
          <w:bottom w:val="single" w:sz="12" w:space="1" w:color="auto"/>
        </w:pBdr>
        <w:spacing w:after="140" w:line="360" w:lineRule="auto"/>
        <w:rPr>
          <w:rFonts w:ascii="Arial" w:eastAsia="Calibri" w:hAnsi="Arial" w:cs="Arial"/>
          <w:color w:val="000000" w:themeColor="text1"/>
          <w:sz w:val="22"/>
          <w:szCs w:val="22"/>
        </w:rPr>
      </w:pPr>
    </w:p>
    <w:p w14:paraId="2242F872" w14:textId="24287F53" w:rsidR="00693226" w:rsidRPr="005C04F4" w:rsidRDefault="00832D92" w:rsidP="005C04F4">
      <w:pPr>
        <w:pStyle w:val="Heading1"/>
        <w:spacing w:line="360" w:lineRule="auto"/>
        <w:rPr>
          <w:rFonts w:ascii="Arial" w:hAnsi="Arial" w:cs="Arial"/>
        </w:rPr>
      </w:pPr>
      <w:r w:rsidRPr="005C04F4">
        <w:rPr>
          <w:rFonts w:ascii="Arial" w:hAnsi="Arial" w:cs="Arial"/>
        </w:rPr>
        <w:t>Why</w:t>
      </w:r>
      <w:r w:rsidR="00A21BB0" w:rsidRPr="005C04F4">
        <w:rPr>
          <w:rFonts w:ascii="Arial" w:hAnsi="Arial" w:cs="Arial"/>
        </w:rPr>
        <w:t xml:space="preserve"> we cannot ans</w:t>
      </w:r>
      <w:r w:rsidR="00B537F9" w:rsidRPr="005C04F4">
        <w:rPr>
          <w:rFonts w:ascii="Arial" w:hAnsi="Arial" w:cs="Arial"/>
        </w:rPr>
        <w:t>wer these q</w:t>
      </w:r>
      <w:r w:rsidR="00462163" w:rsidRPr="005C04F4">
        <w:rPr>
          <w:rFonts w:ascii="Arial" w:hAnsi="Arial" w:cs="Arial"/>
        </w:rPr>
        <w:t>uestions today</w:t>
      </w:r>
    </w:p>
    <w:p w14:paraId="458359EF" w14:textId="1AF15C3F" w:rsidR="00A83A1D" w:rsidRPr="005C04F4" w:rsidRDefault="00A83A1D" w:rsidP="005C04F4">
      <w:pPr>
        <w:spacing w:after="140" w:line="360" w:lineRule="auto"/>
        <w:rPr>
          <w:rFonts w:ascii="Arial" w:hAnsi="Arial" w:cs="Arial"/>
          <w:sz w:val="22"/>
          <w:szCs w:val="22"/>
        </w:rPr>
      </w:pPr>
      <w:r w:rsidRPr="005C04F4">
        <w:rPr>
          <w:rFonts w:ascii="Arial" w:eastAsia="Calibri" w:hAnsi="Arial" w:cs="Arial"/>
          <w:color w:val="1A1A1A"/>
          <w:sz w:val="22"/>
          <w:szCs w:val="22"/>
        </w:rPr>
        <w:t xml:space="preserve">The Splunk logging was set up for one purpose, to monitor traffic volume on the BaRS Assurance API proxy, and its use is governed by a Data Protection Impact Assessment </w:t>
      </w:r>
      <w:r w:rsidR="003E79CA">
        <w:rPr>
          <w:rFonts w:ascii="Arial" w:eastAsia="Calibri" w:hAnsi="Arial" w:cs="Arial"/>
          <w:color w:val="1A1A1A"/>
          <w:sz w:val="22"/>
          <w:szCs w:val="22"/>
        </w:rPr>
        <w:t xml:space="preserve">(DPIA) </w:t>
      </w:r>
      <w:r w:rsidRPr="005C04F4">
        <w:rPr>
          <w:rFonts w:ascii="Arial" w:eastAsia="Calibri" w:hAnsi="Arial" w:cs="Arial"/>
          <w:color w:val="1A1A1A"/>
          <w:sz w:val="22"/>
          <w:szCs w:val="22"/>
        </w:rPr>
        <w:t xml:space="preserve">written for that purpose. It provides a rolling 90-day log of transactions, HTTP status codes, and basic sender and receiver identifiers in encoded form. </w:t>
      </w:r>
      <w:r w:rsidRPr="00F13D3F">
        <w:rPr>
          <w:rFonts w:ascii="Arial" w:eastAsia="Calibri" w:hAnsi="Arial" w:cs="Arial"/>
          <w:sz w:val="22"/>
          <w:szCs w:val="22"/>
        </w:rPr>
        <w:t>It does not inspect the payload</w:t>
      </w:r>
      <w:r w:rsidR="00F13D3F" w:rsidRPr="00F13D3F">
        <w:rPr>
          <w:rFonts w:ascii="Arial" w:eastAsia="Calibri" w:hAnsi="Arial" w:cs="Arial"/>
          <w:sz w:val="22"/>
          <w:szCs w:val="22"/>
        </w:rPr>
        <w:t xml:space="preserve"> (</w:t>
      </w:r>
      <w:r w:rsidR="00F13D3F" w:rsidRPr="00F13D3F">
        <w:rPr>
          <w:rFonts w:ascii="Arial" w:hAnsi="Arial" w:cs="Arial"/>
          <w:sz w:val="22"/>
          <w:szCs w:val="22"/>
        </w:rPr>
        <w:t>the DPIA restricts use to management information purposes only)</w:t>
      </w:r>
      <w:r w:rsidRPr="00F13D3F">
        <w:rPr>
          <w:rFonts w:ascii="Arial" w:eastAsia="Calibri" w:hAnsi="Arial" w:cs="Arial"/>
          <w:sz w:val="22"/>
          <w:szCs w:val="22"/>
        </w:rPr>
        <w:t xml:space="preserve">. It was never </w:t>
      </w:r>
      <w:r w:rsidRPr="005C04F4">
        <w:rPr>
          <w:rFonts w:ascii="Arial" w:eastAsia="Calibri" w:hAnsi="Arial" w:cs="Arial"/>
          <w:color w:val="1A1A1A"/>
          <w:sz w:val="22"/>
          <w:szCs w:val="22"/>
        </w:rPr>
        <w:t>intended to support business reporting, and it does no</w:t>
      </w:r>
      <w:r w:rsidR="006E03AB">
        <w:rPr>
          <w:rFonts w:ascii="Arial" w:eastAsia="Calibri" w:hAnsi="Arial" w:cs="Arial"/>
          <w:color w:val="1A1A1A"/>
          <w:sz w:val="22"/>
          <w:szCs w:val="22"/>
        </w:rPr>
        <w:t>t</w:t>
      </w:r>
      <w:r w:rsidR="006E03AB" w:rsidRPr="006E03AB">
        <w:rPr>
          <w:rFonts w:ascii="Arial" w:eastAsia="Calibri" w:hAnsi="Arial" w:cs="Arial"/>
          <w:sz w:val="22"/>
          <w:szCs w:val="22"/>
        </w:rPr>
        <w:t xml:space="preserve">. </w:t>
      </w:r>
    </w:p>
    <w:p w14:paraId="5B1DEDFB" w14:textId="77777777" w:rsidR="00A83A1D" w:rsidRPr="005C04F4" w:rsidRDefault="00A83A1D" w:rsidP="005C04F4">
      <w:pPr>
        <w:spacing w:after="140" w:line="360" w:lineRule="auto"/>
        <w:rPr>
          <w:rFonts w:ascii="Arial" w:hAnsi="Arial" w:cs="Arial"/>
          <w:sz w:val="22"/>
          <w:szCs w:val="22"/>
        </w:rPr>
      </w:pPr>
      <w:r w:rsidRPr="005C04F4">
        <w:rPr>
          <w:rFonts w:ascii="Arial" w:eastAsia="Calibri" w:hAnsi="Arial" w:cs="Arial"/>
          <w:color w:val="1A1A1A"/>
          <w:sz w:val="22"/>
          <w:szCs w:val="22"/>
        </w:rPr>
        <w:t>Five limitations follow from this. Each one blocks a specific reporting need.</w:t>
      </w:r>
    </w:p>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180"/>
        <w:gridCol w:w="4180"/>
      </w:tblGrid>
      <w:tr w:rsidR="00A83A1D" w:rsidRPr="005C04F4" w14:paraId="33A8E368" w14:textId="77777777" w:rsidTr="006C384D">
        <w:trPr>
          <w:tblHeader/>
        </w:trPr>
        <w:tc>
          <w:tcPr>
            <w:tcW w:w="560" w:type="dxa"/>
            <w:shd w:val="clear" w:color="auto" w:fill="003087"/>
            <w:tcMar>
              <w:top w:w="80" w:type="dxa"/>
              <w:left w:w="110" w:type="dxa"/>
              <w:bottom w:w="80" w:type="dxa"/>
              <w:right w:w="110" w:type="dxa"/>
            </w:tcMar>
            <w:vAlign w:val="center"/>
          </w:tcPr>
          <w:p w14:paraId="263F8CF4" w14:textId="77777777" w:rsidR="00A83A1D" w:rsidRPr="005C04F4" w:rsidRDefault="00A83A1D" w:rsidP="005C04F4">
            <w:pPr>
              <w:spacing w:after="40" w:line="360" w:lineRule="auto"/>
              <w:jc w:val="center"/>
              <w:rPr>
                <w:rFonts w:ascii="Arial" w:hAnsi="Arial" w:cs="Arial"/>
                <w:sz w:val="22"/>
                <w:szCs w:val="22"/>
              </w:rPr>
            </w:pPr>
            <w:r w:rsidRPr="005C04F4">
              <w:rPr>
                <w:rFonts w:ascii="Arial" w:eastAsia="Calibri" w:hAnsi="Arial" w:cs="Arial"/>
                <w:b/>
                <w:bCs/>
                <w:color w:val="FFFFFF"/>
                <w:sz w:val="22"/>
                <w:szCs w:val="22"/>
              </w:rPr>
              <w:t>#</w:t>
            </w:r>
          </w:p>
        </w:tc>
        <w:tc>
          <w:tcPr>
            <w:tcW w:w="4180" w:type="dxa"/>
            <w:shd w:val="clear" w:color="auto" w:fill="003087"/>
            <w:tcMar>
              <w:top w:w="80" w:type="dxa"/>
              <w:left w:w="110" w:type="dxa"/>
              <w:bottom w:w="80" w:type="dxa"/>
              <w:right w:w="110" w:type="dxa"/>
            </w:tcMar>
            <w:vAlign w:val="center"/>
          </w:tcPr>
          <w:p w14:paraId="6F0F2D27" w14:textId="77777777" w:rsidR="00A83A1D" w:rsidRPr="005C04F4" w:rsidRDefault="00A83A1D" w:rsidP="005C04F4">
            <w:pPr>
              <w:spacing w:after="40" w:line="360" w:lineRule="auto"/>
              <w:jc w:val="center"/>
              <w:rPr>
                <w:rFonts w:ascii="Arial" w:hAnsi="Arial" w:cs="Arial"/>
                <w:sz w:val="22"/>
                <w:szCs w:val="22"/>
              </w:rPr>
            </w:pPr>
            <w:r w:rsidRPr="005C04F4">
              <w:rPr>
                <w:rFonts w:ascii="Arial" w:eastAsia="Calibri" w:hAnsi="Arial" w:cs="Arial"/>
                <w:b/>
                <w:bCs/>
                <w:color w:val="FFFFFF"/>
                <w:sz w:val="22"/>
                <w:szCs w:val="22"/>
              </w:rPr>
              <w:t>Limitation</w:t>
            </w:r>
          </w:p>
        </w:tc>
        <w:tc>
          <w:tcPr>
            <w:tcW w:w="4180" w:type="dxa"/>
            <w:shd w:val="clear" w:color="auto" w:fill="003087"/>
            <w:tcMar>
              <w:top w:w="80" w:type="dxa"/>
              <w:left w:w="110" w:type="dxa"/>
              <w:bottom w:w="80" w:type="dxa"/>
              <w:right w:w="110" w:type="dxa"/>
            </w:tcMar>
            <w:vAlign w:val="center"/>
          </w:tcPr>
          <w:p w14:paraId="34441A12" w14:textId="77777777" w:rsidR="00A83A1D" w:rsidRPr="005C04F4" w:rsidRDefault="00A83A1D" w:rsidP="005C04F4">
            <w:pPr>
              <w:spacing w:after="40" w:line="360" w:lineRule="auto"/>
              <w:jc w:val="center"/>
              <w:rPr>
                <w:rFonts w:ascii="Arial" w:hAnsi="Arial" w:cs="Arial"/>
                <w:sz w:val="22"/>
                <w:szCs w:val="22"/>
              </w:rPr>
            </w:pPr>
            <w:r w:rsidRPr="005C04F4">
              <w:rPr>
                <w:rFonts w:ascii="Arial" w:eastAsia="Calibri" w:hAnsi="Arial" w:cs="Arial"/>
                <w:b/>
                <w:bCs/>
                <w:color w:val="FFFFFF"/>
                <w:sz w:val="22"/>
                <w:szCs w:val="22"/>
              </w:rPr>
              <w:t>What it means for reporting</w:t>
            </w:r>
          </w:p>
        </w:tc>
      </w:tr>
      <w:tr w:rsidR="00A83A1D" w:rsidRPr="005C04F4" w14:paraId="0E1905ED" w14:textId="77777777" w:rsidTr="00F615FC">
        <w:tc>
          <w:tcPr>
            <w:tcW w:w="560" w:type="dxa"/>
            <w:shd w:val="clear" w:color="auto" w:fill="F0F4F8"/>
            <w:tcMar>
              <w:top w:w="80" w:type="dxa"/>
              <w:left w:w="110" w:type="dxa"/>
              <w:bottom w:w="80" w:type="dxa"/>
              <w:right w:w="110" w:type="dxa"/>
            </w:tcMar>
            <w:vAlign w:val="center"/>
          </w:tcPr>
          <w:p w14:paraId="7128CF77" w14:textId="77777777" w:rsidR="00A83A1D" w:rsidRPr="005C04F4" w:rsidRDefault="00A83A1D" w:rsidP="005C04F4">
            <w:pPr>
              <w:spacing w:after="40" w:line="360" w:lineRule="auto"/>
              <w:jc w:val="center"/>
              <w:rPr>
                <w:rFonts w:ascii="Arial" w:hAnsi="Arial" w:cs="Arial"/>
                <w:sz w:val="22"/>
                <w:szCs w:val="22"/>
              </w:rPr>
            </w:pPr>
            <w:r w:rsidRPr="005C04F4">
              <w:rPr>
                <w:rFonts w:ascii="Arial" w:eastAsia="Calibri" w:hAnsi="Arial" w:cs="Arial"/>
                <w:b/>
                <w:bCs/>
                <w:color w:val="1A1A1A"/>
                <w:sz w:val="22"/>
                <w:szCs w:val="22"/>
              </w:rPr>
              <w:t>1</w:t>
            </w:r>
          </w:p>
        </w:tc>
        <w:tc>
          <w:tcPr>
            <w:tcW w:w="4180" w:type="dxa"/>
            <w:tcMar>
              <w:top w:w="80" w:type="dxa"/>
              <w:left w:w="110" w:type="dxa"/>
              <w:bottom w:w="80" w:type="dxa"/>
              <w:right w:w="110" w:type="dxa"/>
            </w:tcMar>
            <w:vAlign w:val="center"/>
          </w:tcPr>
          <w:p w14:paraId="45ABFB65" w14:textId="77777777" w:rsidR="00A83A1D" w:rsidRPr="005C04F4" w:rsidRDefault="00A83A1D" w:rsidP="00F615FC">
            <w:pPr>
              <w:spacing w:after="40" w:line="360" w:lineRule="auto"/>
              <w:rPr>
                <w:rFonts w:ascii="Arial" w:hAnsi="Arial" w:cs="Arial"/>
                <w:sz w:val="22"/>
                <w:szCs w:val="22"/>
              </w:rPr>
            </w:pPr>
            <w:r w:rsidRPr="005C04F4">
              <w:rPr>
                <w:rFonts w:ascii="Arial" w:eastAsia="Calibri" w:hAnsi="Arial" w:cs="Arial"/>
                <w:color w:val="1A1A1A"/>
                <w:sz w:val="22"/>
                <w:szCs w:val="22"/>
              </w:rPr>
              <w:t>No application or use case marker. A supplier enabled for several applications looks identical in the logs.</w:t>
            </w:r>
          </w:p>
        </w:tc>
        <w:tc>
          <w:tcPr>
            <w:tcW w:w="4180" w:type="dxa"/>
            <w:tcMar>
              <w:top w:w="80" w:type="dxa"/>
              <w:left w:w="110" w:type="dxa"/>
              <w:bottom w:w="80" w:type="dxa"/>
              <w:right w:w="110" w:type="dxa"/>
            </w:tcMar>
            <w:vAlign w:val="center"/>
          </w:tcPr>
          <w:p w14:paraId="71D83292" w14:textId="77777777" w:rsidR="00A83A1D" w:rsidRPr="005C04F4" w:rsidRDefault="00A83A1D" w:rsidP="00F615FC">
            <w:pPr>
              <w:spacing w:after="40" w:line="360" w:lineRule="auto"/>
              <w:rPr>
                <w:rFonts w:ascii="Arial" w:hAnsi="Arial" w:cs="Arial"/>
                <w:sz w:val="22"/>
                <w:szCs w:val="22"/>
              </w:rPr>
            </w:pPr>
            <w:r w:rsidRPr="005C04F4">
              <w:rPr>
                <w:rFonts w:ascii="Arial" w:eastAsia="Calibri" w:hAnsi="Arial" w:cs="Arial"/>
                <w:color w:val="1A1A1A"/>
                <w:sz w:val="22"/>
                <w:szCs w:val="22"/>
              </w:rPr>
              <w:t>We cannot evidence utilisation by application or by use case, so we cannot separate breadth from depth.</w:t>
            </w:r>
          </w:p>
        </w:tc>
      </w:tr>
      <w:tr w:rsidR="00A83A1D" w:rsidRPr="005C04F4" w14:paraId="367672DC" w14:textId="77777777" w:rsidTr="00F615FC">
        <w:tc>
          <w:tcPr>
            <w:tcW w:w="560" w:type="dxa"/>
            <w:shd w:val="clear" w:color="auto" w:fill="F0F4F8"/>
            <w:tcMar>
              <w:top w:w="80" w:type="dxa"/>
              <w:left w:w="110" w:type="dxa"/>
              <w:bottom w:w="80" w:type="dxa"/>
              <w:right w:w="110" w:type="dxa"/>
            </w:tcMar>
            <w:vAlign w:val="center"/>
          </w:tcPr>
          <w:p w14:paraId="71050460" w14:textId="77777777" w:rsidR="00A83A1D" w:rsidRPr="005C04F4" w:rsidRDefault="00A83A1D" w:rsidP="005C04F4">
            <w:pPr>
              <w:spacing w:after="40" w:line="360" w:lineRule="auto"/>
              <w:jc w:val="center"/>
              <w:rPr>
                <w:rFonts w:ascii="Arial" w:hAnsi="Arial" w:cs="Arial"/>
                <w:sz w:val="22"/>
                <w:szCs w:val="22"/>
              </w:rPr>
            </w:pPr>
            <w:r w:rsidRPr="005C04F4">
              <w:rPr>
                <w:rFonts w:ascii="Arial" w:eastAsia="Calibri" w:hAnsi="Arial" w:cs="Arial"/>
                <w:b/>
                <w:bCs/>
                <w:color w:val="1A1A1A"/>
                <w:sz w:val="22"/>
                <w:szCs w:val="22"/>
              </w:rPr>
              <w:t>2</w:t>
            </w:r>
          </w:p>
        </w:tc>
        <w:tc>
          <w:tcPr>
            <w:tcW w:w="4180" w:type="dxa"/>
            <w:tcMar>
              <w:top w:w="80" w:type="dxa"/>
              <w:left w:w="110" w:type="dxa"/>
              <w:bottom w:w="80" w:type="dxa"/>
              <w:right w:w="110" w:type="dxa"/>
            </w:tcMar>
            <w:vAlign w:val="center"/>
          </w:tcPr>
          <w:p w14:paraId="6885C850" w14:textId="6C35F185" w:rsidR="00A83A1D" w:rsidRPr="005C04F4" w:rsidRDefault="00A83A1D" w:rsidP="00F615FC">
            <w:pPr>
              <w:spacing w:after="40" w:line="360" w:lineRule="auto"/>
              <w:rPr>
                <w:rFonts w:ascii="Arial" w:hAnsi="Arial" w:cs="Arial"/>
                <w:sz w:val="22"/>
                <w:szCs w:val="22"/>
              </w:rPr>
            </w:pPr>
            <w:r w:rsidRPr="005C04F4">
              <w:rPr>
                <w:rFonts w:ascii="Arial" w:eastAsia="Calibri" w:hAnsi="Arial" w:cs="Arial"/>
                <w:color w:val="1A1A1A"/>
                <w:sz w:val="22"/>
                <w:szCs w:val="22"/>
              </w:rPr>
              <w:t>No message type</w:t>
            </w:r>
            <w:r w:rsidR="00F615FC">
              <w:rPr>
                <w:rFonts w:ascii="Arial" w:eastAsia="Calibri" w:hAnsi="Arial" w:cs="Arial"/>
                <w:color w:val="1A1A1A"/>
                <w:sz w:val="22"/>
                <w:szCs w:val="22"/>
              </w:rPr>
              <w:t xml:space="preserve"> differentiation</w:t>
            </w:r>
            <w:r w:rsidRPr="005C04F4">
              <w:rPr>
                <w:rFonts w:ascii="Arial" w:eastAsia="Calibri" w:hAnsi="Arial" w:cs="Arial"/>
                <w:color w:val="1A1A1A"/>
                <w:sz w:val="22"/>
                <w:szCs w:val="22"/>
              </w:rPr>
              <w:t>. We cannot tell whether a transaction was a new referral, an update or a cancellation.</w:t>
            </w:r>
          </w:p>
        </w:tc>
        <w:tc>
          <w:tcPr>
            <w:tcW w:w="4180" w:type="dxa"/>
            <w:tcMar>
              <w:top w:w="80" w:type="dxa"/>
              <w:left w:w="110" w:type="dxa"/>
              <w:bottom w:w="80" w:type="dxa"/>
              <w:right w:w="110" w:type="dxa"/>
            </w:tcMar>
            <w:vAlign w:val="center"/>
          </w:tcPr>
          <w:p w14:paraId="6F62A590" w14:textId="77777777" w:rsidR="00A83A1D" w:rsidRPr="005C04F4" w:rsidRDefault="00A83A1D" w:rsidP="00F615FC">
            <w:pPr>
              <w:spacing w:after="40" w:line="360" w:lineRule="auto"/>
              <w:rPr>
                <w:rFonts w:ascii="Arial" w:hAnsi="Arial" w:cs="Arial"/>
                <w:sz w:val="22"/>
                <w:szCs w:val="22"/>
              </w:rPr>
            </w:pPr>
            <w:r w:rsidRPr="005C04F4">
              <w:rPr>
                <w:rFonts w:ascii="Arial" w:eastAsia="Calibri" w:hAnsi="Arial" w:cs="Arial"/>
                <w:color w:val="1A1A1A"/>
                <w:sz w:val="22"/>
                <w:szCs w:val="22"/>
              </w:rPr>
              <w:t>Raw transaction counts cannot be treated as referral or booking counts, which blocks patient-level benefit evidence.</w:t>
            </w:r>
          </w:p>
        </w:tc>
      </w:tr>
      <w:tr w:rsidR="00A83A1D" w:rsidRPr="005C04F4" w14:paraId="2D7C50BB" w14:textId="77777777" w:rsidTr="00F615FC">
        <w:tc>
          <w:tcPr>
            <w:tcW w:w="560" w:type="dxa"/>
            <w:shd w:val="clear" w:color="auto" w:fill="F0F4F8"/>
            <w:tcMar>
              <w:top w:w="80" w:type="dxa"/>
              <w:left w:w="110" w:type="dxa"/>
              <w:bottom w:w="80" w:type="dxa"/>
              <w:right w:w="110" w:type="dxa"/>
            </w:tcMar>
            <w:vAlign w:val="center"/>
          </w:tcPr>
          <w:p w14:paraId="79212AF9" w14:textId="77777777" w:rsidR="00A83A1D" w:rsidRPr="005C04F4" w:rsidRDefault="00A83A1D" w:rsidP="005C04F4">
            <w:pPr>
              <w:spacing w:after="40" w:line="360" w:lineRule="auto"/>
              <w:jc w:val="center"/>
              <w:rPr>
                <w:rFonts w:ascii="Arial" w:hAnsi="Arial" w:cs="Arial"/>
                <w:sz w:val="22"/>
                <w:szCs w:val="22"/>
              </w:rPr>
            </w:pPr>
            <w:r w:rsidRPr="005C04F4">
              <w:rPr>
                <w:rFonts w:ascii="Arial" w:eastAsia="Calibri" w:hAnsi="Arial" w:cs="Arial"/>
                <w:b/>
                <w:bCs/>
                <w:color w:val="1A1A1A"/>
                <w:sz w:val="22"/>
                <w:szCs w:val="22"/>
              </w:rPr>
              <w:t>3</w:t>
            </w:r>
          </w:p>
        </w:tc>
        <w:tc>
          <w:tcPr>
            <w:tcW w:w="4180" w:type="dxa"/>
            <w:tcMar>
              <w:top w:w="80" w:type="dxa"/>
              <w:left w:w="110" w:type="dxa"/>
              <w:bottom w:w="80" w:type="dxa"/>
              <w:right w:w="110" w:type="dxa"/>
            </w:tcMar>
            <w:vAlign w:val="center"/>
          </w:tcPr>
          <w:p w14:paraId="087A967C" w14:textId="77777777" w:rsidR="00A83A1D" w:rsidRPr="005C04F4" w:rsidRDefault="00A83A1D" w:rsidP="00F615FC">
            <w:pPr>
              <w:spacing w:after="40" w:line="360" w:lineRule="auto"/>
              <w:rPr>
                <w:rFonts w:ascii="Arial" w:hAnsi="Arial" w:cs="Arial"/>
                <w:sz w:val="22"/>
                <w:szCs w:val="22"/>
              </w:rPr>
            </w:pPr>
            <w:r w:rsidRPr="005C04F4">
              <w:rPr>
                <w:rFonts w:ascii="Arial" w:eastAsia="Calibri" w:hAnsi="Arial" w:cs="Arial"/>
                <w:color w:val="1A1A1A"/>
                <w:sz w:val="22"/>
                <w:szCs w:val="22"/>
              </w:rPr>
              <w:t>Sender and receiver identifiers are encoded and need heavy processing to decode. Multi-tenancy adds further ambiguity.</w:t>
            </w:r>
          </w:p>
        </w:tc>
        <w:tc>
          <w:tcPr>
            <w:tcW w:w="4180" w:type="dxa"/>
            <w:tcMar>
              <w:top w:w="80" w:type="dxa"/>
              <w:left w:w="110" w:type="dxa"/>
              <w:bottom w:w="80" w:type="dxa"/>
              <w:right w:w="110" w:type="dxa"/>
            </w:tcMar>
            <w:vAlign w:val="center"/>
          </w:tcPr>
          <w:p w14:paraId="61EBC89E" w14:textId="2FC566B6" w:rsidR="00A83A1D" w:rsidRPr="005C04F4" w:rsidRDefault="00A83A1D" w:rsidP="00F615FC">
            <w:pPr>
              <w:spacing w:after="40" w:line="360" w:lineRule="auto"/>
              <w:rPr>
                <w:rFonts w:ascii="Arial" w:hAnsi="Arial" w:cs="Arial"/>
                <w:sz w:val="22"/>
                <w:szCs w:val="22"/>
              </w:rPr>
            </w:pPr>
            <w:r w:rsidRPr="005C04F4">
              <w:rPr>
                <w:rFonts w:ascii="Arial" w:eastAsia="Calibri" w:hAnsi="Arial" w:cs="Arial"/>
                <w:color w:val="1A1A1A"/>
                <w:sz w:val="22"/>
                <w:szCs w:val="22"/>
              </w:rPr>
              <w:t xml:space="preserve">We cannot reliably report at </w:t>
            </w:r>
            <w:r w:rsidR="00857517">
              <w:rPr>
                <w:rFonts w:ascii="Arial" w:eastAsia="Calibri" w:hAnsi="Arial" w:cs="Arial"/>
                <w:color w:val="1A1A1A"/>
                <w:sz w:val="22"/>
                <w:szCs w:val="22"/>
              </w:rPr>
              <w:t>S</w:t>
            </w:r>
            <w:r w:rsidRPr="005C04F4">
              <w:rPr>
                <w:rFonts w:ascii="Arial" w:eastAsia="Calibri" w:hAnsi="Arial" w:cs="Arial"/>
                <w:color w:val="1A1A1A"/>
                <w:sz w:val="22"/>
                <w:szCs w:val="22"/>
              </w:rPr>
              <w:t>ervice level without manual work on every run.</w:t>
            </w:r>
          </w:p>
        </w:tc>
      </w:tr>
      <w:tr w:rsidR="00A83A1D" w:rsidRPr="005C04F4" w14:paraId="0AB07871" w14:textId="77777777" w:rsidTr="00F615FC">
        <w:tc>
          <w:tcPr>
            <w:tcW w:w="560" w:type="dxa"/>
            <w:shd w:val="clear" w:color="auto" w:fill="F0F4F8"/>
            <w:tcMar>
              <w:top w:w="80" w:type="dxa"/>
              <w:left w:w="110" w:type="dxa"/>
              <w:bottom w:w="80" w:type="dxa"/>
              <w:right w:w="110" w:type="dxa"/>
            </w:tcMar>
            <w:vAlign w:val="center"/>
          </w:tcPr>
          <w:p w14:paraId="1531EF07" w14:textId="77777777" w:rsidR="00A83A1D" w:rsidRPr="005C04F4" w:rsidRDefault="00A83A1D" w:rsidP="005C04F4">
            <w:pPr>
              <w:spacing w:after="40" w:line="360" w:lineRule="auto"/>
              <w:jc w:val="center"/>
              <w:rPr>
                <w:rFonts w:ascii="Arial" w:hAnsi="Arial" w:cs="Arial"/>
                <w:sz w:val="22"/>
                <w:szCs w:val="22"/>
              </w:rPr>
            </w:pPr>
            <w:r w:rsidRPr="005C04F4">
              <w:rPr>
                <w:rFonts w:ascii="Arial" w:eastAsia="Calibri" w:hAnsi="Arial" w:cs="Arial"/>
                <w:b/>
                <w:bCs/>
                <w:color w:val="1A1A1A"/>
                <w:sz w:val="22"/>
                <w:szCs w:val="22"/>
              </w:rPr>
              <w:t>4</w:t>
            </w:r>
          </w:p>
        </w:tc>
        <w:tc>
          <w:tcPr>
            <w:tcW w:w="4180" w:type="dxa"/>
            <w:tcMar>
              <w:top w:w="80" w:type="dxa"/>
              <w:left w:w="110" w:type="dxa"/>
              <w:bottom w:w="80" w:type="dxa"/>
              <w:right w:w="110" w:type="dxa"/>
            </w:tcMar>
            <w:vAlign w:val="center"/>
          </w:tcPr>
          <w:p w14:paraId="37AB91E5" w14:textId="77777777" w:rsidR="00A83A1D" w:rsidRPr="005C04F4" w:rsidRDefault="00A83A1D" w:rsidP="00F615FC">
            <w:pPr>
              <w:spacing w:after="40" w:line="360" w:lineRule="auto"/>
              <w:rPr>
                <w:rFonts w:ascii="Arial" w:hAnsi="Arial" w:cs="Arial"/>
                <w:sz w:val="22"/>
                <w:szCs w:val="22"/>
              </w:rPr>
            </w:pPr>
            <w:r w:rsidRPr="005C04F4">
              <w:rPr>
                <w:rFonts w:ascii="Arial" w:eastAsia="Calibri" w:hAnsi="Arial" w:cs="Arial"/>
                <w:color w:val="1A1A1A"/>
                <w:sz w:val="22"/>
                <w:szCs w:val="22"/>
              </w:rPr>
              <w:t>90-day rolling window only. Data is not retained beyond 90 days.</w:t>
            </w:r>
          </w:p>
        </w:tc>
        <w:tc>
          <w:tcPr>
            <w:tcW w:w="4180" w:type="dxa"/>
            <w:tcMar>
              <w:top w:w="80" w:type="dxa"/>
              <w:left w:w="110" w:type="dxa"/>
              <w:bottom w:w="80" w:type="dxa"/>
              <w:right w:w="110" w:type="dxa"/>
            </w:tcMar>
            <w:vAlign w:val="center"/>
          </w:tcPr>
          <w:p w14:paraId="4C08DA6D" w14:textId="77777777" w:rsidR="00A83A1D" w:rsidRPr="005C04F4" w:rsidRDefault="00A83A1D" w:rsidP="00F615FC">
            <w:pPr>
              <w:spacing w:after="40" w:line="360" w:lineRule="auto"/>
              <w:rPr>
                <w:rFonts w:ascii="Arial" w:hAnsi="Arial" w:cs="Arial"/>
                <w:sz w:val="22"/>
                <w:szCs w:val="22"/>
              </w:rPr>
            </w:pPr>
            <w:r w:rsidRPr="005C04F4">
              <w:rPr>
                <w:rFonts w:ascii="Arial" w:eastAsia="Calibri" w:hAnsi="Arial" w:cs="Arial"/>
                <w:color w:val="1A1A1A"/>
                <w:sz w:val="22"/>
                <w:szCs w:val="22"/>
              </w:rPr>
              <w:t>We cannot do trend analysis, year-on-year comparison or longitudinal adoption tracking without an archiving solution.</w:t>
            </w:r>
          </w:p>
        </w:tc>
      </w:tr>
      <w:tr w:rsidR="00A83A1D" w:rsidRPr="005C04F4" w14:paraId="2A6A316B" w14:textId="77777777" w:rsidTr="00F615FC">
        <w:tc>
          <w:tcPr>
            <w:tcW w:w="560" w:type="dxa"/>
            <w:shd w:val="clear" w:color="auto" w:fill="F0F4F8"/>
            <w:tcMar>
              <w:top w:w="80" w:type="dxa"/>
              <w:left w:w="110" w:type="dxa"/>
              <w:bottom w:w="80" w:type="dxa"/>
              <w:right w:w="110" w:type="dxa"/>
            </w:tcMar>
            <w:vAlign w:val="center"/>
          </w:tcPr>
          <w:p w14:paraId="2F094FA8" w14:textId="77777777" w:rsidR="00A83A1D" w:rsidRPr="005C04F4" w:rsidRDefault="00A83A1D" w:rsidP="005C04F4">
            <w:pPr>
              <w:spacing w:after="40" w:line="360" w:lineRule="auto"/>
              <w:jc w:val="center"/>
              <w:rPr>
                <w:rFonts w:ascii="Arial" w:hAnsi="Arial" w:cs="Arial"/>
                <w:sz w:val="22"/>
                <w:szCs w:val="22"/>
              </w:rPr>
            </w:pPr>
            <w:r w:rsidRPr="005C04F4">
              <w:rPr>
                <w:rFonts w:ascii="Arial" w:eastAsia="Calibri" w:hAnsi="Arial" w:cs="Arial"/>
                <w:b/>
                <w:bCs/>
                <w:color w:val="1A1A1A"/>
                <w:sz w:val="22"/>
                <w:szCs w:val="22"/>
              </w:rPr>
              <w:t>5</w:t>
            </w:r>
          </w:p>
        </w:tc>
        <w:tc>
          <w:tcPr>
            <w:tcW w:w="4180" w:type="dxa"/>
            <w:tcMar>
              <w:top w:w="80" w:type="dxa"/>
              <w:left w:w="110" w:type="dxa"/>
              <w:bottom w:w="80" w:type="dxa"/>
              <w:right w:w="110" w:type="dxa"/>
            </w:tcMar>
            <w:vAlign w:val="center"/>
          </w:tcPr>
          <w:p w14:paraId="1341BA3F" w14:textId="0A3C7BE8" w:rsidR="00A83A1D" w:rsidRPr="000A4D5E" w:rsidRDefault="00A83A1D" w:rsidP="00F615FC">
            <w:pPr>
              <w:spacing w:before="60" w:after="100" w:line="360" w:lineRule="auto"/>
              <w:rPr>
                <w:rFonts w:ascii="Arial" w:hAnsi="Arial" w:cs="Arial"/>
                <w:color w:val="FF0000"/>
                <w:sz w:val="22"/>
                <w:szCs w:val="22"/>
              </w:rPr>
            </w:pPr>
            <w:r w:rsidRPr="00495017">
              <w:rPr>
                <w:rFonts w:ascii="Arial" w:eastAsia="Calibri" w:hAnsi="Arial" w:cs="Arial"/>
                <w:sz w:val="22"/>
                <w:szCs w:val="22"/>
              </w:rPr>
              <w:t xml:space="preserve">UEC data is currently unusable for leadership reporting. </w:t>
            </w:r>
            <w:r w:rsidR="000A4D5E" w:rsidRPr="00495017">
              <w:rPr>
                <w:rFonts w:ascii="Arial" w:hAnsi="Arial" w:cs="Arial"/>
                <w:sz w:val="22"/>
                <w:szCs w:val="22"/>
              </w:rPr>
              <w:t xml:space="preserve">For Application 5 (GP to Pharmacy), reporting has been feasible because there </w:t>
            </w:r>
            <w:r w:rsidR="000A4D5E" w:rsidRPr="00495017">
              <w:rPr>
                <w:rFonts w:ascii="Arial" w:eastAsia="Calibri" w:hAnsi="Arial" w:cs="Arial"/>
                <w:sz w:val="22"/>
                <w:szCs w:val="22"/>
              </w:rPr>
              <w:t xml:space="preserve">because it has </w:t>
            </w:r>
            <w:r w:rsidR="008F66E8" w:rsidRPr="00495017">
              <w:rPr>
                <w:rFonts w:ascii="Arial" w:eastAsia="Calibri" w:hAnsi="Arial" w:cs="Arial"/>
                <w:sz w:val="22"/>
                <w:szCs w:val="22"/>
              </w:rPr>
              <w:t>a sole use</w:t>
            </w:r>
            <w:r w:rsidR="000A4D5E" w:rsidRPr="00495017">
              <w:rPr>
                <w:rFonts w:ascii="Arial" w:eastAsia="Calibri" w:hAnsi="Arial" w:cs="Arial"/>
                <w:sz w:val="22"/>
                <w:szCs w:val="22"/>
              </w:rPr>
              <w:t xml:space="preserve"> case and a clean pairing.</w:t>
            </w:r>
            <w:r w:rsidR="000A4D5E" w:rsidRPr="00495017">
              <w:rPr>
                <w:rFonts w:ascii="Arial" w:hAnsi="Arial" w:cs="Arial"/>
                <w:sz w:val="22"/>
                <w:szCs w:val="22"/>
              </w:rPr>
              <w:t xml:space="preserve"> For all other applications, the data is currently too ambiguous to surface meaningful benefit report.</w:t>
            </w:r>
          </w:p>
        </w:tc>
        <w:tc>
          <w:tcPr>
            <w:tcW w:w="4180" w:type="dxa"/>
            <w:tcMar>
              <w:top w:w="80" w:type="dxa"/>
              <w:left w:w="110" w:type="dxa"/>
              <w:bottom w:w="80" w:type="dxa"/>
              <w:right w:w="110" w:type="dxa"/>
            </w:tcMar>
            <w:vAlign w:val="center"/>
          </w:tcPr>
          <w:p w14:paraId="5B92D109" w14:textId="77777777" w:rsidR="00A83A1D" w:rsidRPr="005C04F4" w:rsidRDefault="00A83A1D" w:rsidP="00F615FC">
            <w:pPr>
              <w:spacing w:after="40" w:line="360" w:lineRule="auto"/>
              <w:rPr>
                <w:rFonts w:ascii="Arial" w:hAnsi="Arial" w:cs="Arial"/>
                <w:sz w:val="22"/>
                <w:szCs w:val="22"/>
              </w:rPr>
            </w:pPr>
            <w:r w:rsidRPr="005C04F4">
              <w:rPr>
                <w:rFonts w:ascii="Arial" w:eastAsia="Calibri" w:hAnsi="Arial" w:cs="Arial"/>
                <w:color w:val="1A1A1A"/>
                <w:sz w:val="22"/>
                <w:szCs w:val="22"/>
              </w:rPr>
              <w:t>Most BaRS traffic cannot currently be presented as evidence of adoption or benefit.</w:t>
            </w:r>
          </w:p>
        </w:tc>
      </w:tr>
    </w:tbl>
    <w:p w14:paraId="07481CD2" w14:textId="77777777" w:rsidR="00495017" w:rsidRDefault="00495017" w:rsidP="00495017">
      <w:pPr>
        <w:pBdr>
          <w:bottom w:val="single" w:sz="12" w:space="1" w:color="auto"/>
        </w:pBdr>
        <w:spacing w:before="120" w:after="140" w:line="360" w:lineRule="auto"/>
        <w:rPr>
          <w:rFonts w:ascii="Arial" w:eastAsia="Calibri" w:hAnsi="Arial" w:cs="Arial"/>
          <w:color w:val="000000" w:themeColor="text1"/>
          <w:sz w:val="22"/>
          <w:szCs w:val="22"/>
        </w:rPr>
      </w:pPr>
    </w:p>
    <w:p w14:paraId="5A1BBDD2" w14:textId="292FD643" w:rsidR="005C04F4" w:rsidRDefault="00A83A1D" w:rsidP="00495017">
      <w:pPr>
        <w:pBdr>
          <w:bottom w:val="single" w:sz="12" w:space="1" w:color="auto"/>
        </w:pBdr>
        <w:spacing w:before="120" w:after="140" w:line="360" w:lineRule="auto"/>
        <w:rPr>
          <w:rFonts w:ascii="Arial" w:eastAsia="Calibri" w:hAnsi="Arial" w:cs="Arial"/>
          <w:color w:val="000000" w:themeColor="text1"/>
          <w:sz w:val="22"/>
          <w:szCs w:val="22"/>
        </w:rPr>
      </w:pPr>
      <w:r w:rsidRPr="005C04F4">
        <w:rPr>
          <w:rFonts w:ascii="Arial" w:eastAsia="Calibri" w:hAnsi="Arial" w:cs="Arial"/>
          <w:color w:val="000000" w:themeColor="text1"/>
          <w:sz w:val="22"/>
          <w:szCs w:val="22"/>
        </w:rPr>
        <w:t>One point is worth noting. Some of the information reporting needs may already exist in Splunk but is redacted under the current DPIA. It could potentially be released subject to information governance approval, which would be a faster route than new capture for a subset of needs.</w:t>
      </w:r>
    </w:p>
    <w:p w14:paraId="62A7F771" w14:textId="77777777" w:rsidR="00495017" w:rsidRDefault="00495017" w:rsidP="00495017">
      <w:pPr>
        <w:pBdr>
          <w:bottom w:val="single" w:sz="12" w:space="1" w:color="auto"/>
        </w:pBdr>
        <w:spacing w:before="120" w:after="140" w:line="360" w:lineRule="auto"/>
        <w:rPr>
          <w:rFonts w:ascii="Arial" w:eastAsia="Calibri" w:hAnsi="Arial" w:cs="Arial"/>
          <w:color w:val="000000" w:themeColor="text1"/>
          <w:sz w:val="22"/>
          <w:szCs w:val="22"/>
        </w:rPr>
      </w:pPr>
    </w:p>
    <w:p w14:paraId="2B0B7180" w14:textId="3D2D1BE4" w:rsidR="00E93ECB" w:rsidRPr="005C04F4" w:rsidRDefault="00E93ECB" w:rsidP="005C04F4">
      <w:pPr>
        <w:pStyle w:val="Heading1"/>
        <w:spacing w:line="360" w:lineRule="auto"/>
        <w:rPr>
          <w:rFonts w:ascii="Arial" w:hAnsi="Arial" w:cs="Arial"/>
        </w:rPr>
      </w:pPr>
      <w:commentRangeStart w:id="2"/>
      <w:commentRangeStart w:id="3"/>
      <w:r w:rsidRPr="005C04F4">
        <w:rPr>
          <w:rFonts w:ascii="Arial" w:hAnsi="Arial" w:cs="Arial"/>
        </w:rPr>
        <w:t>What good reporting would let us produce</w:t>
      </w:r>
      <w:commentRangeEnd w:id="2"/>
      <w:r w:rsidR="00C033AE" w:rsidRPr="005C04F4">
        <w:rPr>
          <w:rStyle w:val="CommentReference"/>
          <w:rFonts w:ascii="Arial" w:hAnsi="Arial" w:cs="Arial"/>
          <w:sz w:val="32"/>
          <w:szCs w:val="32"/>
        </w:rPr>
        <w:commentReference w:id="2"/>
      </w:r>
      <w:commentRangeEnd w:id="3"/>
      <w:r w:rsidRPr="005C04F4">
        <w:rPr>
          <w:rStyle w:val="CommentReference"/>
          <w:rFonts w:ascii="Arial" w:hAnsi="Arial" w:cs="Arial"/>
          <w:sz w:val="32"/>
          <w:szCs w:val="32"/>
        </w:rPr>
        <w:commentReference w:id="3"/>
      </w:r>
    </w:p>
    <w:p w14:paraId="64050629" w14:textId="34959B12" w:rsidR="00E93ECB" w:rsidRPr="006E03AB" w:rsidRDefault="00E93ECB" w:rsidP="006E03AB">
      <w:pPr>
        <w:spacing w:before="40" w:after="40" w:line="360" w:lineRule="auto"/>
        <w:rPr>
          <w:rFonts w:ascii="Arial" w:hAnsi="Arial" w:cs="Arial"/>
          <w:sz w:val="22"/>
          <w:szCs w:val="22"/>
        </w:rPr>
      </w:pPr>
      <w:r w:rsidRPr="00987E4E">
        <w:rPr>
          <w:rFonts w:ascii="Arial" w:eastAsia="Calibri" w:hAnsi="Arial" w:cs="Arial"/>
          <w:color w:val="1A1A1A"/>
          <w:sz w:val="22"/>
          <w:szCs w:val="22"/>
        </w:rPr>
        <w:t xml:space="preserve">With the right information captured, the programme could produce a </w:t>
      </w:r>
      <w:r w:rsidR="00987E4E">
        <w:rPr>
          <w:rFonts w:ascii="Arial" w:eastAsia="Calibri" w:hAnsi="Arial" w:cs="Arial"/>
          <w:color w:val="1A1A1A"/>
          <w:sz w:val="22"/>
          <w:szCs w:val="22"/>
        </w:rPr>
        <w:t xml:space="preserve">pack or dashboard that </w:t>
      </w:r>
      <w:r w:rsidR="00987E4E" w:rsidRPr="006E03AB">
        <w:rPr>
          <w:rFonts w:ascii="Arial" w:eastAsia="Calibri" w:hAnsi="Arial" w:cs="Arial"/>
          <w:sz w:val="22"/>
          <w:szCs w:val="22"/>
        </w:rPr>
        <w:t>evidence</w:t>
      </w:r>
      <w:r w:rsidR="006E03AB" w:rsidRPr="006E03AB">
        <w:rPr>
          <w:rFonts w:ascii="Arial" w:eastAsia="Calibri" w:hAnsi="Arial" w:cs="Arial"/>
          <w:sz w:val="22"/>
          <w:szCs w:val="22"/>
        </w:rPr>
        <w:t xml:space="preserve">s the benefits of </w:t>
      </w:r>
      <w:r w:rsidR="00987E4E" w:rsidRPr="006E03AB">
        <w:rPr>
          <w:rFonts w:ascii="Arial" w:hAnsi="Arial" w:cs="Arial"/>
          <w:sz w:val="22"/>
          <w:szCs w:val="22"/>
        </w:rPr>
        <w:t>BaRS</w:t>
      </w:r>
      <w:r w:rsidR="006E03AB" w:rsidRPr="006E03AB">
        <w:rPr>
          <w:rFonts w:ascii="Arial" w:hAnsi="Arial" w:cs="Arial"/>
          <w:sz w:val="22"/>
          <w:szCs w:val="22"/>
        </w:rPr>
        <w:t xml:space="preserve"> </w:t>
      </w:r>
      <w:r w:rsidR="00987E4E" w:rsidRPr="006E03AB">
        <w:rPr>
          <w:rFonts w:ascii="Arial" w:hAnsi="Arial" w:cs="Arial"/>
          <w:sz w:val="22"/>
          <w:szCs w:val="22"/>
        </w:rPr>
        <w:t>strong</w:t>
      </w:r>
      <w:r w:rsidR="006E03AB" w:rsidRPr="006E03AB">
        <w:rPr>
          <w:rFonts w:ascii="Arial" w:hAnsi="Arial" w:cs="Arial"/>
          <w:sz w:val="22"/>
          <w:szCs w:val="22"/>
        </w:rPr>
        <w:t>ly</w:t>
      </w:r>
      <w:r w:rsidR="00987E4E" w:rsidRPr="006E03AB">
        <w:rPr>
          <w:rFonts w:ascii="Arial" w:hAnsi="Arial" w:cs="Arial"/>
          <w:sz w:val="22"/>
          <w:szCs w:val="22"/>
        </w:rPr>
        <w:t xml:space="preserve"> enough to support its position as the national standard for digital booking and referral in </w:t>
      </w:r>
      <w:r w:rsidR="006E03AB" w:rsidRPr="006E03AB">
        <w:rPr>
          <w:rFonts w:ascii="Arial" w:hAnsi="Arial" w:cs="Arial"/>
          <w:sz w:val="22"/>
          <w:szCs w:val="22"/>
        </w:rPr>
        <w:t>UEC</w:t>
      </w:r>
      <w:r w:rsidR="00987E4E" w:rsidRPr="006E03AB">
        <w:rPr>
          <w:rFonts w:ascii="Arial" w:hAnsi="Arial" w:cs="Arial"/>
          <w:sz w:val="22"/>
          <w:szCs w:val="22"/>
        </w:rPr>
        <w:t>.</w:t>
      </w:r>
      <w:r w:rsidR="006E03AB" w:rsidRPr="006E03AB">
        <w:rPr>
          <w:rFonts w:ascii="Arial" w:hAnsi="Arial" w:cs="Arial"/>
          <w:sz w:val="22"/>
          <w:szCs w:val="22"/>
        </w:rPr>
        <w:t xml:space="preserve"> </w:t>
      </w:r>
      <w:r w:rsidRPr="006E03AB">
        <w:rPr>
          <w:rFonts w:ascii="Arial" w:eastAsia="Calibri" w:hAnsi="Arial" w:cs="Arial"/>
          <w:sz w:val="22"/>
          <w:szCs w:val="22"/>
        </w:rPr>
        <w:t>GP to Pharmacy already shows this is achievable where the data is clean, and it gives us a working template to replicate. A regular pack would cover:</w:t>
      </w:r>
    </w:p>
    <w:p w14:paraId="2FCA3F18" w14:textId="77777777" w:rsidR="00E93ECB" w:rsidRPr="006E03AB" w:rsidRDefault="00E93ECB" w:rsidP="005C04F4">
      <w:pPr>
        <w:pStyle w:val="ListParagraph"/>
        <w:numPr>
          <w:ilvl w:val="0"/>
          <w:numId w:val="25"/>
        </w:numPr>
        <w:spacing w:after="80" w:line="360" w:lineRule="auto"/>
        <w:contextualSpacing w:val="0"/>
        <w:rPr>
          <w:rFonts w:ascii="Arial" w:hAnsi="Arial" w:cs="Arial"/>
          <w:sz w:val="22"/>
          <w:szCs w:val="22"/>
        </w:rPr>
      </w:pPr>
      <w:r w:rsidRPr="006E03AB">
        <w:rPr>
          <w:rFonts w:ascii="Arial" w:eastAsia="Calibri" w:hAnsi="Arial" w:cs="Arial"/>
          <w:sz w:val="22"/>
          <w:szCs w:val="22"/>
        </w:rPr>
        <w:t>Active providers, Services and suppliers, and referral and booking volumes.</w:t>
      </w:r>
    </w:p>
    <w:p w14:paraId="7CE33A48" w14:textId="77777777" w:rsidR="00E93ECB" w:rsidRPr="006E03AB" w:rsidRDefault="00E93ECB" w:rsidP="005C04F4">
      <w:pPr>
        <w:pStyle w:val="ListParagraph"/>
        <w:numPr>
          <w:ilvl w:val="0"/>
          <w:numId w:val="25"/>
        </w:numPr>
        <w:spacing w:after="80" w:line="360" w:lineRule="auto"/>
        <w:contextualSpacing w:val="0"/>
        <w:rPr>
          <w:rFonts w:ascii="Arial" w:hAnsi="Arial" w:cs="Arial"/>
          <w:sz w:val="22"/>
          <w:szCs w:val="22"/>
        </w:rPr>
      </w:pPr>
      <w:r w:rsidRPr="006E03AB">
        <w:rPr>
          <w:rFonts w:ascii="Arial" w:eastAsia="Calibri" w:hAnsi="Arial" w:cs="Arial"/>
          <w:sz w:val="22"/>
          <w:szCs w:val="22"/>
        </w:rPr>
        <w:t>Failed referrals and error rates, by sender and receiver.</w:t>
      </w:r>
    </w:p>
    <w:p w14:paraId="4BCD9757" w14:textId="752180EA" w:rsidR="00987E4E" w:rsidRPr="006E03AB" w:rsidRDefault="00987E4E" w:rsidP="00987E4E">
      <w:pPr>
        <w:pStyle w:val="ListParagraph"/>
        <w:numPr>
          <w:ilvl w:val="0"/>
          <w:numId w:val="25"/>
        </w:numPr>
        <w:spacing w:before="40" w:after="40" w:line="360" w:lineRule="auto"/>
        <w:rPr>
          <w:rFonts w:ascii="Arial" w:hAnsi="Arial" w:cs="Arial"/>
          <w:sz w:val="22"/>
          <w:szCs w:val="22"/>
        </w:rPr>
      </w:pPr>
      <w:r w:rsidRPr="006E03AB">
        <w:rPr>
          <w:rFonts w:ascii="Arial" w:hAnsi="Arial" w:cs="Arial"/>
          <w:sz w:val="22"/>
          <w:szCs w:val="22"/>
        </w:rPr>
        <w:t>Granular, organisation-level visibility to support performance monitoring and escalation, including at Trust, Urgent Treatment Centre (UTC), Emergency Department (ED), Same Day Emergency Care (SDEC)</w:t>
      </w:r>
      <w:r w:rsidR="00D9344B">
        <w:rPr>
          <w:rFonts w:ascii="Arial" w:hAnsi="Arial" w:cs="Arial"/>
          <w:sz w:val="22"/>
          <w:szCs w:val="22"/>
        </w:rPr>
        <w:t xml:space="preserve"> </w:t>
      </w:r>
      <w:r w:rsidRPr="006E03AB">
        <w:rPr>
          <w:rFonts w:ascii="Arial" w:hAnsi="Arial" w:cs="Arial"/>
          <w:sz w:val="22"/>
          <w:szCs w:val="22"/>
        </w:rPr>
        <w:t>and 999 / 111 Telephony provider level.</w:t>
      </w:r>
    </w:p>
    <w:p w14:paraId="26B45B0F" w14:textId="3CD906B6" w:rsidR="00E93ECB" w:rsidRPr="006E03AB" w:rsidRDefault="00987E4E" w:rsidP="006E03AB">
      <w:pPr>
        <w:pStyle w:val="ListParagraph"/>
        <w:numPr>
          <w:ilvl w:val="0"/>
          <w:numId w:val="25"/>
        </w:numPr>
        <w:spacing w:before="40" w:after="40" w:line="360" w:lineRule="auto"/>
        <w:rPr>
          <w:rFonts w:ascii="Arial" w:hAnsi="Arial" w:cs="Arial"/>
          <w:sz w:val="22"/>
          <w:szCs w:val="22"/>
        </w:rPr>
      </w:pPr>
      <w:r w:rsidRPr="006E03AB">
        <w:rPr>
          <w:rFonts w:ascii="Arial" w:hAnsi="Arial" w:cs="Arial"/>
          <w:sz w:val="22"/>
          <w:szCs w:val="22"/>
        </w:rPr>
        <w:t>Understanding traffic patterns by application type (App 1, 2, 3, 4, 6) and use case (e.g. 111 to ED, 111 to UTC, 999 to 999 etc.).</w:t>
      </w:r>
    </w:p>
    <w:p w14:paraId="69D65553" w14:textId="77777777" w:rsidR="00E93ECB" w:rsidRPr="005C04F4" w:rsidRDefault="00E93ECB" w:rsidP="005C04F4">
      <w:pPr>
        <w:spacing w:after="140" w:line="360" w:lineRule="auto"/>
        <w:rPr>
          <w:rFonts w:ascii="Arial" w:hAnsi="Arial" w:cs="Arial"/>
          <w:b/>
          <w:bCs/>
          <w:sz w:val="22"/>
          <w:szCs w:val="22"/>
        </w:rPr>
      </w:pPr>
      <w:r w:rsidRPr="005C04F4">
        <w:rPr>
          <w:rFonts w:ascii="Arial" w:eastAsia="Calibri" w:hAnsi="Arial" w:cs="Arial"/>
          <w:b/>
          <w:bCs/>
          <w:color w:val="1A1A1A"/>
          <w:sz w:val="22"/>
          <w:szCs w:val="22"/>
        </w:rPr>
        <w:t>This is the difference between reporting that BaRS is busy and evidencing that BaRS is working.</w:t>
      </w:r>
    </w:p>
    <w:p w14:paraId="1BB08BA7" w14:textId="77777777" w:rsidR="005C04F4" w:rsidRPr="005C04F4" w:rsidRDefault="005C04F4" w:rsidP="005C04F4">
      <w:pPr>
        <w:pBdr>
          <w:bottom w:val="single" w:sz="12" w:space="1" w:color="auto"/>
        </w:pBdr>
        <w:spacing w:before="40" w:after="40" w:line="360" w:lineRule="auto"/>
        <w:rPr>
          <w:rFonts w:ascii="Arial" w:hAnsi="Arial" w:cs="Arial"/>
          <w:color w:val="FF0000"/>
          <w:sz w:val="22"/>
          <w:szCs w:val="22"/>
        </w:rPr>
      </w:pPr>
    </w:p>
    <w:p w14:paraId="165AEC67" w14:textId="0501DE8B" w:rsidR="009317D6" w:rsidRPr="005C04F4" w:rsidRDefault="009317D6" w:rsidP="005C04F4">
      <w:pPr>
        <w:pStyle w:val="Heading1"/>
        <w:spacing w:line="360" w:lineRule="auto"/>
        <w:rPr>
          <w:rFonts w:ascii="Arial" w:hAnsi="Arial" w:cs="Arial"/>
        </w:rPr>
      </w:pPr>
      <w:r w:rsidRPr="005C04F4">
        <w:rPr>
          <w:rFonts w:ascii="Arial" w:hAnsi="Arial" w:cs="Arial"/>
        </w:rPr>
        <w:t>Recommendations</w:t>
      </w:r>
    </w:p>
    <w:p w14:paraId="0CE1A490" w14:textId="77777777" w:rsidR="009317D6" w:rsidRPr="005C04F4" w:rsidRDefault="009317D6" w:rsidP="005C04F4">
      <w:pPr>
        <w:spacing w:after="140" w:line="360" w:lineRule="auto"/>
        <w:rPr>
          <w:rFonts w:ascii="Arial" w:hAnsi="Arial" w:cs="Arial"/>
          <w:sz w:val="22"/>
          <w:szCs w:val="22"/>
        </w:rPr>
      </w:pPr>
      <w:r w:rsidRPr="005C04F4">
        <w:rPr>
          <w:rFonts w:ascii="Arial" w:eastAsia="Calibri" w:hAnsi="Arial" w:cs="Arial"/>
          <w:color w:val="1A1A1A"/>
          <w:sz w:val="22"/>
          <w:szCs w:val="22"/>
        </w:rPr>
        <w:t>The recommendations fall into two groups. The first can improve reporting now, within the current platform. The second addresses the root cause by capturing the right information at source. The second group is where we are seeking the Board's agreement in principle.</w:t>
      </w:r>
    </w:p>
    <w:p w14:paraId="03D54424" w14:textId="2D8782E4" w:rsidR="00B24872" w:rsidRPr="005C04F4" w:rsidRDefault="009317D6" w:rsidP="005C04F4">
      <w:pPr>
        <w:pStyle w:val="Heading2"/>
        <w:spacing w:line="360" w:lineRule="auto"/>
        <w:rPr>
          <w:rFonts w:ascii="Arial" w:hAnsi="Arial" w:cs="Arial"/>
        </w:rPr>
      </w:pPr>
      <w:r w:rsidRPr="005C04F4">
        <w:rPr>
          <w:rFonts w:ascii="Arial" w:hAnsi="Arial" w:cs="Arial"/>
        </w:rPr>
        <w:t>Improve what we can now</w:t>
      </w:r>
    </w:p>
    <w:p w14:paraId="1E5ACF8E" w14:textId="77777777" w:rsidR="009317D6" w:rsidRPr="005C04F4" w:rsidRDefault="009317D6" w:rsidP="005C04F4">
      <w:pPr>
        <w:pStyle w:val="ListParagraph"/>
        <w:numPr>
          <w:ilvl w:val="0"/>
          <w:numId w:val="25"/>
        </w:numPr>
        <w:spacing w:after="80" w:line="360" w:lineRule="auto"/>
        <w:contextualSpacing w:val="0"/>
        <w:rPr>
          <w:rFonts w:ascii="Arial" w:hAnsi="Arial" w:cs="Arial"/>
          <w:sz w:val="22"/>
          <w:szCs w:val="22"/>
        </w:rPr>
      </w:pPr>
      <w:r w:rsidRPr="005C04F4">
        <w:rPr>
          <w:rFonts w:ascii="Arial" w:eastAsia="Calibri" w:hAnsi="Arial" w:cs="Arial"/>
          <w:color w:val="1A1A1A"/>
          <w:sz w:val="22"/>
          <w:szCs w:val="22"/>
        </w:rPr>
        <w:t>Mandate use case categories for all newly assured suppliers, so application and use case reporting becomes possible for UEC flows and the ambiguity does not compound with every new supplier onboarded.</w:t>
      </w:r>
    </w:p>
    <w:p w14:paraId="1CD93974" w14:textId="77777777" w:rsidR="009317D6" w:rsidRPr="005C04F4" w:rsidRDefault="009317D6" w:rsidP="005C04F4">
      <w:pPr>
        <w:pStyle w:val="ListParagraph"/>
        <w:numPr>
          <w:ilvl w:val="0"/>
          <w:numId w:val="25"/>
        </w:numPr>
        <w:spacing w:after="80" w:line="360" w:lineRule="auto"/>
        <w:contextualSpacing w:val="0"/>
        <w:rPr>
          <w:rFonts w:ascii="Arial" w:hAnsi="Arial" w:cs="Arial"/>
          <w:sz w:val="22"/>
          <w:szCs w:val="22"/>
        </w:rPr>
      </w:pPr>
      <w:r w:rsidRPr="005C04F4">
        <w:rPr>
          <w:rFonts w:ascii="Arial" w:eastAsia="Calibri" w:hAnsi="Arial" w:cs="Arial"/>
          <w:color w:val="1A1A1A"/>
          <w:sz w:val="22"/>
          <w:szCs w:val="22"/>
        </w:rPr>
        <w:t>Build a reusable decoder for the encoded ODS codes and service IDs, so consistent organisation-level reporting stops depending on manual processing.</w:t>
      </w:r>
    </w:p>
    <w:p w14:paraId="547DD9D3" w14:textId="77777777" w:rsidR="009317D6" w:rsidRPr="005C04F4" w:rsidRDefault="009317D6" w:rsidP="005C04F4">
      <w:pPr>
        <w:pStyle w:val="ListParagraph"/>
        <w:numPr>
          <w:ilvl w:val="0"/>
          <w:numId w:val="25"/>
        </w:numPr>
        <w:spacing w:after="80" w:line="360" w:lineRule="auto"/>
        <w:contextualSpacing w:val="0"/>
        <w:rPr>
          <w:rFonts w:ascii="Arial" w:hAnsi="Arial" w:cs="Arial"/>
          <w:sz w:val="22"/>
          <w:szCs w:val="22"/>
        </w:rPr>
      </w:pPr>
      <w:r w:rsidRPr="005C04F4">
        <w:rPr>
          <w:rFonts w:ascii="Arial" w:eastAsia="Calibri" w:hAnsi="Arial" w:cs="Arial"/>
          <w:color w:val="1A1A1A"/>
          <w:sz w:val="22"/>
          <w:szCs w:val="22"/>
        </w:rPr>
        <w:t>Use GP to Pharmacy as the template baseline, replicating its clean reporting model as use case categorisation matures.</w:t>
      </w:r>
    </w:p>
    <w:p w14:paraId="7B1A66D0" w14:textId="2B3B9332" w:rsidR="009317D6" w:rsidRPr="005C04F4" w:rsidRDefault="009317D6" w:rsidP="005C04F4">
      <w:pPr>
        <w:pStyle w:val="ListParagraph"/>
        <w:numPr>
          <w:ilvl w:val="0"/>
          <w:numId w:val="25"/>
        </w:numPr>
        <w:spacing w:after="80" w:line="360" w:lineRule="auto"/>
        <w:contextualSpacing w:val="0"/>
        <w:rPr>
          <w:rFonts w:ascii="Arial" w:hAnsi="Arial" w:cs="Arial"/>
          <w:sz w:val="22"/>
          <w:szCs w:val="22"/>
        </w:rPr>
      </w:pPr>
      <w:r w:rsidRPr="005C04F4">
        <w:rPr>
          <w:rFonts w:ascii="Arial" w:eastAsia="Calibri" w:hAnsi="Arial" w:cs="Arial"/>
          <w:color w:val="1A1A1A"/>
          <w:sz w:val="22"/>
          <w:szCs w:val="22"/>
        </w:rPr>
        <w:t>Establish scheduled reports covering active Services, volumes by application, error rates and adoption trends, in place of ad hoc queries.</w:t>
      </w:r>
    </w:p>
    <w:p w14:paraId="3EE740BC" w14:textId="77777777" w:rsidR="009317D6" w:rsidRPr="005C04F4" w:rsidRDefault="009317D6" w:rsidP="005C04F4">
      <w:pPr>
        <w:pStyle w:val="ListParagraph"/>
        <w:numPr>
          <w:ilvl w:val="0"/>
          <w:numId w:val="25"/>
        </w:numPr>
        <w:spacing w:after="80" w:line="360" w:lineRule="auto"/>
        <w:contextualSpacing w:val="0"/>
        <w:rPr>
          <w:rFonts w:ascii="Arial" w:hAnsi="Arial" w:cs="Arial"/>
          <w:sz w:val="22"/>
          <w:szCs w:val="22"/>
        </w:rPr>
      </w:pPr>
      <w:r w:rsidRPr="005C04F4">
        <w:rPr>
          <w:rFonts w:ascii="Arial" w:eastAsia="Calibri" w:hAnsi="Arial" w:cs="Arial"/>
          <w:color w:val="1A1A1A"/>
          <w:sz w:val="22"/>
          <w:szCs w:val="22"/>
        </w:rPr>
        <w:t>Explore data retention beyond the 90-day window, so trend and longitudinal benefit analysis becomes possible while the longer-term platform decision is worked through.</w:t>
      </w:r>
    </w:p>
    <w:p w14:paraId="5ABBD203" w14:textId="29885ADA" w:rsidR="00B24872" w:rsidRPr="005C04F4" w:rsidRDefault="009317D6" w:rsidP="005C04F4">
      <w:pPr>
        <w:pStyle w:val="Heading2"/>
        <w:spacing w:line="360" w:lineRule="auto"/>
        <w:rPr>
          <w:rFonts w:ascii="Arial" w:hAnsi="Arial" w:cs="Arial"/>
        </w:rPr>
      </w:pPr>
      <w:r w:rsidRPr="005C04F4">
        <w:rPr>
          <w:rFonts w:ascii="Arial" w:hAnsi="Arial" w:cs="Arial"/>
        </w:rPr>
        <w:t>Fix the root cause at source</w:t>
      </w:r>
    </w:p>
    <w:p w14:paraId="6BD71398" w14:textId="278AAA40" w:rsidR="009317D6" w:rsidRPr="005C04F4" w:rsidRDefault="009317D6" w:rsidP="005C04F4">
      <w:pPr>
        <w:spacing w:after="140" w:line="360" w:lineRule="auto"/>
        <w:rPr>
          <w:rFonts w:ascii="Arial" w:hAnsi="Arial" w:cs="Arial"/>
          <w:sz w:val="22"/>
          <w:szCs w:val="22"/>
        </w:rPr>
      </w:pPr>
      <w:r w:rsidRPr="005C04F4">
        <w:rPr>
          <w:rFonts w:ascii="Arial" w:eastAsia="Calibri" w:hAnsi="Arial" w:cs="Arial"/>
          <w:color w:val="1A1A1A"/>
          <w:sz w:val="22"/>
          <w:szCs w:val="22"/>
        </w:rPr>
        <w:t xml:space="preserve">The improvements above help, but they work around a gap rather than closing it. The </w:t>
      </w:r>
      <w:r w:rsidR="00070244">
        <w:rPr>
          <w:rFonts w:ascii="Arial" w:eastAsia="Calibri" w:hAnsi="Arial" w:cs="Arial"/>
          <w:color w:val="1A1A1A"/>
          <w:sz w:val="22"/>
          <w:szCs w:val="22"/>
        </w:rPr>
        <w:t>long term, scalable solution</w:t>
      </w:r>
      <w:r w:rsidR="00070244" w:rsidRPr="005C04F4">
        <w:rPr>
          <w:rFonts w:ascii="Arial" w:eastAsia="Calibri" w:hAnsi="Arial" w:cs="Arial"/>
          <w:color w:val="1A1A1A"/>
          <w:sz w:val="22"/>
          <w:szCs w:val="22"/>
        </w:rPr>
        <w:t xml:space="preserve"> </w:t>
      </w:r>
      <w:r w:rsidRPr="005C04F4">
        <w:rPr>
          <w:rFonts w:ascii="Arial" w:eastAsia="Calibri" w:hAnsi="Arial" w:cs="Arial"/>
          <w:color w:val="1A1A1A"/>
          <w:sz w:val="22"/>
          <w:szCs w:val="22"/>
        </w:rPr>
        <w:t>fix is to capture structured, analytics-ready information within the BaRS transaction model itself, so adoption and benefit can be evidenced by design. This is the direction of travel the Board is asked to endorse.</w:t>
      </w:r>
    </w:p>
    <w:p w14:paraId="35179F49" w14:textId="695BF674" w:rsidR="009317D6" w:rsidRDefault="009317D6" w:rsidP="005C04F4">
      <w:pPr>
        <w:pBdr>
          <w:bottom w:val="single" w:sz="12" w:space="1" w:color="auto"/>
        </w:pBdr>
        <w:spacing w:after="140" w:line="360" w:lineRule="auto"/>
        <w:rPr>
          <w:rFonts w:ascii="Arial" w:eastAsia="Calibri" w:hAnsi="Arial" w:cs="Arial"/>
          <w:color w:val="1A1A1A"/>
          <w:sz w:val="22"/>
          <w:szCs w:val="22"/>
        </w:rPr>
      </w:pPr>
      <w:r w:rsidRPr="005C04F4">
        <w:rPr>
          <w:rFonts w:ascii="Arial" w:eastAsia="Calibri" w:hAnsi="Arial" w:cs="Arial"/>
          <w:color w:val="1A1A1A"/>
          <w:sz w:val="22"/>
          <w:szCs w:val="22"/>
        </w:rPr>
        <w:t xml:space="preserve">The specific fields, their priority and their likely effort are set out </w:t>
      </w:r>
      <w:r w:rsidR="00F4789B">
        <w:rPr>
          <w:rFonts w:ascii="Arial" w:eastAsia="Calibri" w:hAnsi="Arial" w:cs="Arial"/>
          <w:color w:val="1A1A1A"/>
          <w:sz w:val="22"/>
          <w:szCs w:val="22"/>
        </w:rPr>
        <w:t>in</w:t>
      </w:r>
      <w:r w:rsidR="00F4789B" w:rsidRPr="005C04F4">
        <w:rPr>
          <w:rFonts w:ascii="Arial" w:eastAsia="Calibri" w:hAnsi="Arial" w:cs="Arial"/>
          <w:color w:val="1A1A1A"/>
          <w:sz w:val="22"/>
          <w:szCs w:val="22"/>
        </w:rPr>
        <w:t xml:space="preserve"> </w:t>
      </w:r>
      <w:r w:rsidRPr="005C04F4">
        <w:rPr>
          <w:rFonts w:ascii="Arial" w:eastAsia="Calibri" w:hAnsi="Arial" w:cs="Arial"/>
          <w:color w:val="1A1A1A"/>
          <w:sz w:val="22"/>
          <w:szCs w:val="22"/>
        </w:rPr>
        <w:t>Annex A. They range from small changes, such as decoding identifiers that are already captured, to larger ones, such as recording business outcome rather than only transport-level success. Some may prove to be specification changes. Others may be deliverable through implementation guidance or supplier assurance requirements.</w:t>
      </w:r>
    </w:p>
    <w:p w14:paraId="67AC3646" w14:textId="77777777" w:rsidR="005C04F4" w:rsidRDefault="005C04F4" w:rsidP="005C04F4">
      <w:pPr>
        <w:pBdr>
          <w:bottom w:val="single" w:sz="12" w:space="1" w:color="auto"/>
        </w:pBdr>
        <w:spacing w:after="140" w:line="360" w:lineRule="auto"/>
        <w:rPr>
          <w:rFonts w:ascii="Arial" w:eastAsia="Calibri" w:hAnsi="Arial" w:cs="Arial"/>
          <w:color w:val="1A1A1A"/>
          <w:sz w:val="22"/>
          <w:szCs w:val="22"/>
        </w:rPr>
      </w:pPr>
    </w:p>
    <w:p w14:paraId="4F2C9208" w14:textId="06A851B2" w:rsidR="00B24872" w:rsidRPr="005C04F4" w:rsidRDefault="00992F46" w:rsidP="005C04F4">
      <w:pPr>
        <w:pStyle w:val="Heading1"/>
        <w:spacing w:line="360" w:lineRule="auto"/>
        <w:rPr>
          <w:rFonts w:ascii="Arial" w:hAnsi="Arial" w:cs="Arial"/>
        </w:rPr>
      </w:pPr>
      <w:r w:rsidRPr="005C04F4">
        <w:rPr>
          <w:rFonts w:ascii="Arial" w:hAnsi="Arial" w:cs="Arial"/>
        </w:rPr>
        <w:t>The ask</w:t>
      </w:r>
    </w:p>
    <w:p w14:paraId="2A450D1F" w14:textId="77777777" w:rsidR="00992F46" w:rsidRPr="005C04F4" w:rsidRDefault="00992F46" w:rsidP="005C04F4">
      <w:pPr>
        <w:spacing w:after="140" w:line="360" w:lineRule="auto"/>
        <w:rPr>
          <w:rFonts w:ascii="Arial" w:hAnsi="Arial" w:cs="Arial"/>
          <w:sz w:val="22"/>
          <w:szCs w:val="22"/>
        </w:rPr>
      </w:pPr>
      <w:r w:rsidRPr="005C04F4">
        <w:rPr>
          <w:rFonts w:ascii="Arial" w:eastAsia="Calibri" w:hAnsi="Arial" w:cs="Arial"/>
          <w:color w:val="1A1A1A"/>
          <w:sz w:val="22"/>
          <w:szCs w:val="22"/>
        </w:rPr>
        <w:t>The Board is asked to agree:</w:t>
      </w:r>
    </w:p>
    <w:p w14:paraId="3615151C" w14:textId="77777777" w:rsidR="00992F46" w:rsidRPr="005C04F4" w:rsidRDefault="00992F46" w:rsidP="005C04F4">
      <w:pPr>
        <w:pStyle w:val="ListParagraph"/>
        <w:numPr>
          <w:ilvl w:val="0"/>
          <w:numId w:val="26"/>
        </w:numPr>
        <w:spacing w:after="100" w:line="360" w:lineRule="auto"/>
        <w:contextualSpacing w:val="0"/>
        <w:rPr>
          <w:rFonts w:ascii="Arial" w:hAnsi="Arial" w:cs="Arial"/>
          <w:sz w:val="22"/>
          <w:szCs w:val="22"/>
        </w:rPr>
      </w:pPr>
      <w:r w:rsidRPr="005C04F4">
        <w:rPr>
          <w:rFonts w:ascii="Arial" w:eastAsia="Calibri" w:hAnsi="Arial" w:cs="Arial"/>
          <w:b/>
          <w:bCs/>
          <w:color w:val="1A1A1A"/>
          <w:sz w:val="22"/>
          <w:szCs w:val="22"/>
        </w:rPr>
        <w:t xml:space="preserve">The problem, </w:t>
      </w:r>
      <w:r w:rsidRPr="005C04F4">
        <w:rPr>
          <w:rFonts w:ascii="Arial" w:eastAsia="Calibri" w:hAnsi="Arial" w:cs="Arial"/>
          <w:color w:val="1A1A1A"/>
          <w:sz w:val="22"/>
          <w:szCs w:val="22"/>
        </w:rPr>
        <w:t>that BaRS cannot currently evidence its own adoption, utilisation and benefit.</w:t>
      </w:r>
    </w:p>
    <w:p w14:paraId="61D7AB83" w14:textId="5D997293" w:rsidR="00992F46" w:rsidRPr="005C04F4" w:rsidRDefault="006E03AB" w:rsidP="005C04F4">
      <w:pPr>
        <w:pStyle w:val="ListParagraph"/>
        <w:numPr>
          <w:ilvl w:val="0"/>
          <w:numId w:val="26"/>
        </w:numPr>
        <w:spacing w:after="100" w:line="360" w:lineRule="auto"/>
        <w:contextualSpacing w:val="0"/>
        <w:rPr>
          <w:rFonts w:ascii="Arial" w:hAnsi="Arial" w:cs="Arial"/>
          <w:sz w:val="22"/>
          <w:szCs w:val="22"/>
        </w:rPr>
      </w:pPr>
      <w:r>
        <w:rPr>
          <w:rFonts w:ascii="Arial" w:eastAsia="Calibri" w:hAnsi="Arial" w:cs="Arial"/>
          <w:b/>
          <w:bCs/>
          <w:color w:val="1A1A1A"/>
          <w:sz w:val="22"/>
          <w:szCs w:val="22"/>
        </w:rPr>
        <w:t>Th</w:t>
      </w:r>
      <w:r w:rsidR="00992F46" w:rsidRPr="005C04F4">
        <w:rPr>
          <w:rFonts w:ascii="Arial" w:eastAsia="Calibri" w:hAnsi="Arial" w:cs="Arial"/>
          <w:b/>
          <w:bCs/>
          <w:color w:val="1A1A1A"/>
          <w:sz w:val="22"/>
          <w:szCs w:val="22"/>
        </w:rPr>
        <w:t xml:space="preserve">e principle, </w:t>
      </w:r>
      <w:r w:rsidR="00992F46" w:rsidRPr="005C04F4">
        <w:rPr>
          <w:rFonts w:ascii="Arial" w:eastAsia="Calibri" w:hAnsi="Arial" w:cs="Arial"/>
          <w:color w:val="1A1A1A"/>
          <w:sz w:val="22"/>
          <w:szCs w:val="22"/>
        </w:rPr>
        <w:t>that the information reporting needs should be captured at source and by design.</w:t>
      </w:r>
    </w:p>
    <w:p w14:paraId="29DBA05A" w14:textId="77777777" w:rsidR="00992F46" w:rsidRPr="005C04F4" w:rsidRDefault="00992F46" w:rsidP="005C04F4">
      <w:pPr>
        <w:pStyle w:val="ListParagraph"/>
        <w:numPr>
          <w:ilvl w:val="0"/>
          <w:numId w:val="26"/>
        </w:numPr>
        <w:spacing w:after="100" w:line="360" w:lineRule="auto"/>
        <w:contextualSpacing w:val="0"/>
        <w:rPr>
          <w:rFonts w:ascii="Arial" w:hAnsi="Arial" w:cs="Arial"/>
          <w:sz w:val="22"/>
          <w:szCs w:val="22"/>
        </w:rPr>
      </w:pPr>
      <w:r w:rsidRPr="005C04F4">
        <w:rPr>
          <w:rFonts w:ascii="Arial" w:eastAsia="Calibri" w:hAnsi="Arial" w:cs="Arial"/>
          <w:b/>
          <w:bCs/>
          <w:color w:val="1A1A1A"/>
          <w:sz w:val="22"/>
          <w:szCs w:val="22"/>
        </w:rPr>
        <w:t xml:space="preserve">The direction of travel, </w:t>
      </w:r>
      <w:r w:rsidRPr="005C04F4">
        <w:rPr>
          <w:rFonts w:ascii="Arial" w:eastAsia="Calibri" w:hAnsi="Arial" w:cs="Arial"/>
          <w:color w:val="1A1A1A"/>
          <w:sz w:val="22"/>
          <w:szCs w:val="22"/>
        </w:rPr>
        <w:t>that structured reporting information should be built into future BaRS releases, subject to the technical work below.</w:t>
      </w:r>
    </w:p>
    <w:p w14:paraId="69A3556A" w14:textId="77777777" w:rsidR="00992F46" w:rsidRPr="005C04F4" w:rsidRDefault="00992F46" w:rsidP="005C04F4">
      <w:pPr>
        <w:spacing w:after="140" w:line="360" w:lineRule="auto"/>
        <w:rPr>
          <w:rFonts w:ascii="Arial" w:hAnsi="Arial" w:cs="Arial"/>
          <w:sz w:val="22"/>
          <w:szCs w:val="22"/>
        </w:rPr>
      </w:pPr>
      <w:r w:rsidRPr="005C04F4">
        <w:rPr>
          <w:rFonts w:ascii="Arial" w:eastAsia="Calibri" w:hAnsi="Arial" w:cs="Arial"/>
          <w:color w:val="1A1A1A"/>
          <w:sz w:val="22"/>
          <w:szCs w:val="22"/>
        </w:rPr>
        <w:t>On the strength of that agreement, the immediate next steps would be to:</w:t>
      </w:r>
    </w:p>
    <w:p w14:paraId="3A10B09B" w14:textId="77777777" w:rsidR="00992F46" w:rsidRPr="005C04F4" w:rsidRDefault="00992F46" w:rsidP="005C04F4">
      <w:pPr>
        <w:pStyle w:val="ListParagraph"/>
        <w:numPr>
          <w:ilvl w:val="0"/>
          <w:numId w:val="25"/>
        </w:numPr>
        <w:spacing w:after="80" w:line="360" w:lineRule="auto"/>
        <w:contextualSpacing w:val="0"/>
        <w:rPr>
          <w:rFonts w:ascii="Arial" w:hAnsi="Arial" w:cs="Arial"/>
          <w:sz w:val="22"/>
          <w:szCs w:val="22"/>
        </w:rPr>
      </w:pPr>
      <w:r w:rsidRPr="005C04F4">
        <w:rPr>
          <w:rFonts w:ascii="Arial" w:eastAsia="Calibri" w:hAnsi="Arial" w:cs="Arial"/>
          <w:color w:val="1A1A1A"/>
          <w:sz w:val="22"/>
          <w:szCs w:val="22"/>
        </w:rPr>
        <w:t>Undertake technical design work to confirm, for each proposed field, whether it needs a specification change, implementation guidance or a supplier assurance requirement.</w:t>
      </w:r>
    </w:p>
    <w:p w14:paraId="2D53EFC5" w14:textId="77777777" w:rsidR="00992F46" w:rsidRPr="005C04F4" w:rsidRDefault="00992F46" w:rsidP="005C04F4">
      <w:pPr>
        <w:pStyle w:val="ListParagraph"/>
        <w:numPr>
          <w:ilvl w:val="0"/>
          <w:numId w:val="25"/>
        </w:numPr>
        <w:spacing w:after="80" w:line="360" w:lineRule="auto"/>
        <w:contextualSpacing w:val="0"/>
        <w:rPr>
          <w:rFonts w:ascii="Arial" w:hAnsi="Arial" w:cs="Arial"/>
          <w:sz w:val="22"/>
          <w:szCs w:val="22"/>
        </w:rPr>
      </w:pPr>
      <w:r w:rsidRPr="005C04F4">
        <w:rPr>
          <w:rFonts w:ascii="Arial" w:eastAsia="Calibri" w:hAnsi="Arial" w:cs="Arial"/>
          <w:color w:val="1A1A1A"/>
          <w:sz w:val="22"/>
          <w:szCs w:val="22"/>
        </w:rPr>
        <w:t>Assess backwards compatibility and the impact on existing v1 suppliers, including any re-onboarding.</w:t>
      </w:r>
    </w:p>
    <w:p w14:paraId="08221AA8" w14:textId="77777777" w:rsidR="00992F46" w:rsidRPr="005C04F4" w:rsidRDefault="00992F46" w:rsidP="005C04F4">
      <w:pPr>
        <w:pStyle w:val="ListParagraph"/>
        <w:numPr>
          <w:ilvl w:val="0"/>
          <w:numId w:val="25"/>
        </w:numPr>
        <w:spacing w:after="80" w:line="360" w:lineRule="auto"/>
        <w:contextualSpacing w:val="0"/>
        <w:rPr>
          <w:rFonts w:ascii="Arial" w:hAnsi="Arial" w:cs="Arial"/>
          <w:sz w:val="22"/>
          <w:szCs w:val="22"/>
        </w:rPr>
      </w:pPr>
      <w:r w:rsidRPr="005C04F4">
        <w:rPr>
          <w:rFonts w:ascii="Arial" w:eastAsia="Calibri" w:hAnsi="Arial" w:cs="Arial"/>
          <w:color w:val="1A1A1A"/>
          <w:sz w:val="22"/>
          <w:szCs w:val="22"/>
        </w:rPr>
        <w:t>Agree ownership across the relevant teams, since this spans BaRS Core, supplier assurance and the reporting architecture, and is unlikely to sit with any one team alone.</w:t>
      </w:r>
    </w:p>
    <w:p w14:paraId="1F655A74" w14:textId="77777777" w:rsidR="00992F46" w:rsidRPr="005C04F4" w:rsidRDefault="00992F46" w:rsidP="005C04F4">
      <w:pPr>
        <w:pStyle w:val="ListParagraph"/>
        <w:numPr>
          <w:ilvl w:val="0"/>
          <w:numId w:val="25"/>
        </w:numPr>
        <w:spacing w:after="80" w:line="360" w:lineRule="auto"/>
        <w:contextualSpacing w:val="0"/>
        <w:rPr>
          <w:rFonts w:ascii="Arial" w:hAnsi="Arial" w:cs="Arial"/>
          <w:sz w:val="22"/>
          <w:szCs w:val="22"/>
        </w:rPr>
      </w:pPr>
      <w:r w:rsidRPr="005C04F4">
        <w:rPr>
          <w:rFonts w:ascii="Arial" w:eastAsia="Calibri" w:hAnsi="Arial" w:cs="Arial"/>
          <w:color w:val="1A1A1A"/>
          <w:sz w:val="22"/>
          <w:szCs w:val="22"/>
        </w:rPr>
        <w:t>Begin scoping the longer-term reporting architecture beyond Splunk, into which any new capture should feed.</w:t>
      </w:r>
    </w:p>
    <w:p w14:paraId="657849AD" w14:textId="7F0F0D2F" w:rsidR="00992F46" w:rsidRDefault="00992F46" w:rsidP="005C04F4">
      <w:pPr>
        <w:pBdr>
          <w:bottom w:val="single" w:sz="12" w:space="1" w:color="auto"/>
        </w:pBdr>
        <w:spacing w:before="80" w:after="140" w:line="360" w:lineRule="auto"/>
        <w:rPr>
          <w:rFonts w:ascii="Arial" w:eastAsia="Calibri" w:hAnsi="Arial" w:cs="Arial"/>
          <w:color w:val="1A1A1A"/>
          <w:sz w:val="22"/>
          <w:szCs w:val="22"/>
        </w:rPr>
      </w:pPr>
      <w:r w:rsidRPr="005C04F4">
        <w:rPr>
          <w:rFonts w:ascii="Arial" w:eastAsia="Calibri" w:hAnsi="Arial" w:cs="Arial"/>
          <w:color w:val="1A1A1A"/>
          <w:sz w:val="22"/>
          <w:szCs w:val="22"/>
        </w:rPr>
        <w:t>Without agreement to capture this at source, the programme will continue to rely on partial, inferred or manually reconstructed data. That weakens every benefits case put to leadership and guarantees the same gap recurs with each new supplier or site brought on.</w:t>
      </w:r>
    </w:p>
    <w:p w14:paraId="079C2274" w14:textId="77777777" w:rsidR="00494557" w:rsidRDefault="00494557" w:rsidP="005C04F4">
      <w:pPr>
        <w:pBdr>
          <w:bottom w:val="single" w:sz="12" w:space="1" w:color="auto"/>
        </w:pBdr>
        <w:spacing w:before="80" w:after="140" w:line="360" w:lineRule="auto"/>
        <w:rPr>
          <w:rFonts w:ascii="Arial" w:eastAsia="Calibri" w:hAnsi="Arial" w:cs="Arial"/>
          <w:color w:val="1A1A1A"/>
          <w:sz w:val="22"/>
          <w:szCs w:val="22"/>
        </w:rPr>
      </w:pPr>
    </w:p>
    <w:p w14:paraId="3AFE6E08" w14:textId="77777777" w:rsidR="00AF51C8" w:rsidRPr="005C04F4" w:rsidRDefault="00AF51C8" w:rsidP="005C04F4">
      <w:pPr>
        <w:pStyle w:val="Heading1"/>
        <w:spacing w:line="360" w:lineRule="auto"/>
        <w:rPr>
          <w:rFonts w:ascii="Arial" w:hAnsi="Arial" w:cs="Arial"/>
        </w:rPr>
      </w:pPr>
      <w:r w:rsidRPr="005C04F4">
        <w:rPr>
          <w:rFonts w:ascii="Arial" w:hAnsi="Arial" w:cs="Arial"/>
        </w:rPr>
        <w:t>Open Questions the Board should be aware of</w:t>
      </w:r>
    </w:p>
    <w:p w14:paraId="009EBE34" w14:textId="77777777" w:rsidR="00B24872" w:rsidRPr="005C04F4" w:rsidRDefault="00B24872" w:rsidP="005C04F4">
      <w:pPr>
        <w:spacing w:after="140" w:line="360" w:lineRule="auto"/>
        <w:rPr>
          <w:rFonts w:ascii="Arial" w:hAnsi="Arial" w:cs="Arial"/>
          <w:sz w:val="22"/>
          <w:szCs w:val="22"/>
        </w:rPr>
      </w:pPr>
      <w:r w:rsidRPr="005C04F4">
        <w:rPr>
          <w:rFonts w:ascii="Arial" w:eastAsia="Calibri" w:hAnsi="Arial" w:cs="Arial"/>
          <w:color w:val="1A1A1A"/>
          <w:sz w:val="22"/>
          <w:szCs w:val="22"/>
        </w:rPr>
        <w:t>Two questions will shape delivery and are flagged here for visibility rather than decision.</w:t>
      </w:r>
    </w:p>
    <w:p w14:paraId="64F38710" w14:textId="77777777" w:rsidR="00B24872" w:rsidRPr="005C04F4" w:rsidRDefault="00B24872" w:rsidP="005C04F4">
      <w:pPr>
        <w:spacing w:after="140" w:line="360" w:lineRule="auto"/>
        <w:rPr>
          <w:rFonts w:ascii="Arial" w:hAnsi="Arial" w:cs="Arial"/>
          <w:sz w:val="22"/>
          <w:szCs w:val="22"/>
        </w:rPr>
      </w:pPr>
      <w:r w:rsidRPr="005C04F4">
        <w:rPr>
          <w:rFonts w:ascii="Arial" w:eastAsia="Calibri" w:hAnsi="Arial" w:cs="Arial"/>
          <w:b/>
          <w:bCs/>
          <w:color w:val="1A1A1A"/>
          <w:sz w:val="22"/>
          <w:szCs w:val="22"/>
        </w:rPr>
        <w:t xml:space="preserve">Backwards compatibility. </w:t>
      </w:r>
      <w:r w:rsidRPr="005C04F4">
        <w:rPr>
          <w:rFonts w:ascii="Arial" w:eastAsia="Calibri" w:hAnsi="Arial" w:cs="Arial"/>
          <w:color w:val="1A1A1A"/>
          <w:sz w:val="22"/>
          <w:szCs w:val="22"/>
        </w:rPr>
        <w:t>If new information is captured at source, would future releases remain compatible with existing v1 suppliers? If not, those suppliers would need to update or re-onboard. If v1 and v2 run in parallel during any transition, the benefits picture will be split for as long as v1 suppliers remain live, because their transactions will not carry the new fields.</w:t>
      </w:r>
    </w:p>
    <w:p w14:paraId="6D91572A" w14:textId="48597A2B" w:rsidR="00B24872" w:rsidRDefault="00B24872" w:rsidP="005C04F4">
      <w:pPr>
        <w:pBdr>
          <w:bottom w:val="single" w:sz="12" w:space="1" w:color="auto"/>
        </w:pBdr>
        <w:spacing w:after="140" w:line="360" w:lineRule="auto"/>
        <w:rPr>
          <w:rFonts w:ascii="Arial" w:eastAsia="Calibri" w:hAnsi="Arial" w:cs="Arial"/>
          <w:color w:val="1A1A1A"/>
          <w:sz w:val="22"/>
          <w:szCs w:val="22"/>
        </w:rPr>
      </w:pPr>
      <w:r w:rsidRPr="005C04F4">
        <w:rPr>
          <w:rFonts w:ascii="Arial" w:eastAsia="Calibri" w:hAnsi="Arial" w:cs="Arial"/>
          <w:b/>
          <w:bCs/>
          <w:color w:val="1A1A1A"/>
          <w:sz w:val="22"/>
          <w:szCs w:val="22"/>
        </w:rPr>
        <w:t xml:space="preserve">Information governance. </w:t>
      </w:r>
      <w:r w:rsidRPr="005C04F4">
        <w:rPr>
          <w:rFonts w:ascii="Arial" w:eastAsia="Calibri" w:hAnsi="Arial" w:cs="Arial"/>
          <w:color w:val="1A1A1A"/>
          <w:sz w:val="22"/>
          <w:szCs w:val="22"/>
        </w:rPr>
        <w:t>The current data was collected for a specific, DPIA-governed purpose</w:t>
      </w:r>
      <w:r w:rsidR="00400790">
        <w:rPr>
          <w:rFonts w:ascii="Arial" w:eastAsia="Calibri" w:hAnsi="Arial" w:cs="Arial"/>
          <w:color w:val="1A1A1A"/>
          <w:sz w:val="22"/>
          <w:szCs w:val="22"/>
        </w:rPr>
        <w:t xml:space="preserve"> (i.e. </w:t>
      </w:r>
      <w:r w:rsidRPr="005C04F4">
        <w:rPr>
          <w:rFonts w:ascii="Arial" w:eastAsia="Calibri" w:hAnsi="Arial" w:cs="Arial"/>
          <w:color w:val="1A1A1A"/>
          <w:sz w:val="22"/>
          <w:szCs w:val="22"/>
        </w:rPr>
        <w:t>API proxy monitoring</w:t>
      </w:r>
      <w:r w:rsidR="00400790">
        <w:rPr>
          <w:rFonts w:ascii="Arial" w:eastAsia="Calibri" w:hAnsi="Arial" w:cs="Arial"/>
          <w:color w:val="1A1A1A"/>
          <w:sz w:val="22"/>
          <w:szCs w:val="22"/>
        </w:rPr>
        <w:t>)</w:t>
      </w:r>
      <w:r w:rsidRPr="005C04F4">
        <w:rPr>
          <w:rFonts w:ascii="Arial" w:eastAsia="Calibri" w:hAnsi="Arial" w:cs="Arial"/>
          <w:color w:val="1A1A1A"/>
          <w:sz w:val="22"/>
          <w:szCs w:val="22"/>
        </w:rPr>
        <w:t>. If data is moved to another platform for analysis or visualisation, for example the Federated Data Platform or Power BI, we will need to confirm whether that falls within the original purpose of collection and whether a further assessment is required.</w:t>
      </w:r>
    </w:p>
    <w:p w14:paraId="5E9C0BFA" w14:textId="77777777" w:rsidR="005C04F4" w:rsidRDefault="005C04F4" w:rsidP="005C04F4">
      <w:pPr>
        <w:pBdr>
          <w:bottom w:val="single" w:sz="12" w:space="1" w:color="auto"/>
        </w:pBdr>
        <w:spacing w:after="140" w:line="360" w:lineRule="auto"/>
        <w:rPr>
          <w:rFonts w:ascii="Arial" w:eastAsia="Calibri" w:hAnsi="Arial" w:cs="Arial"/>
          <w:color w:val="1A1A1A"/>
          <w:sz w:val="22"/>
          <w:szCs w:val="22"/>
        </w:rPr>
      </w:pPr>
    </w:p>
    <w:p w14:paraId="3E769D09" w14:textId="67697ED5" w:rsidR="00AF51C8" w:rsidRPr="005C04F4" w:rsidRDefault="00B24872" w:rsidP="005C04F4">
      <w:pPr>
        <w:pStyle w:val="Heading1"/>
        <w:spacing w:line="360" w:lineRule="auto"/>
        <w:rPr>
          <w:rFonts w:ascii="Arial" w:hAnsi="Arial" w:cs="Arial"/>
        </w:rPr>
      </w:pPr>
      <w:r w:rsidRPr="005C04F4">
        <w:rPr>
          <w:rFonts w:ascii="Arial" w:hAnsi="Arial" w:cs="Arial"/>
        </w:rPr>
        <w:t>Positioning and next audiences</w:t>
      </w:r>
    </w:p>
    <w:p w14:paraId="50F4A704" w14:textId="2E4CF9C0" w:rsidR="004F36F4" w:rsidRPr="005C04F4" w:rsidRDefault="004F36F4" w:rsidP="005C04F4">
      <w:pPr>
        <w:spacing w:after="140" w:line="360" w:lineRule="auto"/>
        <w:rPr>
          <w:rFonts w:ascii="Arial" w:hAnsi="Arial" w:cs="Arial"/>
          <w:sz w:val="22"/>
          <w:szCs w:val="22"/>
        </w:rPr>
      </w:pPr>
      <w:r w:rsidRPr="005C04F4">
        <w:rPr>
          <w:rFonts w:ascii="Arial" w:eastAsia="Calibri" w:hAnsi="Arial" w:cs="Arial"/>
          <w:sz w:val="22"/>
          <w:szCs w:val="22"/>
        </w:rPr>
        <w:t xml:space="preserve">This paper is intended to become the programme's position on reporting and analytics for BaRS, not a one-off from the BaRS team. Subject to the </w:t>
      </w:r>
      <w:r w:rsidR="00AE193A">
        <w:rPr>
          <w:rFonts w:ascii="Arial" w:eastAsia="Calibri" w:hAnsi="Arial" w:cs="Arial"/>
          <w:sz w:val="22"/>
          <w:szCs w:val="22"/>
        </w:rPr>
        <w:t>agreement</w:t>
      </w:r>
      <w:r w:rsidRPr="005C04F4">
        <w:rPr>
          <w:rFonts w:ascii="Arial" w:eastAsia="Calibri" w:hAnsi="Arial" w:cs="Arial"/>
          <w:sz w:val="22"/>
          <w:szCs w:val="22"/>
        </w:rPr>
        <w:t>, the proposed path is:</w:t>
      </w:r>
    </w:p>
    <w:p w14:paraId="34D6C749" w14:textId="77777777" w:rsidR="004F36F4" w:rsidRPr="005C04F4" w:rsidRDefault="004F36F4" w:rsidP="005C04F4">
      <w:pPr>
        <w:pStyle w:val="ListParagraph"/>
        <w:numPr>
          <w:ilvl w:val="0"/>
          <w:numId w:val="25"/>
        </w:numPr>
        <w:spacing w:after="80" w:line="360" w:lineRule="auto"/>
        <w:contextualSpacing w:val="0"/>
        <w:rPr>
          <w:rFonts w:ascii="Arial" w:hAnsi="Arial" w:cs="Arial"/>
          <w:sz w:val="22"/>
          <w:szCs w:val="22"/>
        </w:rPr>
      </w:pPr>
      <w:r w:rsidRPr="005C04F4">
        <w:rPr>
          <w:rFonts w:ascii="Arial" w:eastAsia="Calibri" w:hAnsi="Arial" w:cs="Arial"/>
          <w:sz w:val="22"/>
          <w:szCs w:val="22"/>
        </w:rPr>
        <w:t>The SRO and the Digital UEC Board, for agreement on the strategic direction set out here.</w:t>
      </w:r>
    </w:p>
    <w:p w14:paraId="0DC80FBF" w14:textId="3E462CC8" w:rsidR="006C61D2" w:rsidRPr="005C04F4" w:rsidRDefault="004F36F4" w:rsidP="005C04F4">
      <w:pPr>
        <w:pStyle w:val="ListParagraph"/>
        <w:numPr>
          <w:ilvl w:val="0"/>
          <w:numId w:val="25"/>
        </w:numPr>
        <w:spacing w:after="80" w:line="360" w:lineRule="auto"/>
        <w:contextualSpacing w:val="0"/>
        <w:rPr>
          <w:rFonts w:ascii="Arial" w:hAnsi="Arial" w:cs="Arial"/>
          <w:sz w:val="22"/>
          <w:szCs w:val="22"/>
        </w:rPr>
      </w:pPr>
      <w:r w:rsidRPr="005C04F4">
        <w:rPr>
          <w:rFonts w:ascii="Arial" w:eastAsia="Calibri" w:hAnsi="Arial" w:cs="Arial"/>
          <w:sz w:val="22"/>
          <w:szCs w:val="22"/>
        </w:rPr>
        <w:t xml:space="preserve">The wider Product and Platforms leadership team thereafter, on the </w:t>
      </w:r>
      <w:r w:rsidR="00AE193A">
        <w:rPr>
          <w:rFonts w:ascii="Arial" w:eastAsia="Calibri" w:hAnsi="Arial" w:cs="Arial"/>
          <w:sz w:val="22"/>
          <w:szCs w:val="22"/>
        </w:rPr>
        <w:t>advice</w:t>
      </w:r>
      <w:r w:rsidRPr="005C04F4">
        <w:rPr>
          <w:rFonts w:ascii="Arial" w:eastAsia="Calibri" w:hAnsi="Arial" w:cs="Arial"/>
          <w:sz w:val="22"/>
          <w:szCs w:val="22"/>
        </w:rPr>
        <w:t xml:space="preserve"> of the SRO.</w:t>
      </w:r>
    </w:p>
    <w:p w14:paraId="287DC088" w14:textId="782458C4" w:rsidR="006C61D2" w:rsidRDefault="004F36F4" w:rsidP="005C04F4">
      <w:pPr>
        <w:pBdr>
          <w:bottom w:val="single" w:sz="12" w:space="1" w:color="auto"/>
        </w:pBdr>
        <w:spacing w:after="140" w:line="360" w:lineRule="auto"/>
        <w:rPr>
          <w:rFonts w:ascii="Arial" w:eastAsia="Calibri" w:hAnsi="Arial" w:cs="Arial"/>
          <w:i/>
          <w:iCs/>
          <w:sz w:val="22"/>
          <w:szCs w:val="22"/>
        </w:rPr>
      </w:pPr>
      <w:commentRangeStart w:id="4"/>
      <w:r w:rsidRPr="005C04F4">
        <w:rPr>
          <w:rFonts w:ascii="Arial" w:eastAsia="Calibri" w:hAnsi="Arial" w:cs="Arial"/>
          <w:i/>
          <w:iCs/>
          <w:sz w:val="22"/>
          <w:szCs w:val="22"/>
        </w:rPr>
        <w:t xml:space="preserve">The challenge described here is not unique to BaRS. Almost every national programme eventually </w:t>
      </w:r>
      <w:r w:rsidR="003C4465" w:rsidRPr="005C04F4">
        <w:rPr>
          <w:rFonts w:ascii="Arial" w:eastAsia="Calibri" w:hAnsi="Arial" w:cs="Arial"/>
          <w:i/>
          <w:iCs/>
          <w:sz w:val="22"/>
          <w:szCs w:val="22"/>
        </w:rPr>
        <w:t>must</w:t>
      </w:r>
      <w:r w:rsidRPr="005C04F4">
        <w:rPr>
          <w:rFonts w:ascii="Arial" w:eastAsia="Calibri" w:hAnsi="Arial" w:cs="Arial"/>
          <w:i/>
          <w:iCs/>
          <w:sz w:val="22"/>
          <w:szCs w:val="22"/>
        </w:rPr>
        <w:t xml:space="preserve"> separate technical transaction data from meaningful operational and benefits reporting. Getting this right for BaRS may be useful </w:t>
      </w:r>
      <w:commentRangeEnd w:id="4"/>
      <w:r w:rsidR="00494557">
        <w:rPr>
          <w:rStyle w:val="CommentReference"/>
          <w:rFonts w:ascii="Arial" w:eastAsia="Calibri" w:hAnsi="Arial" w:cs="Arial"/>
          <w:i/>
          <w:iCs/>
          <w:sz w:val="22"/>
          <w:szCs w:val="22"/>
        </w:rPr>
        <w:commentReference w:id="4"/>
      </w:r>
      <w:r w:rsidR="003C4465">
        <w:rPr>
          <w:rFonts w:ascii="Arial" w:eastAsia="Calibri" w:hAnsi="Arial" w:cs="Arial"/>
          <w:i/>
          <w:iCs/>
          <w:sz w:val="22"/>
          <w:szCs w:val="22"/>
        </w:rPr>
        <w:t>for other NHS programmes.</w:t>
      </w:r>
    </w:p>
    <w:p w14:paraId="4530BB45" w14:textId="77777777" w:rsidR="005C04F4" w:rsidRDefault="005C04F4" w:rsidP="005C04F4">
      <w:pPr>
        <w:pBdr>
          <w:bottom w:val="single" w:sz="12" w:space="1" w:color="auto"/>
        </w:pBdr>
        <w:spacing w:after="140" w:line="360" w:lineRule="auto"/>
        <w:rPr>
          <w:rFonts w:ascii="Arial" w:eastAsia="Calibri" w:hAnsi="Arial" w:cs="Arial"/>
          <w:i/>
          <w:iCs/>
          <w:sz w:val="22"/>
          <w:szCs w:val="22"/>
        </w:rPr>
      </w:pPr>
    </w:p>
    <w:p w14:paraId="0884D636" w14:textId="77777777" w:rsidR="00494557" w:rsidRDefault="00494557">
      <w:pPr>
        <w:rPr>
          <w:rFonts w:ascii="Arial" w:eastAsiaTheme="majorEastAsia" w:hAnsi="Arial" w:cs="Arial"/>
          <w:color w:val="0F4761" w:themeColor="accent1" w:themeShade="BF"/>
          <w:sz w:val="32"/>
          <w:szCs w:val="32"/>
        </w:rPr>
      </w:pPr>
      <w:r>
        <w:rPr>
          <w:rFonts w:ascii="Arial" w:hAnsi="Arial" w:cs="Arial"/>
        </w:rPr>
        <w:br w:type="page"/>
      </w:r>
    </w:p>
    <w:p w14:paraId="6C1C8CCE" w14:textId="30EDBA7F" w:rsidR="006C61D2" w:rsidRPr="005C04F4" w:rsidRDefault="006C61D2" w:rsidP="005C04F4">
      <w:pPr>
        <w:pStyle w:val="Heading1"/>
        <w:spacing w:line="360" w:lineRule="auto"/>
        <w:rPr>
          <w:rFonts w:ascii="Arial" w:hAnsi="Arial" w:cs="Arial"/>
        </w:rPr>
      </w:pPr>
      <w:r w:rsidRPr="005C04F4">
        <w:rPr>
          <w:rFonts w:ascii="Arial" w:hAnsi="Arial" w:cs="Arial"/>
        </w:rPr>
        <w:t>Appendix A: Proposed reporting information and indicative effort</w:t>
      </w:r>
    </w:p>
    <w:p w14:paraId="011D99EB" w14:textId="77777777" w:rsidR="006C61D2" w:rsidRPr="005C04F4" w:rsidRDefault="006C61D2" w:rsidP="005C04F4">
      <w:pPr>
        <w:spacing w:after="140" w:line="360" w:lineRule="auto"/>
        <w:rPr>
          <w:rFonts w:ascii="Arial" w:hAnsi="Arial" w:cs="Arial"/>
          <w:sz w:val="22"/>
          <w:szCs w:val="22"/>
        </w:rPr>
      </w:pPr>
      <w:r w:rsidRPr="005C04F4">
        <w:rPr>
          <w:rFonts w:ascii="Arial" w:eastAsia="Calibri" w:hAnsi="Arial" w:cs="Arial"/>
          <w:color w:val="1A1A1A"/>
          <w:sz w:val="22"/>
          <w:szCs w:val="22"/>
        </w:rPr>
        <w:t>The fields below are the information the programme would seek to capture, each mapped to the limitation it addresses. Priority is shown as Mandatory, Essential, Desirable or Optional so that supplier impact can be managed. Effort is indicative only and would be confirmed by the technical design work. All sit within the existing FHIR framework.</w:t>
      </w:r>
    </w:p>
    <w:tbl>
      <w:tblPr>
        <w:tblW w:w="9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9"/>
        <w:gridCol w:w="4511"/>
        <w:gridCol w:w="1365"/>
        <w:gridCol w:w="1522"/>
      </w:tblGrid>
      <w:tr w:rsidR="006C61D2" w:rsidRPr="005C04F4" w14:paraId="3730D0BC" w14:textId="77777777" w:rsidTr="7774FC5C">
        <w:trPr>
          <w:tblHeader/>
        </w:trPr>
        <w:tc>
          <w:tcPr>
            <w:tcW w:w="1749" w:type="dxa"/>
            <w:shd w:val="clear" w:color="auto" w:fill="003087"/>
            <w:tcMar>
              <w:top w:w="80" w:type="dxa"/>
              <w:left w:w="110" w:type="dxa"/>
              <w:bottom w:w="80" w:type="dxa"/>
              <w:right w:w="110" w:type="dxa"/>
            </w:tcMar>
            <w:vAlign w:val="center"/>
          </w:tcPr>
          <w:p w14:paraId="67A67534" w14:textId="77777777" w:rsidR="006C61D2" w:rsidRPr="005C04F4" w:rsidRDefault="006C61D2" w:rsidP="005C04F4">
            <w:pPr>
              <w:spacing w:after="40" w:line="360" w:lineRule="auto"/>
              <w:jc w:val="center"/>
              <w:rPr>
                <w:rFonts w:ascii="Arial" w:hAnsi="Arial" w:cs="Arial"/>
                <w:sz w:val="22"/>
                <w:szCs w:val="22"/>
              </w:rPr>
            </w:pPr>
            <w:r w:rsidRPr="005C04F4">
              <w:rPr>
                <w:rFonts w:ascii="Arial" w:eastAsia="Calibri" w:hAnsi="Arial" w:cs="Arial"/>
                <w:b/>
                <w:bCs/>
                <w:color w:val="FFFFFF"/>
                <w:sz w:val="22"/>
                <w:szCs w:val="22"/>
              </w:rPr>
              <w:t>Field</w:t>
            </w:r>
          </w:p>
        </w:tc>
        <w:tc>
          <w:tcPr>
            <w:tcW w:w="4511" w:type="dxa"/>
            <w:shd w:val="clear" w:color="auto" w:fill="003087"/>
            <w:tcMar>
              <w:top w:w="80" w:type="dxa"/>
              <w:left w:w="110" w:type="dxa"/>
              <w:bottom w:w="80" w:type="dxa"/>
              <w:right w:w="110" w:type="dxa"/>
            </w:tcMar>
            <w:vAlign w:val="center"/>
          </w:tcPr>
          <w:p w14:paraId="77EB4BDE" w14:textId="77777777" w:rsidR="006C61D2" w:rsidRPr="005C04F4" w:rsidRDefault="006C61D2" w:rsidP="005C04F4">
            <w:pPr>
              <w:spacing w:after="40" w:line="360" w:lineRule="auto"/>
              <w:jc w:val="center"/>
              <w:rPr>
                <w:rFonts w:ascii="Arial" w:hAnsi="Arial" w:cs="Arial"/>
                <w:sz w:val="22"/>
                <w:szCs w:val="22"/>
              </w:rPr>
            </w:pPr>
            <w:r w:rsidRPr="005C04F4">
              <w:rPr>
                <w:rFonts w:ascii="Arial" w:eastAsia="Calibri" w:hAnsi="Arial" w:cs="Arial"/>
                <w:b/>
                <w:bCs/>
                <w:color w:val="FFFFFF"/>
                <w:sz w:val="22"/>
                <w:szCs w:val="22"/>
              </w:rPr>
              <w:t>Purpose</w:t>
            </w:r>
          </w:p>
        </w:tc>
        <w:tc>
          <w:tcPr>
            <w:tcW w:w="1365" w:type="dxa"/>
            <w:shd w:val="clear" w:color="auto" w:fill="003087"/>
            <w:tcMar>
              <w:top w:w="80" w:type="dxa"/>
              <w:left w:w="110" w:type="dxa"/>
              <w:bottom w:w="80" w:type="dxa"/>
              <w:right w:w="110" w:type="dxa"/>
            </w:tcMar>
            <w:vAlign w:val="center"/>
          </w:tcPr>
          <w:p w14:paraId="18CA723F" w14:textId="77777777" w:rsidR="006C61D2" w:rsidRPr="005C04F4" w:rsidRDefault="006C61D2" w:rsidP="005C04F4">
            <w:pPr>
              <w:spacing w:after="40" w:line="360" w:lineRule="auto"/>
              <w:jc w:val="center"/>
              <w:rPr>
                <w:rFonts w:ascii="Arial" w:hAnsi="Arial" w:cs="Arial"/>
                <w:sz w:val="22"/>
                <w:szCs w:val="22"/>
              </w:rPr>
            </w:pPr>
            <w:r w:rsidRPr="005C04F4">
              <w:rPr>
                <w:rFonts w:ascii="Arial" w:eastAsia="Calibri" w:hAnsi="Arial" w:cs="Arial"/>
                <w:b/>
                <w:bCs/>
                <w:color w:val="FFFFFF"/>
                <w:sz w:val="22"/>
                <w:szCs w:val="22"/>
              </w:rPr>
              <w:t>Priority</w:t>
            </w:r>
          </w:p>
        </w:tc>
        <w:tc>
          <w:tcPr>
            <w:tcW w:w="1522" w:type="dxa"/>
            <w:shd w:val="clear" w:color="auto" w:fill="003087"/>
            <w:tcMar>
              <w:top w:w="80" w:type="dxa"/>
              <w:left w:w="110" w:type="dxa"/>
              <w:bottom w:w="80" w:type="dxa"/>
              <w:right w:w="110" w:type="dxa"/>
            </w:tcMar>
            <w:vAlign w:val="center"/>
          </w:tcPr>
          <w:p w14:paraId="298D9243" w14:textId="77777777" w:rsidR="006C61D2" w:rsidRPr="005C04F4" w:rsidRDefault="006C61D2" w:rsidP="005C04F4">
            <w:pPr>
              <w:spacing w:after="40" w:line="360" w:lineRule="auto"/>
              <w:jc w:val="center"/>
              <w:rPr>
                <w:rFonts w:ascii="Arial" w:hAnsi="Arial" w:cs="Arial"/>
                <w:sz w:val="22"/>
                <w:szCs w:val="22"/>
              </w:rPr>
            </w:pPr>
            <w:r w:rsidRPr="005C04F4">
              <w:rPr>
                <w:rFonts w:ascii="Arial" w:eastAsia="Calibri" w:hAnsi="Arial" w:cs="Arial"/>
                <w:b/>
                <w:bCs/>
                <w:color w:val="FFFFFF"/>
                <w:sz w:val="22"/>
                <w:szCs w:val="22"/>
              </w:rPr>
              <w:t>Indicative effort</w:t>
            </w:r>
          </w:p>
        </w:tc>
      </w:tr>
      <w:tr w:rsidR="006C61D2" w:rsidRPr="005C04F4" w14:paraId="50D9875C" w14:textId="77777777" w:rsidTr="7774FC5C">
        <w:tc>
          <w:tcPr>
            <w:tcW w:w="1749" w:type="dxa"/>
            <w:tcMar>
              <w:top w:w="80" w:type="dxa"/>
              <w:left w:w="110" w:type="dxa"/>
              <w:bottom w:w="80" w:type="dxa"/>
              <w:right w:w="110" w:type="dxa"/>
            </w:tcMar>
            <w:vAlign w:val="center"/>
          </w:tcPr>
          <w:p w14:paraId="66C47F35"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b/>
                <w:bCs/>
                <w:color w:val="1A1A1A"/>
                <w:sz w:val="22"/>
                <w:szCs w:val="22"/>
              </w:rPr>
              <w:t>Application ID</w:t>
            </w:r>
          </w:p>
        </w:tc>
        <w:tc>
          <w:tcPr>
            <w:tcW w:w="4511" w:type="dxa"/>
            <w:tcMar>
              <w:top w:w="80" w:type="dxa"/>
              <w:left w:w="110" w:type="dxa"/>
              <w:bottom w:w="80" w:type="dxa"/>
              <w:right w:w="110" w:type="dxa"/>
            </w:tcMar>
            <w:vAlign w:val="center"/>
          </w:tcPr>
          <w:p w14:paraId="1B50F5F7"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Which BaRS application the transaction relates to. Without it, UEC flows cannot be segmented by application or workstream.</w:t>
            </w:r>
          </w:p>
        </w:tc>
        <w:tc>
          <w:tcPr>
            <w:tcW w:w="1365" w:type="dxa"/>
            <w:tcMar>
              <w:top w:w="80" w:type="dxa"/>
              <w:left w:w="110" w:type="dxa"/>
              <w:bottom w:w="80" w:type="dxa"/>
              <w:right w:w="110" w:type="dxa"/>
            </w:tcMar>
            <w:vAlign w:val="center"/>
          </w:tcPr>
          <w:p w14:paraId="0BF8B2D1"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Mandatory</w:t>
            </w:r>
          </w:p>
        </w:tc>
        <w:tc>
          <w:tcPr>
            <w:tcW w:w="1522" w:type="dxa"/>
            <w:tcMar>
              <w:top w:w="80" w:type="dxa"/>
              <w:left w:w="110" w:type="dxa"/>
              <w:bottom w:w="80" w:type="dxa"/>
              <w:right w:w="110" w:type="dxa"/>
            </w:tcMar>
            <w:vAlign w:val="center"/>
          </w:tcPr>
          <w:p w14:paraId="5EF0A43C"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Medium, likely a spec-level addition</w:t>
            </w:r>
          </w:p>
        </w:tc>
      </w:tr>
      <w:tr w:rsidR="006C61D2" w:rsidRPr="005C04F4" w14:paraId="1147024B" w14:textId="77777777" w:rsidTr="7774FC5C">
        <w:tc>
          <w:tcPr>
            <w:tcW w:w="1749" w:type="dxa"/>
            <w:tcMar>
              <w:top w:w="80" w:type="dxa"/>
              <w:left w:w="110" w:type="dxa"/>
              <w:bottom w:w="80" w:type="dxa"/>
              <w:right w:w="110" w:type="dxa"/>
            </w:tcMar>
            <w:vAlign w:val="center"/>
          </w:tcPr>
          <w:p w14:paraId="442AAE09"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b/>
                <w:bCs/>
                <w:color w:val="1A1A1A"/>
                <w:sz w:val="22"/>
                <w:szCs w:val="22"/>
              </w:rPr>
              <w:t>Use case or care pathway</w:t>
            </w:r>
          </w:p>
        </w:tc>
        <w:tc>
          <w:tcPr>
            <w:tcW w:w="4511" w:type="dxa"/>
            <w:tcMar>
              <w:top w:w="80" w:type="dxa"/>
              <w:left w:w="110" w:type="dxa"/>
              <w:bottom w:w="80" w:type="dxa"/>
              <w:right w:w="110" w:type="dxa"/>
            </w:tcMar>
            <w:vAlign w:val="center"/>
          </w:tcPr>
          <w:p w14:paraId="34637267"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The specific care journey within the application, for example 111 to ED or 999 to CAS validation. Distinguishes journeys that share one application.</w:t>
            </w:r>
          </w:p>
        </w:tc>
        <w:tc>
          <w:tcPr>
            <w:tcW w:w="1365" w:type="dxa"/>
            <w:tcMar>
              <w:top w:w="80" w:type="dxa"/>
              <w:left w:w="110" w:type="dxa"/>
              <w:bottom w:w="80" w:type="dxa"/>
              <w:right w:w="110" w:type="dxa"/>
            </w:tcMar>
            <w:vAlign w:val="center"/>
          </w:tcPr>
          <w:p w14:paraId="662898CE"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Mandatory</w:t>
            </w:r>
          </w:p>
        </w:tc>
        <w:tc>
          <w:tcPr>
            <w:tcW w:w="1522" w:type="dxa"/>
            <w:tcMar>
              <w:top w:w="80" w:type="dxa"/>
              <w:left w:w="110" w:type="dxa"/>
              <w:bottom w:w="80" w:type="dxa"/>
              <w:right w:w="110" w:type="dxa"/>
            </w:tcMar>
            <w:vAlign w:val="center"/>
          </w:tcPr>
          <w:p w14:paraId="3E7B0A4D"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Medium</w:t>
            </w:r>
          </w:p>
        </w:tc>
      </w:tr>
      <w:tr w:rsidR="006C61D2" w:rsidRPr="005C04F4" w14:paraId="598A819D" w14:textId="77777777" w:rsidTr="7774FC5C">
        <w:tc>
          <w:tcPr>
            <w:tcW w:w="1749" w:type="dxa"/>
            <w:tcMar>
              <w:top w:w="80" w:type="dxa"/>
              <w:left w:w="110" w:type="dxa"/>
              <w:bottom w:w="80" w:type="dxa"/>
              <w:right w:w="110" w:type="dxa"/>
            </w:tcMar>
            <w:vAlign w:val="center"/>
          </w:tcPr>
          <w:p w14:paraId="6C2FB44F"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b/>
                <w:bCs/>
                <w:color w:val="1A1A1A"/>
                <w:sz w:val="22"/>
                <w:szCs w:val="22"/>
              </w:rPr>
              <w:t>Message or transaction type</w:t>
            </w:r>
          </w:p>
        </w:tc>
        <w:tc>
          <w:tcPr>
            <w:tcW w:w="4511" w:type="dxa"/>
            <w:tcMar>
              <w:top w:w="80" w:type="dxa"/>
              <w:left w:w="110" w:type="dxa"/>
              <w:bottom w:w="80" w:type="dxa"/>
              <w:right w:w="110" w:type="dxa"/>
            </w:tcMar>
            <w:vAlign w:val="center"/>
          </w:tcPr>
          <w:p w14:paraId="7D253C52"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Whether the transaction is a new referral, booking, referral-and-booking, update, cancellation or reschedule. Transaction count does not equal referral count without this.</w:t>
            </w:r>
          </w:p>
        </w:tc>
        <w:tc>
          <w:tcPr>
            <w:tcW w:w="1365" w:type="dxa"/>
            <w:tcMar>
              <w:top w:w="80" w:type="dxa"/>
              <w:left w:w="110" w:type="dxa"/>
              <w:bottom w:w="80" w:type="dxa"/>
              <w:right w:w="110" w:type="dxa"/>
            </w:tcMar>
            <w:vAlign w:val="center"/>
          </w:tcPr>
          <w:p w14:paraId="18881F49"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Mandatory</w:t>
            </w:r>
          </w:p>
        </w:tc>
        <w:tc>
          <w:tcPr>
            <w:tcW w:w="1522" w:type="dxa"/>
            <w:tcMar>
              <w:top w:w="80" w:type="dxa"/>
              <w:left w:w="110" w:type="dxa"/>
              <w:bottom w:w="80" w:type="dxa"/>
              <w:right w:w="110" w:type="dxa"/>
            </w:tcMar>
            <w:vAlign w:val="center"/>
          </w:tcPr>
          <w:p w14:paraId="3924F2FC"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Large, possibly a major release</w:t>
            </w:r>
          </w:p>
        </w:tc>
      </w:tr>
      <w:tr w:rsidR="006C61D2" w:rsidRPr="005C04F4" w14:paraId="5F8FDFDC" w14:textId="77777777" w:rsidTr="7774FC5C">
        <w:tc>
          <w:tcPr>
            <w:tcW w:w="1749" w:type="dxa"/>
            <w:tcMar>
              <w:top w:w="80" w:type="dxa"/>
              <w:left w:w="110" w:type="dxa"/>
              <w:bottom w:w="80" w:type="dxa"/>
              <w:right w:w="110" w:type="dxa"/>
            </w:tcMar>
            <w:vAlign w:val="center"/>
          </w:tcPr>
          <w:p w14:paraId="319B5C99"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b/>
                <w:bCs/>
                <w:color w:val="1A1A1A"/>
                <w:sz w:val="22"/>
                <w:szCs w:val="22"/>
              </w:rPr>
              <w:t>Sender ODS code (decoded)</w:t>
            </w:r>
          </w:p>
        </w:tc>
        <w:tc>
          <w:tcPr>
            <w:tcW w:w="4511" w:type="dxa"/>
            <w:tcMar>
              <w:top w:w="80" w:type="dxa"/>
              <w:left w:w="110" w:type="dxa"/>
              <w:bottom w:w="80" w:type="dxa"/>
              <w:right w:w="110" w:type="dxa"/>
            </w:tcMar>
            <w:vAlign w:val="center"/>
          </w:tcPr>
          <w:p w14:paraId="303C1706" w14:textId="42AAF4A6"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The sending organisation in decoded, usable form. Needed for Trust</w:t>
            </w:r>
            <w:r w:rsidR="00161973">
              <w:rPr>
                <w:rFonts w:ascii="Arial" w:eastAsia="Calibri" w:hAnsi="Arial" w:cs="Arial"/>
                <w:color w:val="1A1A1A"/>
                <w:sz w:val="22"/>
                <w:szCs w:val="22"/>
              </w:rPr>
              <w:t>, 111 Telephony and 999 / Ambulance</w:t>
            </w:r>
            <w:r w:rsidRPr="005C04F4">
              <w:rPr>
                <w:rFonts w:ascii="Arial" w:eastAsia="Calibri" w:hAnsi="Arial" w:cs="Arial"/>
                <w:color w:val="1A1A1A"/>
                <w:sz w:val="22"/>
                <w:szCs w:val="22"/>
              </w:rPr>
              <w:t xml:space="preserve"> service reporting.</w:t>
            </w:r>
          </w:p>
        </w:tc>
        <w:tc>
          <w:tcPr>
            <w:tcW w:w="1365" w:type="dxa"/>
            <w:tcMar>
              <w:top w:w="80" w:type="dxa"/>
              <w:left w:w="110" w:type="dxa"/>
              <w:bottom w:w="80" w:type="dxa"/>
              <w:right w:w="110" w:type="dxa"/>
            </w:tcMar>
            <w:vAlign w:val="center"/>
          </w:tcPr>
          <w:p w14:paraId="0C4C18ED"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Essential</w:t>
            </w:r>
          </w:p>
        </w:tc>
        <w:tc>
          <w:tcPr>
            <w:tcW w:w="1522" w:type="dxa"/>
            <w:tcMar>
              <w:top w:w="80" w:type="dxa"/>
              <w:left w:w="110" w:type="dxa"/>
              <w:bottom w:w="80" w:type="dxa"/>
              <w:right w:w="110" w:type="dxa"/>
            </w:tcMar>
            <w:vAlign w:val="center"/>
          </w:tcPr>
          <w:p w14:paraId="5E64E41C"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Small, may only need decoding</w:t>
            </w:r>
          </w:p>
        </w:tc>
      </w:tr>
      <w:tr w:rsidR="006C61D2" w:rsidRPr="005C04F4" w14:paraId="7253C5B5" w14:textId="77777777" w:rsidTr="7774FC5C">
        <w:tc>
          <w:tcPr>
            <w:tcW w:w="1749" w:type="dxa"/>
            <w:tcMar>
              <w:top w:w="80" w:type="dxa"/>
              <w:left w:w="110" w:type="dxa"/>
              <w:bottom w:w="80" w:type="dxa"/>
              <w:right w:w="110" w:type="dxa"/>
            </w:tcMar>
            <w:vAlign w:val="center"/>
          </w:tcPr>
          <w:p w14:paraId="2D8BE506"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b/>
                <w:bCs/>
                <w:color w:val="1A1A1A"/>
                <w:sz w:val="22"/>
                <w:szCs w:val="22"/>
              </w:rPr>
              <w:t>Receiver ODS code (decoded)</w:t>
            </w:r>
          </w:p>
        </w:tc>
        <w:tc>
          <w:tcPr>
            <w:tcW w:w="4511" w:type="dxa"/>
            <w:tcMar>
              <w:top w:w="80" w:type="dxa"/>
              <w:left w:w="110" w:type="dxa"/>
              <w:bottom w:w="80" w:type="dxa"/>
              <w:right w:w="110" w:type="dxa"/>
            </w:tcMar>
            <w:vAlign w:val="center"/>
          </w:tcPr>
          <w:p w14:paraId="6ADDD272"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The receiving organisation in decoded form. Enables reporting at Trust, UTC, SDEC and CAS level.</w:t>
            </w:r>
          </w:p>
        </w:tc>
        <w:tc>
          <w:tcPr>
            <w:tcW w:w="1365" w:type="dxa"/>
            <w:tcMar>
              <w:top w:w="80" w:type="dxa"/>
              <w:left w:w="110" w:type="dxa"/>
              <w:bottom w:w="80" w:type="dxa"/>
              <w:right w:w="110" w:type="dxa"/>
            </w:tcMar>
            <w:vAlign w:val="center"/>
          </w:tcPr>
          <w:p w14:paraId="5ADF5340"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Essential</w:t>
            </w:r>
          </w:p>
        </w:tc>
        <w:tc>
          <w:tcPr>
            <w:tcW w:w="1522" w:type="dxa"/>
            <w:tcMar>
              <w:top w:w="80" w:type="dxa"/>
              <w:left w:w="110" w:type="dxa"/>
              <w:bottom w:w="80" w:type="dxa"/>
              <w:right w:w="110" w:type="dxa"/>
            </w:tcMar>
            <w:vAlign w:val="center"/>
          </w:tcPr>
          <w:p w14:paraId="4489B78F"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Small</w:t>
            </w:r>
          </w:p>
        </w:tc>
      </w:tr>
      <w:tr w:rsidR="006C61D2" w:rsidRPr="005C04F4" w14:paraId="72202390" w14:textId="77777777" w:rsidTr="7774FC5C">
        <w:tc>
          <w:tcPr>
            <w:tcW w:w="1749" w:type="dxa"/>
            <w:tcMar>
              <w:top w:w="80" w:type="dxa"/>
              <w:left w:w="110" w:type="dxa"/>
              <w:bottom w:w="80" w:type="dxa"/>
              <w:right w:w="110" w:type="dxa"/>
            </w:tcMar>
            <w:vAlign w:val="center"/>
          </w:tcPr>
          <w:p w14:paraId="12D4AC04"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b/>
                <w:bCs/>
                <w:color w:val="1A1A1A"/>
                <w:sz w:val="22"/>
                <w:szCs w:val="22"/>
              </w:rPr>
              <w:t>Sender service ID</w:t>
            </w:r>
          </w:p>
        </w:tc>
        <w:tc>
          <w:tcPr>
            <w:tcW w:w="4511" w:type="dxa"/>
            <w:tcMar>
              <w:top w:w="80" w:type="dxa"/>
              <w:left w:w="110" w:type="dxa"/>
              <w:bottom w:w="80" w:type="dxa"/>
              <w:right w:w="110" w:type="dxa"/>
            </w:tcMar>
            <w:vAlign w:val="center"/>
          </w:tcPr>
          <w:p w14:paraId="03D7C14A"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The specific service within a sending organisation, where one organisation runs several.</w:t>
            </w:r>
          </w:p>
        </w:tc>
        <w:tc>
          <w:tcPr>
            <w:tcW w:w="1365" w:type="dxa"/>
            <w:tcMar>
              <w:top w:w="80" w:type="dxa"/>
              <w:left w:w="110" w:type="dxa"/>
              <w:bottom w:w="80" w:type="dxa"/>
              <w:right w:w="110" w:type="dxa"/>
            </w:tcMar>
            <w:vAlign w:val="center"/>
          </w:tcPr>
          <w:p w14:paraId="071EF154"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Desirable</w:t>
            </w:r>
          </w:p>
        </w:tc>
        <w:tc>
          <w:tcPr>
            <w:tcW w:w="1522" w:type="dxa"/>
            <w:tcMar>
              <w:top w:w="80" w:type="dxa"/>
              <w:left w:w="110" w:type="dxa"/>
              <w:bottom w:w="80" w:type="dxa"/>
              <w:right w:w="110" w:type="dxa"/>
            </w:tcMar>
            <w:vAlign w:val="center"/>
          </w:tcPr>
          <w:p w14:paraId="491CD4E5"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Small to medium</w:t>
            </w:r>
          </w:p>
        </w:tc>
      </w:tr>
      <w:tr w:rsidR="006C61D2" w:rsidRPr="005C04F4" w14:paraId="654FB2ED" w14:textId="77777777" w:rsidTr="7774FC5C">
        <w:tc>
          <w:tcPr>
            <w:tcW w:w="1749" w:type="dxa"/>
            <w:tcMar>
              <w:top w:w="80" w:type="dxa"/>
              <w:left w:w="110" w:type="dxa"/>
              <w:bottom w:w="80" w:type="dxa"/>
              <w:right w:w="110" w:type="dxa"/>
            </w:tcMar>
            <w:vAlign w:val="center"/>
          </w:tcPr>
          <w:p w14:paraId="56014B5D"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b/>
                <w:bCs/>
                <w:color w:val="1A1A1A"/>
                <w:sz w:val="22"/>
                <w:szCs w:val="22"/>
              </w:rPr>
              <w:t>Receiver service ID</w:t>
            </w:r>
          </w:p>
        </w:tc>
        <w:tc>
          <w:tcPr>
            <w:tcW w:w="4511" w:type="dxa"/>
            <w:tcMar>
              <w:top w:w="80" w:type="dxa"/>
              <w:left w:w="110" w:type="dxa"/>
              <w:bottom w:w="80" w:type="dxa"/>
              <w:right w:w="110" w:type="dxa"/>
            </w:tcMar>
            <w:vAlign w:val="center"/>
          </w:tcPr>
          <w:p w14:paraId="0AB518F6"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The specific service at the receiving end. Enables more granular reporting than ODS code alone, especially for multi-site Trusts.</w:t>
            </w:r>
          </w:p>
        </w:tc>
        <w:tc>
          <w:tcPr>
            <w:tcW w:w="1365" w:type="dxa"/>
            <w:tcMar>
              <w:top w:w="80" w:type="dxa"/>
              <w:left w:w="110" w:type="dxa"/>
              <w:bottom w:w="80" w:type="dxa"/>
              <w:right w:w="110" w:type="dxa"/>
            </w:tcMar>
            <w:vAlign w:val="center"/>
          </w:tcPr>
          <w:p w14:paraId="608B579A"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Desirable</w:t>
            </w:r>
          </w:p>
        </w:tc>
        <w:tc>
          <w:tcPr>
            <w:tcW w:w="1522" w:type="dxa"/>
            <w:tcMar>
              <w:top w:w="80" w:type="dxa"/>
              <w:left w:w="110" w:type="dxa"/>
              <w:bottom w:w="80" w:type="dxa"/>
              <w:right w:w="110" w:type="dxa"/>
            </w:tcMar>
            <w:vAlign w:val="center"/>
          </w:tcPr>
          <w:p w14:paraId="5CAC9EA9"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Small to medium</w:t>
            </w:r>
          </w:p>
        </w:tc>
      </w:tr>
      <w:tr w:rsidR="006C61D2" w:rsidRPr="005C04F4" w14:paraId="07E7E0FB" w14:textId="77777777" w:rsidTr="7774FC5C">
        <w:tc>
          <w:tcPr>
            <w:tcW w:w="1749" w:type="dxa"/>
            <w:tcMar>
              <w:top w:w="80" w:type="dxa"/>
              <w:left w:w="110" w:type="dxa"/>
              <w:bottom w:w="80" w:type="dxa"/>
              <w:right w:w="110" w:type="dxa"/>
            </w:tcMar>
            <w:vAlign w:val="center"/>
          </w:tcPr>
          <w:p w14:paraId="3D901FC4"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b/>
                <w:bCs/>
                <w:color w:val="1A1A1A"/>
                <w:sz w:val="22"/>
                <w:szCs w:val="22"/>
              </w:rPr>
              <w:t>Transaction outcome</w:t>
            </w:r>
          </w:p>
        </w:tc>
        <w:tc>
          <w:tcPr>
            <w:tcW w:w="4511" w:type="dxa"/>
            <w:tcMar>
              <w:top w:w="80" w:type="dxa"/>
              <w:left w:w="110" w:type="dxa"/>
              <w:bottom w:w="80" w:type="dxa"/>
              <w:right w:w="110" w:type="dxa"/>
            </w:tcMar>
            <w:vAlign w:val="center"/>
          </w:tcPr>
          <w:p w14:paraId="5D1F6ABB"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Whether the transaction produced a confirmed business outcome, referral accepted or booking confirmed, versus a transport-level success only.</w:t>
            </w:r>
          </w:p>
        </w:tc>
        <w:tc>
          <w:tcPr>
            <w:tcW w:w="1365" w:type="dxa"/>
            <w:tcMar>
              <w:top w:w="80" w:type="dxa"/>
              <w:left w:w="110" w:type="dxa"/>
              <w:bottom w:w="80" w:type="dxa"/>
              <w:right w:w="110" w:type="dxa"/>
            </w:tcMar>
            <w:vAlign w:val="center"/>
          </w:tcPr>
          <w:p w14:paraId="194E818B"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Essential</w:t>
            </w:r>
          </w:p>
        </w:tc>
        <w:tc>
          <w:tcPr>
            <w:tcW w:w="1522" w:type="dxa"/>
            <w:tcMar>
              <w:top w:w="80" w:type="dxa"/>
              <w:left w:w="110" w:type="dxa"/>
              <w:bottom w:w="80" w:type="dxa"/>
              <w:right w:w="110" w:type="dxa"/>
            </w:tcMar>
            <w:vAlign w:val="center"/>
          </w:tcPr>
          <w:p w14:paraId="73CC83C4"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Large, likely a major release</w:t>
            </w:r>
          </w:p>
        </w:tc>
      </w:tr>
      <w:tr w:rsidR="006C61D2" w:rsidRPr="005C04F4" w14:paraId="0F246B5D" w14:textId="77777777" w:rsidTr="7774FC5C">
        <w:tc>
          <w:tcPr>
            <w:tcW w:w="1749" w:type="dxa"/>
            <w:tcMar>
              <w:top w:w="80" w:type="dxa"/>
              <w:left w:w="110" w:type="dxa"/>
              <w:bottom w:w="80" w:type="dxa"/>
              <w:right w:w="110" w:type="dxa"/>
            </w:tcMar>
            <w:vAlign w:val="center"/>
          </w:tcPr>
          <w:p w14:paraId="65AEAA83"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b/>
                <w:bCs/>
                <w:color w:val="1A1A1A"/>
                <w:sz w:val="22"/>
                <w:szCs w:val="22"/>
              </w:rPr>
              <w:t>Structured timestamp</w:t>
            </w:r>
          </w:p>
        </w:tc>
        <w:tc>
          <w:tcPr>
            <w:tcW w:w="4511" w:type="dxa"/>
            <w:tcMar>
              <w:top w:w="80" w:type="dxa"/>
              <w:left w:w="110" w:type="dxa"/>
              <w:bottom w:w="80" w:type="dxa"/>
              <w:right w:w="110" w:type="dxa"/>
            </w:tcMar>
            <w:vAlign w:val="center"/>
          </w:tcPr>
          <w:p w14:paraId="78D05FAB"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Date and time in a consistent structured format to support time-series and trend analysis.</w:t>
            </w:r>
          </w:p>
        </w:tc>
        <w:tc>
          <w:tcPr>
            <w:tcW w:w="1365" w:type="dxa"/>
            <w:tcMar>
              <w:top w:w="80" w:type="dxa"/>
              <w:left w:w="110" w:type="dxa"/>
              <w:bottom w:w="80" w:type="dxa"/>
              <w:right w:w="110" w:type="dxa"/>
            </w:tcMar>
            <w:vAlign w:val="center"/>
          </w:tcPr>
          <w:p w14:paraId="6CF31B87"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Mandatory</w:t>
            </w:r>
          </w:p>
        </w:tc>
        <w:tc>
          <w:tcPr>
            <w:tcW w:w="1522" w:type="dxa"/>
            <w:tcMar>
              <w:top w:w="80" w:type="dxa"/>
              <w:left w:w="110" w:type="dxa"/>
              <w:bottom w:w="80" w:type="dxa"/>
              <w:right w:w="110" w:type="dxa"/>
            </w:tcMar>
            <w:vAlign w:val="center"/>
          </w:tcPr>
          <w:p w14:paraId="45740659"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Small, likely present but needs structuring</w:t>
            </w:r>
          </w:p>
        </w:tc>
      </w:tr>
      <w:tr w:rsidR="006C61D2" w:rsidRPr="005C04F4" w14:paraId="0ED7BDB7" w14:textId="77777777" w:rsidTr="7774FC5C">
        <w:tc>
          <w:tcPr>
            <w:tcW w:w="1749" w:type="dxa"/>
            <w:tcMar>
              <w:top w:w="80" w:type="dxa"/>
              <w:left w:w="110" w:type="dxa"/>
              <w:bottom w:w="80" w:type="dxa"/>
              <w:right w:w="110" w:type="dxa"/>
            </w:tcMar>
            <w:vAlign w:val="center"/>
          </w:tcPr>
          <w:p w14:paraId="033778E6"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b/>
                <w:bCs/>
                <w:color w:val="1A1A1A"/>
                <w:sz w:val="22"/>
                <w:szCs w:val="22"/>
              </w:rPr>
              <w:t>BaRS version in use</w:t>
            </w:r>
          </w:p>
        </w:tc>
        <w:tc>
          <w:tcPr>
            <w:tcW w:w="4511" w:type="dxa"/>
            <w:tcMar>
              <w:top w:w="80" w:type="dxa"/>
              <w:left w:w="110" w:type="dxa"/>
              <w:bottom w:w="80" w:type="dxa"/>
              <w:right w:w="110" w:type="dxa"/>
            </w:tcMar>
            <w:vAlign w:val="center"/>
          </w:tcPr>
          <w:p w14:paraId="0225C62E"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The version each side is transacting on. Needed to understand the version adoption split over time, particularly during transition.</w:t>
            </w:r>
          </w:p>
        </w:tc>
        <w:tc>
          <w:tcPr>
            <w:tcW w:w="1365" w:type="dxa"/>
            <w:tcMar>
              <w:top w:w="80" w:type="dxa"/>
              <w:left w:w="110" w:type="dxa"/>
              <w:bottom w:w="80" w:type="dxa"/>
              <w:right w:w="110" w:type="dxa"/>
            </w:tcMar>
            <w:vAlign w:val="center"/>
          </w:tcPr>
          <w:p w14:paraId="7E309625"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Mandatory</w:t>
            </w:r>
          </w:p>
        </w:tc>
        <w:tc>
          <w:tcPr>
            <w:tcW w:w="1522" w:type="dxa"/>
            <w:tcMar>
              <w:top w:w="80" w:type="dxa"/>
              <w:left w:w="110" w:type="dxa"/>
              <w:bottom w:w="80" w:type="dxa"/>
              <w:right w:w="110" w:type="dxa"/>
            </w:tcMar>
            <w:vAlign w:val="center"/>
          </w:tcPr>
          <w:p w14:paraId="28FD0C90" w14:textId="77777777" w:rsidR="006C61D2" w:rsidRPr="005C04F4" w:rsidRDefault="006C61D2" w:rsidP="005C04F4">
            <w:pPr>
              <w:spacing w:after="40" w:line="360" w:lineRule="auto"/>
              <w:rPr>
                <w:rFonts w:ascii="Arial" w:hAnsi="Arial" w:cs="Arial"/>
                <w:sz w:val="22"/>
                <w:szCs w:val="22"/>
              </w:rPr>
            </w:pPr>
            <w:r w:rsidRPr="005C04F4">
              <w:rPr>
                <w:rFonts w:ascii="Arial" w:eastAsia="Calibri" w:hAnsi="Arial" w:cs="Arial"/>
                <w:color w:val="1A1A1A"/>
                <w:sz w:val="22"/>
                <w:szCs w:val="22"/>
              </w:rPr>
              <w:t>Small, likely implicit in version headers</w:t>
            </w:r>
          </w:p>
        </w:tc>
      </w:tr>
    </w:tbl>
    <w:p w14:paraId="2511FFC1" w14:textId="5624EC66" w:rsidR="00AE193A" w:rsidRDefault="00AE193A" w:rsidP="00793566">
      <w:pPr>
        <w:spacing w:before="60" w:after="100" w:line="360" w:lineRule="auto"/>
        <w:rPr>
          <w:rFonts w:ascii="Arial" w:hAnsi="Arial" w:cs="Arial"/>
          <w:color w:val="FF0000"/>
          <w:sz w:val="22"/>
          <w:szCs w:val="22"/>
          <w:lang w:val="en-US"/>
        </w:rPr>
      </w:pPr>
      <w:bookmarkStart w:id="6" w:name="_Improvement_Suggestions"/>
      <w:bookmarkEnd w:id="6"/>
    </w:p>
    <w:p w14:paraId="6F2D4F54" w14:textId="2D45ADAC" w:rsidR="00374BA4" w:rsidRPr="005C04F4" w:rsidRDefault="00374BA4" w:rsidP="005C04F4">
      <w:pPr>
        <w:spacing w:before="60" w:after="100" w:line="360" w:lineRule="auto"/>
        <w:rPr>
          <w:rFonts w:ascii="Arial" w:hAnsi="Arial" w:cs="Arial"/>
          <w:sz w:val="22"/>
          <w:szCs w:val="22"/>
        </w:rPr>
      </w:pPr>
    </w:p>
    <w:sectPr w:rsidR="00374BA4" w:rsidRPr="005C04F4" w:rsidSect="009D68A7">
      <w:headerReference w:type="default" r:id="rId15"/>
      <w:footerReference w:type="default" r:id="rId16"/>
      <w:pgSz w:w="11906" w:h="16838"/>
      <w:pgMar w:top="1440" w:right="1440" w:bottom="1440" w:left="1440" w:header="708" w:footer="17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HOMAS, Rhys (COVID19 RESPONSE TEAM)" w:date="2026-07-10T13:58:00Z" w:initials="RT">
    <w:p w14:paraId="7310E03A" w14:textId="753DED98" w:rsidR="004848CB" w:rsidRDefault="004848CB" w:rsidP="004848CB">
      <w:pPr>
        <w:pStyle w:val="CommentText"/>
      </w:pPr>
      <w:r>
        <w:rPr>
          <w:rStyle w:val="CommentReference"/>
        </w:rPr>
        <w:annotationRef/>
      </w:r>
      <w:r>
        <w:fldChar w:fldCharType="begin"/>
      </w:r>
      <w:r>
        <w:instrText>HYPERLINK "mailto:jacqui.jedrzejewski@nhs.net"</w:instrText>
      </w:r>
      <w:bookmarkStart w:id="1" w:name="_@_457AB4E86C134040A836AFAA8133679BZ"/>
      <w:r>
        <w:fldChar w:fldCharType="separate"/>
      </w:r>
      <w:bookmarkEnd w:id="1"/>
      <w:r w:rsidRPr="004848CB">
        <w:rPr>
          <w:rStyle w:val="Mention"/>
          <w:noProof/>
        </w:rPr>
        <w:t>@JEDRZEJEWSKI, Jacqui (NHS ENGLAND)</w:t>
      </w:r>
      <w:r>
        <w:fldChar w:fldCharType="end"/>
      </w:r>
      <w:r>
        <w:t xml:space="preserve">  - are you happy to sponsor the paper?</w:t>
      </w:r>
    </w:p>
  </w:comment>
  <w:comment w:id="2" w:author="THOMAS, Rhys (COVID19 RESPONSE TEAM)" w:date="2026-07-10T14:05:00Z" w:initials="RT">
    <w:p w14:paraId="58CC54EB" w14:textId="77777777" w:rsidR="00C033AE" w:rsidRDefault="00C033AE" w:rsidP="00C033AE">
      <w:pPr>
        <w:pStyle w:val="CommentText"/>
      </w:pPr>
      <w:r>
        <w:rPr>
          <w:rStyle w:val="CommentReference"/>
        </w:rPr>
        <w:annotationRef/>
      </w:r>
      <w:r>
        <w:t xml:space="preserve">I wonder if the App 5 example is a red herring. It might be technically superior because it’s cleaner, but do we have evidence that it’s being adopted? </w:t>
      </w:r>
      <w:r>
        <w:br/>
      </w:r>
      <w:r>
        <w:br/>
        <w:t>It might be a theoretical argument / red herring. I wouldn’t want us being distracted or misled by the promise of App 5.</w:t>
      </w:r>
    </w:p>
  </w:comment>
  <w:comment w:id="3" w:author="HADGU, Goitom (NHS ENGLAND)" w:date="2026-07-10T14:59:00Z" w:initials="HE">
    <w:p w14:paraId="527CE5D6" w14:textId="55B284CB" w:rsidR="007B715F" w:rsidRDefault="007B715F">
      <w:pPr>
        <w:pStyle w:val="CommentText"/>
      </w:pPr>
      <w:r>
        <w:rPr>
          <w:rStyle w:val="CommentReference"/>
        </w:rPr>
        <w:annotationRef/>
      </w:r>
      <w:r w:rsidRPr="1D564C96">
        <w:t>Thats based on takeaway from the meetings we had with Louise's team,  my understanding is that the pharmacy side is well maintained as part of the pharmacy first service; we met the team that manages that from our side.</w:t>
      </w:r>
    </w:p>
    <w:p w14:paraId="1CA70560" w14:textId="0C575C0A" w:rsidR="007B715F" w:rsidRDefault="007B715F">
      <w:pPr>
        <w:pStyle w:val="CommentText"/>
      </w:pPr>
    </w:p>
    <w:p w14:paraId="35802692" w14:textId="0BE6E089" w:rsidR="007B715F" w:rsidRDefault="007B715F">
      <w:pPr>
        <w:pStyle w:val="CommentText"/>
      </w:pPr>
      <w:r w:rsidRPr="7D7D6381">
        <w:t xml:space="preserve">I do agree, it might be technically superior as its has a team behind that monitors and maintain app 5 </w:t>
      </w:r>
    </w:p>
    <w:p w14:paraId="6B871409" w14:textId="2D0BDDDD" w:rsidR="007B715F" w:rsidRDefault="007B715F">
      <w:pPr>
        <w:pStyle w:val="CommentText"/>
      </w:pPr>
      <w:r w:rsidRPr="21BF47C9">
        <w:t xml:space="preserve">  </w:t>
      </w:r>
    </w:p>
  </w:comment>
  <w:comment w:id="4" w:author="THOMAS, Rhys (COVID19 RESPONSE TEAM)" w:date="2026-07-10T13:50:00Z" w:initials="RT">
    <w:p w14:paraId="256E5190" w14:textId="65C66ECD" w:rsidR="003C4465" w:rsidRDefault="003C4465" w:rsidP="003C4465">
      <w:pPr>
        <w:pStyle w:val="CommentText"/>
      </w:pPr>
      <w:r>
        <w:rPr>
          <w:rStyle w:val="CommentReference"/>
        </w:rPr>
        <w:annotationRef/>
      </w:r>
      <w:r>
        <w:fldChar w:fldCharType="begin"/>
      </w:r>
      <w:r>
        <w:instrText>HYPERLINK "mailto:jacqui.jedrzejewski@nhs.net"</w:instrText>
      </w:r>
      <w:bookmarkStart w:id="5" w:name="_@_9A069DD5474D4BC2810F6C78DA29A252Z"/>
      <w:r>
        <w:fldChar w:fldCharType="separate"/>
      </w:r>
      <w:bookmarkEnd w:id="5"/>
      <w:r w:rsidRPr="003C4465">
        <w:rPr>
          <w:rStyle w:val="Mention"/>
          <w:noProof/>
        </w:rPr>
        <w:t>@JEDRZEJEWSKI, Jacqui (NHS ENGLAND)</w:t>
      </w:r>
      <w:r>
        <w:fldChar w:fldCharType="end"/>
      </w:r>
      <w:r>
        <w:t xml:space="preserve"> to confirm happy with this statement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10E03A" w15:done="0"/>
  <w15:commentEx w15:paraId="58CC54EB" w15:done="0"/>
  <w15:commentEx w15:paraId="6B871409" w15:paraIdParent="58CC54EB" w15:done="0"/>
  <w15:commentEx w15:paraId="256E51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BC2FFD" w16cex:dateUtc="2026-07-10T12:58:00Z"/>
  <w16cex:commentExtensible w16cex:durableId="7D59BD25" w16cex:dateUtc="2026-07-10T13:05:00Z"/>
  <w16cex:commentExtensible w16cex:durableId="3E63E11B" w16cex:dateUtc="2026-07-10T13:59:00Z"/>
  <w16cex:commentExtensible w16cex:durableId="6DB6CA29" w16cex:dateUtc="2026-07-10T1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10E03A" w16cid:durableId="44BC2FFD"/>
  <w16cid:commentId w16cid:paraId="58CC54EB" w16cid:durableId="7D59BD25"/>
  <w16cid:commentId w16cid:paraId="6B871409" w16cid:durableId="3E63E11B"/>
  <w16cid:commentId w16cid:paraId="256E5190" w16cid:durableId="6DB6CA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330DA" w14:textId="77777777" w:rsidR="00A045D1" w:rsidRDefault="00A045D1" w:rsidP="00B624F3">
      <w:pPr>
        <w:spacing w:after="0" w:line="240" w:lineRule="auto"/>
      </w:pPr>
      <w:r>
        <w:separator/>
      </w:r>
    </w:p>
  </w:endnote>
  <w:endnote w:type="continuationSeparator" w:id="0">
    <w:p w14:paraId="085B7FDC" w14:textId="77777777" w:rsidR="00A045D1" w:rsidRDefault="00A045D1" w:rsidP="00B624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2060129353"/>
      <w:docPartObj>
        <w:docPartGallery w:val="Page Numbers (Bottom of Page)"/>
        <w:docPartUnique/>
      </w:docPartObj>
    </w:sdtPr>
    <w:sdtContent>
      <w:sdt>
        <w:sdtPr>
          <w:rPr>
            <w:rFonts w:ascii="Arial" w:hAnsi="Arial" w:cs="Arial"/>
          </w:rPr>
          <w:id w:val="1728636285"/>
          <w:docPartObj>
            <w:docPartGallery w:val="Page Numbers (Top of Page)"/>
            <w:docPartUnique/>
          </w:docPartObj>
        </w:sdtPr>
        <w:sdtContent>
          <w:p w14:paraId="11CA1E66" w14:textId="1E124175" w:rsidR="009D68A7" w:rsidRPr="00202FFF" w:rsidRDefault="009D68A7">
            <w:pPr>
              <w:pStyle w:val="Footer"/>
              <w:jc w:val="center"/>
              <w:rPr>
                <w:rFonts w:ascii="Arial" w:hAnsi="Arial" w:cs="Arial"/>
              </w:rPr>
            </w:pPr>
            <w:r w:rsidRPr="00202FFF">
              <w:rPr>
                <w:rFonts w:ascii="Arial" w:hAnsi="Arial" w:cs="Arial"/>
              </w:rPr>
              <w:t xml:space="preserve">Page </w:t>
            </w:r>
            <w:r w:rsidRPr="00202FFF">
              <w:rPr>
                <w:rFonts w:ascii="Arial" w:hAnsi="Arial" w:cs="Arial"/>
                <w:b/>
                <w:bCs/>
                <w:sz w:val="24"/>
                <w:szCs w:val="24"/>
              </w:rPr>
              <w:fldChar w:fldCharType="begin"/>
            </w:r>
            <w:r w:rsidRPr="00202FFF">
              <w:rPr>
                <w:rFonts w:ascii="Arial" w:hAnsi="Arial" w:cs="Arial"/>
                <w:b/>
                <w:bCs/>
              </w:rPr>
              <w:instrText xml:space="preserve"> PAGE </w:instrText>
            </w:r>
            <w:r w:rsidRPr="00202FFF">
              <w:rPr>
                <w:rFonts w:ascii="Arial" w:hAnsi="Arial" w:cs="Arial"/>
                <w:b/>
                <w:bCs/>
                <w:sz w:val="24"/>
                <w:szCs w:val="24"/>
              </w:rPr>
              <w:fldChar w:fldCharType="separate"/>
            </w:r>
            <w:r w:rsidRPr="00202FFF">
              <w:rPr>
                <w:rFonts w:ascii="Arial" w:hAnsi="Arial" w:cs="Arial"/>
                <w:b/>
                <w:bCs/>
                <w:noProof/>
              </w:rPr>
              <w:t>2</w:t>
            </w:r>
            <w:r w:rsidRPr="00202FFF">
              <w:rPr>
                <w:rFonts w:ascii="Arial" w:hAnsi="Arial" w:cs="Arial"/>
                <w:b/>
                <w:bCs/>
                <w:sz w:val="24"/>
                <w:szCs w:val="24"/>
              </w:rPr>
              <w:fldChar w:fldCharType="end"/>
            </w:r>
            <w:r w:rsidRPr="00202FFF">
              <w:rPr>
                <w:rFonts w:ascii="Arial" w:hAnsi="Arial" w:cs="Arial"/>
              </w:rPr>
              <w:t xml:space="preserve"> of </w:t>
            </w:r>
            <w:r w:rsidRPr="00202FFF">
              <w:rPr>
                <w:rFonts w:ascii="Arial" w:hAnsi="Arial" w:cs="Arial"/>
                <w:b/>
                <w:bCs/>
                <w:sz w:val="24"/>
                <w:szCs w:val="24"/>
              </w:rPr>
              <w:fldChar w:fldCharType="begin"/>
            </w:r>
            <w:r w:rsidRPr="00202FFF">
              <w:rPr>
                <w:rFonts w:ascii="Arial" w:hAnsi="Arial" w:cs="Arial"/>
                <w:b/>
                <w:bCs/>
              </w:rPr>
              <w:instrText xml:space="preserve"> NUMPAGES  </w:instrText>
            </w:r>
            <w:r w:rsidRPr="00202FFF">
              <w:rPr>
                <w:rFonts w:ascii="Arial" w:hAnsi="Arial" w:cs="Arial"/>
                <w:b/>
                <w:bCs/>
                <w:sz w:val="24"/>
                <w:szCs w:val="24"/>
              </w:rPr>
              <w:fldChar w:fldCharType="separate"/>
            </w:r>
            <w:r w:rsidRPr="00202FFF">
              <w:rPr>
                <w:rFonts w:ascii="Arial" w:hAnsi="Arial" w:cs="Arial"/>
                <w:b/>
                <w:bCs/>
                <w:noProof/>
              </w:rPr>
              <w:t>2</w:t>
            </w:r>
            <w:r w:rsidRPr="00202FFF">
              <w:rPr>
                <w:rFonts w:ascii="Arial" w:hAnsi="Arial" w:cs="Arial"/>
                <w:b/>
                <w:bCs/>
                <w:sz w:val="24"/>
                <w:szCs w:val="24"/>
              </w:rPr>
              <w:fldChar w:fldCharType="end"/>
            </w:r>
          </w:p>
        </w:sdtContent>
      </w:sdt>
    </w:sdtContent>
  </w:sdt>
  <w:p w14:paraId="5DF1ABD3" w14:textId="77777777" w:rsidR="00A83A1D" w:rsidRPr="00202FFF" w:rsidRDefault="00A83A1D">
    <w:pPr>
      <w:pStyle w:val="Foo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BD239" w14:textId="77777777" w:rsidR="00A045D1" w:rsidRDefault="00A045D1" w:rsidP="00B624F3">
      <w:pPr>
        <w:spacing w:after="0" w:line="240" w:lineRule="auto"/>
      </w:pPr>
      <w:r>
        <w:separator/>
      </w:r>
    </w:p>
  </w:footnote>
  <w:footnote w:type="continuationSeparator" w:id="0">
    <w:p w14:paraId="0469F92B" w14:textId="77777777" w:rsidR="00A045D1" w:rsidRDefault="00A045D1" w:rsidP="00B624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17040" w14:textId="1E83670A" w:rsidR="00494557" w:rsidRPr="00202FFF" w:rsidRDefault="00494557" w:rsidP="00494557">
    <w:pPr>
      <w:pStyle w:val="Header"/>
      <w:tabs>
        <w:tab w:val="clear" w:pos="4513"/>
      </w:tabs>
      <w:rPr>
        <w:rFonts w:ascii="Arial" w:hAnsi="Arial" w:cs="Arial"/>
      </w:rPr>
    </w:pPr>
    <w:r w:rsidRPr="00202FFF">
      <w:rPr>
        <w:rFonts w:ascii="Arial" w:hAnsi="Arial" w:cs="Arial"/>
      </w:rPr>
      <w:t>BaRS Reporting and Analytics</w:t>
    </w:r>
    <w:r w:rsidRPr="00202FFF">
      <w:rPr>
        <w:rFonts w:ascii="Arial" w:hAnsi="Arial" w:cs="Arial"/>
      </w:rPr>
      <w:tab/>
      <w:t>Digital UEC Board</w:t>
    </w:r>
  </w:p>
  <w:p w14:paraId="64FB3C42" w14:textId="77777777" w:rsidR="00494557" w:rsidRPr="00202FFF" w:rsidRDefault="00494557">
    <w:pPr>
      <w:pStyle w:val="Header"/>
      <w:rPr>
        <w:rFonts w:ascii="Arial" w:hAnsi="Arial" w:cs="Arial"/>
      </w:rPr>
    </w:pPr>
  </w:p>
</w:hdr>
</file>

<file path=word/intelligence2.xml><?xml version="1.0" encoding="utf-8"?>
<int2:intelligence xmlns:int2="http://schemas.microsoft.com/office/intelligence/2020/intelligence" xmlns:oel="http://schemas.microsoft.com/office/2019/extlst">
  <int2:observations>
    <int2:textHash int2:hashCode="WlmbSC/B5jvXHX" int2:id="vZR3uk6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0EFC"/>
    <w:multiLevelType w:val="hybridMultilevel"/>
    <w:tmpl w:val="FFFFFFFF"/>
    <w:lvl w:ilvl="0" w:tplc="5A585E98">
      <w:start w:val="1"/>
      <w:numFmt w:val="bullet"/>
      <w:lvlText w:val="•"/>
      <w:lvlJc w:val="left"/>
      <w:pPr>
        <w:ind w:left="720" w:hanging="360"/>
      </w:pPr>
      <w:rPr>
        <w:rFonts w:ascii="Symbol" w:hAnsi="Symbol" w:hint="default"/>
      </w:rPr>
    </w:lvl>
    <w:lvl w:ilvl="1" w:tplc="5B7070CE">
      <w:start w:val="1"/>
      <w:numFmt w:val="bullet"/>
      <w:lvlText w:val="o"/>
      <w:lvlJc w:val="left"/>
      <w:pPr>
        <w:ind w:left="1440" w:hanging="360"/>
      </w:pPr>
      <w:rPr>
        <w:rFonts w:ascii="Courier New" w:hAnsi="Courier New" w:hint="default"/>
      </w:rPr>
    </w:lvl>
    <w:lvl w:ilvl="2" w:tplc="F990ABEA">
      <w:start w:val="1"/>
      <w:numFmt w:val="bullet"/>
      <w:lvlText w:val=""/>
      <w:lvlJc w:val="left"/>
      <w:pPr>
        <w:ind w:left="2160" w:hanging="360"/>
      </w:pPr>
      <w:rPr>
        <w:rFonts w:ascii="Wingdings" w:hAnsi="Wingdings" w:hint="default"/>
      </w:rPr>
    </w:lvl>
    <w:lvl w:ilvl="3" w:tplc="9F142EBA">
      <w:start w:val="1"/>
      <w:numFmt w:val="bullet"/>
      <w:lvlText w:val=""/>
      <w:lvlJc w:val="left"/>
      <w:pPr>
        <w:ind w:left="2880" w:hanging="360"/>
      </w:pPr>
      <w:rPr>
        <w:rFonts w:ascii="Symbol" w:hAnsi="Symbol" w:hint="default"/>
      </w:rPr>
    </w:lvl>
    <w:lvl w:ilvl="4" w:tplc="132E33F8">
      <w:start w:val="1"/>
      <w:numFmt w:val="bullet"/>
      <w:lvlText w:val="o"/>
      <w:lvlJc w:val="left"/>
      <w:pPr>
        <w:ind w:left="3600" w:hanging="360"/>
      </w:pPr>
      <w:rPr>
        <w:rFonts w:ascii="Courier New" w:hAnsi="Courier New" w:hint="default"/>
      </w:rPr>
    </w:lvl>
    <w:lvl w:ilvl="5" w:tplc="1CDA2B48">
      <w:start w:val="1"/>
      <w:numFmt w:val="bullet"/>
      <w:lvlText w:val=""/>
      <w:lvlJc w:val="left"/>
      <w:pPr>
        <w:ind w:left="4320" w:hanging="360"/>
      </w:pPr>
      <w:rPr>
        <w:rFonts w:ascii="Wingdings" w:hAnsi="Wingdings" w:hint="default"/>
      </w:rPr>
    </w:lvl>
    <w:lvl w:ilvl="6" w:tplc="DCD0BF6E">
      <w:start w:val="1"/>
      <w:numFmt w:val="bullet"/>
      <w:lvlText w:val=""/>
      <w:lvlJc w:val="left"/>
      <w:pPr>
        <w:ind w:left="5040" w:hanging="360"/>
      </w:pPr>
      <w:rPr>
        <w:rFonts w:ascii="Symbol" w:hAnsi="Symbol" w:hint="default"/>
      </w:rPr>
    </w:lvl>
    <w:lvl w:ilvl="7" w:tplc="9670D3C0">
      <w:start w:val="1"/>
      <w:numFmt w:val="bullet"/>
      <w:lvlText w:val="o"/>
      <w:lvlJc w:val="left"/>
      <w:pPr>
        <w:ind w:left="5760" w:hanging="360"/>
      </w:pPr>
      <w:rPr>
        <w:rFonts w:ascii="Courier New" w:hAnsi="Courier New" w:hint="default"/>
      </w:rPr>
    </w:lvl>
    <w:lvl w:ilvl="8" w:tplc="2348F43A">
      <w:start w:val="1"/>
      <w:numFmt w:val="bullet"/>
      <w:lvlText w:val=""/>
      <w:lvlJc w:val="left"/>
      <w:pPr>
        <w:ind w:left="6480" w:hanging="360"/>
      </w:pPr>
      <w:rPr>
        <w:rFonts w:ascii="Wingdings" w:hAnsi="Wingdings" w:hint="default"/>
      </w:rPr>
    </w:lvl>
  </w:abstractNum>
  <w:abstractNum w:abstractNumId="1" w15:restartNumberingAfterBreak="0">
    <w:nsid w:val="0E96E0A4"/>
    <w:multiLevelType w:val="hybridMultilevel"/>
    <w:tmpl w:val="FFFFFFFF"/>
    <w:lvl w:ilvl="0" w:tplc="DE8E7D7A">
      <w:start w:val="1"/>
      <w:numFmt w:val="bullet"/>
      <w:lvlText w:val=""/>
      <w:lvlJc w:val="left"/>
      <w:pPr>
        <w:ind w:left="720" w:hanging="360"/>
      </w:pPr>
      <w:rPr>
        <w:rFonts w:ascii="Symbol" w:hAnsi="Symbol" w:hint="default"/>
      </w:rPr>
    </w:lvl>
    <w:lvl w:ilvl="1" w:tplc="0FD6F1A6">
      <w:start w:val="1"/>
      <w:numFmt w:val="bullet"/>
      <w:lvlText w:val="o"/>
      <w:lvlJc w:val="left"/>
      <w:pPr>
        <w:ind w:left="1440" w:hanging="360"/>
      </w:pPr>
      <w:rPr>
        <w:rFonts w:ascii="Courier New" w:hAnsi="Courier New" w:hint="default"/>
      </w:rPr>
    </w:lvl>
    <w:lvl w:ilvl="2" w:tplc="2DF8CD6A">
      <w:start w:val="1"/>
      <w:numFmt w:val="bullet"/>
      <w:lvlText w:val=""/>
      <w:lvlJc w:val="left"/>
      <w:pPr>
        <w:ind w:left="2160" w:hanging="360"/>
      </w:pPr>
      <w:rPr>
        <w:rFonts w:ascii="Wingdings" w:hAnsi="Wingdings" w:hint="default"/>
      </w:rPr>
    </w:lvl>
    <w:lvl w:ilvl="3" w:tplc="109A240A">
      <w:start w:val="1"/>
      <w:numFmt w:val="bullet"/>
      <w:lvlText w:val=""/>
      <w:lvlJc w:val="left"/>
      <w:pPr>
        <w:ind w:left="2880" w:hanging="360"/>
      </w:pPr>
      <w:rPr>
        <w:rFonts w:ascii="Symbol" w:hAnsi="Symbol" w:hint="default"/>
      </w:rPr>
    </w:lvl>
    <w:lvl w:ilvl="4" w:tplc="D9C639C0">
      <w:start w:val="1"/>
      <w:numFmt w:val="bullet"/>
      <w:lvlText w:val="o"/>
      <w:lvlJc w:val="left"/>
      <w:pPr>
        <w:ind w:left="3600" w:hanging="360"/>
      </w:pPr>
      <w:rPr>
        <w:rFonts w:ascii="Courier New" w:hAnsi="Courier New" w:hint="default"/>
      </w:rPr>
    </w:lvl>
    <w:lvl w:ilvl="5" w:tplc="F06E5B36">
      <w:start w:val="1"/>
      <w:numFmt w:val="bullet"/>
      <w:lvlText w:val=""/>
      <w:lvlJc w:val="left"/>
      <w:pPr>
        <w:ind w:left="4320" w:hanging="360"/>
      </w:pPr>
      <w:rPr>
        <w:rFonts w:ascii="Wingdings" w:hAnsi="Wingdings" w:hint="default"/>
      </w:rPr>
    </w:lvl>
    <w:lvl w:ilvl="6" w:tplc="A87C0E88">
      <w:start w:val="1"/>
      <w:numFmt w:val="bullet"/>
      <w:lvlText w:val=""/>
      <w:lvlJc w:val="left"/>
      <w:pPr>
        <w:ind w:left="5040" w:hanging="360"/>
      </w:pPr>
      <w:rPr>
        <w:rFonts w:ascii="Symbol" w:hAnsi="Symbol" w:hint="default"/>
      </w:rPr>
    </w:lvl>
    <w:lvl w:ilvl="7" w:tplc="D992357E">
      <w:start w:val="1"/>
      <w:numFmt w:val="bullet"/>
      <w:lvlText w:val="o"/>
      <w:lvlJc w:val="left"/>
      <w:pPr>
        <w:ind w:left="5760" w:hanging="360"/>
      </w:pPr>
      <w:rPr>
        <w:rFonts w:ascii="Courier New" w:hAnsi="Courier New" w:hint="default"/>
      </w:rPr>
    </w:lvl>
    <w:lvl w:ilvl="8" w:tplc="AD32C492">
      <w:start w:val="1"/>
      <w:numFmt w:val="bullet"/>
      <w:lvlText w:val=""/>
      <w:lvlJc w:val="left"/>
      <w:pPr>
        <w:ind w:left="6480" w:hanging="360"/>
      </w:pPr>
      <w:rPr>
        <w:rFonts w:ascii="Wingdings" w:hAnsi="Wingdings" w:hint="default"/>
      </w:rPr>
    </w:lvl>
  </w:abstractNum>
  <w:abstractNum w:abstractNumId="2" w15:restartNumberingAfterBreak="0">
    <w:nsid w:val="11E92F29"/>
    <w:multiLevelType w:val="hybridMultilevel"/>
    <w:tmpl w:val="FFFFFFFF"/>
    <w:lvl w:ilvl="0" w:tplc="941A4DF2">
      <w:start w:val="1"/>
      <w:numFmt w:val="bullet"/>
      <w:lvlText w:val="-"/>
      <w:lvlJc w:val="left"/>
      <w:pPr>
        <w:ind w:left="720" w:hanging="360"/>
      </w:pPr>
      <w:rPr>
        <w:rFonts w:ascii="Aptos" w:hAnsi="Aptos" w:hint="default"/>
      </w:rPr>
    </w:lvl>
    <w:lvl w:ilvl="1" w:tplc="C004E33C">
      <w:start w:val="1"/>
      <w:numFmt w:val="bullet"/>
      <w:lvlText w:val="o"/>
      <w:lvlJc w:val="left"/>
      <w:pPr>
        <w:ind w:left="1440" w:hanging="360"/>
      </w:pPr>
      <w:rPr>
        <w:rFonts w:ascii="Courier New" w:hAnsi="Courier New" w:hint="default"/>
      </w:rPr>
    </w:lvl>
    <w:lvl w:ilvl="2" w:tplc="069E313E">
      <w:start w:val="1"/>
      <w:numFmt w:val="bullet"/>
      <w:lvlText w:val=""/>
      <w:lvlJc w:val="left"/>
      <w:pPr>
        <w:ind w:left="2160" w:hanging="360"/>
      </w:pPr>
      <w:rPr>
        <w:rFonts w:ascii="Wingdings" w:hAnsi="Wingdings" w:hint="default"/>
      </w:rPr>
    </w:lvl>
    <w:lvl w:ilvl="3" w:tplc="67A80C24">
      <w:start w:val="1"/>
      <w:numFmt w:val="bullet"/>
      <w:lvlText w:val=""/>
      <w:lvlJc w:val="left"/>
      <w:pPr>
        <w:ind w:left="2880" w:hanging="360"/>
      </w:pPr>
      <w:rPr>
        <w:rFonts w:ascii="Symbol" w:hAnsi="Symbol" w:hint="default"/>
      </w:rPr>
    </w:lvl>
    <w:lvl w:ilvl="4" w:tplc="1720867C">
      <w:start w:val="1"/>
      <w:numFmt w:val="bullet"/>
      <w:lvlText w:val="o"/>
      <w:lvlJc w:val="left"/>
      <w:pPr>
        <w:ind w:left="3600" w:hanging="360"/>
      </w:pPr>
      <w:rPr>
        <w:rFonts w:ascii="Courier New" w:hAnsi="Courier New" w:hint="default"/>
      </w:rPr>
    </w:lvl>
    <w:lvl w:ilvl="5" w:tplc="CBE46764">
      <w:start w:val="1"/>
      <w:numFmt w:val="bullet"/>
      <w:lvlText w:val=""/>
      <w:lvlJc w:val="left"/>
      <w:pPr>
        <w:ind w:left="4320" w:hanging="360"/>
      </w:pPr>
      <w:rPr>
        <w:rFonts w:ascii="Wingdings" w:hAnsi="Wingdings" w:hint="default"/>
      </w:rPr>
    </w:lvl>
    <w:lvl w:ilvl="6" w:tplc="D61C7590">
      <w:start w:val="1"/>
      <w:numFmt w:val="bullet"/>
      <w:lvlText w:val=""/>
      <w:lvlJc w:val="left"/>
      <w:pPr>
        <w:ind w:left="5040" w:hanging="360"/>
      </w:pPr>
      <w:rPr>
        <w:rFonts w:ascii="Symbol" w:hAnsi="Symbol" w:hint="default"/>
      </w:rPr>
    </w:lvl>
    <w:lvl w:ilvl="7" w:tplc="AA02B6AA">
      <w:start w:val="1"/>
      <w:numFmt w:val="bullet"/>
      <w:lvlText w:val="o"/>
      <w:lvlJc w:val="left"/>
      <w:pPr>
        <w:ind w:left="5760" w:hanging="360"/>
      </w:pPr>
      <w:rPr>
        <w:rFonts w:ascii="Courier New" w:hAnsi="Courier New" w:hint="default"/>
      </w:rPr>
    </w:lvl>
    <w:lvl w:ilvl="8" w:tplc="50541BEA">
      <w:start w:val="1"/>
      <w:numFmt w:val="bullet"/>
      <w:lvlText w:val=""/>
      <w:lvlJc w:val="left"/>
      <w:pPr>
        <w:ind w:left="6480" w:hanging="360"/>
      </w:pPr>
      <w:rPr>
        <w:rFonts w:ascii="Wingdings" w:hAnsi="Wingdings" w:hint="default"/>
      </w:rPr>
    </w:lvl>
  </w:abstractNum>
  <w:abstractNum w:abstractNumId="3" w15:restartNumberingAfterBreak="0">
    <w:nsid w:val="120D421A"/>
    <w:multiLevelType w:val="hybridMultilevel"/>
    <w:tmpl w:val="20E6733C"/>
    <w:lvl w:ilvl="0" w:tplc="4B5A52E0">
      <w:start w:val="1"/>
      <w:numFmt w:val="bullet"/>
      <w:lvlText w:val="•"/>
      <w:lvlJc w:val="left"/>
      <w:pPr>
        <w:ind w:left="400" w:hanging="220"/>
      </w:pPr>
    </w:lvl>
    <w:lvl w:ilvl="1" w:tplc="F1B094A0">
      <w:start w:val="1"/>
      <w:numFmt w:val="bullet"/>
      <w:lvlText w:val="◦"/>
      <w:lvlJc w:val="left"/>
      <w:pPr>
        <w:ind w:left="780" w:hanging="220"/>
      </w:pPr>
    </w:lvl>
    <w:lvl w:ilvl="2" w:tplc="57FA9E18">
      <w:numFmt w:val="decimal"/>
      <w:lvlText w:val=""/>
      <w:lvlJc w:val="left"/>
    </w:lvl>
    <w:lvl w:ilvl="3" w:tplc="67EC40CE">
      <w:numFmt w:val="decimal"/>
      <w:lvlText w:val=""/>
      <w:lvlJc w:val="left"/>
    </w:lvl>
    <w:lvl w:ilvl="4" w:tplc="864C9A06">
      <w:numFmt w:val="decimal"/>
      <w:lvlText w:val=""/>
      <w:lvlJc w:val="left"/>
    </w:lvl>
    <w:lvl w:ilvl="5" w:tplc="5512F480">
      <w:numFmt w:val="decimal"/>
      <w:lvlText w:val=""/>
      <w:lvlJc w:val="left"/>
    </w:lvl>
    <w:lvl w:ilvl="6" w:tplc="6136E58E">
      <w:numFmt w:val="decimal"/>
      <w:lvlText w:val=""/>
      <w:lvlJc w:val="left"/>
    </w:lvl>
    <w:lvl w:ilvl="7" w:tplc="3B2421A2">
      <w:numFmt w:val="decimal"/>
      <w:lvlText w:val=""/>
      <w:lvlJc w:val="left"/>
    </w:lvl>
    <w:lvl w:ilvl="8" w:tplc="B4CA4726">
      <w:numFmt w:val="decimal"/>
      <w:lvlText w:val=""/>
      <w:lvlJc w:val="left"/>
    </w:lvl>
  </w:abstractNum>
  <w:abstractNum w:abstractNumId="4" w15:restartNumberingAfterBreak="0">
    <w:nsid w:val="12827BF8"/>
    <w:multiLevelType w:val="hybridMultilevel"/>
    <w:tmpl w:val="FFFFFFFF"/>
    <w:lvl w:ilvl="0" w:tplc="92F66886">
      <w:start w:val="1"/>
      <w:numFmt w:val="bullet"/>
      <w:lvlText w:val=""/>
      <w:lvlJc w:val="left"/>
      <w:pPr>
        <w:ind w:left="720" w:hanging="360"/>
      </w:pPr>
      <w:rPr>
        <w:rFonts w:ascii="Symbol" w:hAnsi="Symbol" w:hint="default"/>
      </w:rPr>
    </w:lvl>
    <w:lvl w:ilvl="1" w:tplc="76203558">
      <w:start w:val="1"/>
      <w:numFmt w:val="bullet"/>
      <w:lvlText w:val="o"/>
      <w:lvlJc w:val="left"/>
      <w:pPr>
        <w:ind w:left="1440" w:hanging="360"/>
      </w:pPr>
      <w:rPr>
        <w:rFonts w:ascii="Courier New" w:hAnsi="Courier New" w:hint="default"/>
      </w:rPr>
    </w:lvl>
    <w:lvl w:ilvl="2" w:tplc="C816686A">
      <w:start w:val="1"/>
      <w:numFmt w:val="bullet"/>
      <w:lvlText w:val=""/>
      <w:lvlJc w:val="left"/>
      <w:pPr>
        <w:ind w:left="2160" w:hanging="360"/>
      </w:pPr>
      <w:rPr>
        <w:rFonts w:ascii="Wingdings" w:hAnsi="Wingdings" w:hint="default"/>
      </w:rPr>
    </w:lvl>
    <w:lvl w:ilvl="3" w:tplc="4C5E258E">
      <w:start w:val="1"/>
      <w:numFmt w:val="bullet"/>
      <w:lvlText w:val=""/>
      <w:lvlJc w:val="left"/>
      <w:pPr>
        <w:ind w:left="2880" w:hanging="360"/>
      </w:pPr>
      <w:rPr>
        <w:rFonts w:ascii="Symbol" w:hAnsi="Symbol" w:hint="default"/>
      </w:rPr>
    </w:lvl>
    <w:lvl w:ilvl="4" w:tplc="1B3637A6">
      <w:start w:val="1"/>
      <w:numFmt w:val="bullet"/>
      <w:lvlText w:val="o"/>
      <w:lvlJc w:val="left"/>
      <w:pPr>
        <w:ind w:left="3600" w:hanging="360"/>
      </w:pPr>
      <w:rPr>
        <w:rFonts w:ascii="Courier New" w:hAnsi="Courier New" w:hint="default"/>
      </w:rPr>
    </w:lvl>
    <w:lvl w:ilvl="5" w:tplc="292AAF0C">
      <w:start w:val="1"/>
      <w:numFmt w:val="bullet"/>
      <w:lvlText w:val=""/>
      <w:lvlJc w:val="left"/>
      <w:pPr>
        <w:ind w:left="4320" w:hanging="360"/>
      </w:pPr>
      <w:rPr>
        <w:rFonts w:ascii="Wingdings" w:hAnsi="Wingdings" w:hint="default"/>
      </w:rPr>
    </w:lvl>
    <w:lvl w:ilvl="6" w:tplc="CD26A02A">
      <w:start w:val="1"/>
      <w:numFmt w:val="bullet"/>
      <w:lvlText w:val=""/>
      <w:lvlJc w:val="left"/>
      <w:pPr>
        <w:ind w:left="5040" w:hanging="360"/>
      </w:pPr>
      <w:rPr>
        <w:rFonts w:ascii="Symbol" w:hAnsi="Symbol" w:hint="default"/>
      </w:rPr>
    </w:lvl>
    <w:lvl w:ilvl="7" w:tplc="17E62A32">
      <w:start w:val="1"/>
      <w:numFmt w:val="bullet"/>
      <w:lvlText w:val="o"/>
      <w:lvlJc w:val="left"/>
      <w:pPr>
        <w:ind w:left="5760" w:hanging="360"/>
      </w:pPr>
      <w:rPr>
        <w:rFonts w:ascii="Courier New" w:hAnsi="Courier New" w:hint="default"/>
      </w:rPr>
    </w:lvl>
    <w:lvl w:ilvl="8" w:tplc="0FB0534C">
      <w:start w:val="1"/>
      <w:numFmt w:val="bullet"/>
      <w:lvlText w:val=""/>
      <w:lvlJc w:val="left"/>
      <w:pPr>
        <w:ind w:left="6480" w:hanging="360"/>
      </w:pPr>
      <w:rPr>
        <w:rFonts w:ascii="Wingdings" w:hAnsi="Wingdings" w:hint="default"/>
      </w:rPr>
    </w:lvl>
  </w:abstractNum>
  <w:abstractNum w:abstractNumId="5" w15:restartNumberingAfterBreak="0">
    <w:nsid w:val="17AF9512"/>
    <w:multiLevelType w:val="hybridMultilevel"/>
    <w:tmpl w:val="FFFFFFFF"/>
    <w:lvl w:ilvl="0" w:tplc="FF923594">
      <w:start w:val="1"/>
      <w:numFmt w:val="decimal"/>
      <w:lvlText w:val="•"/>
      <w:lvlJc w:val="left"/>
      <w:pPr>
        <w:ind w:left="720" w:hanging="360"/>
      </w:pPr>
    </w:lvl>
    <w:lvl w:ilvl="1" w:tplc="F0E654AC">
      <w:start w:val="1"/>
      <w:numFmt w:val="lowerLetter"/>
      <w:lvlText w:val="%2."/>
      <w:lvlJc w:val="left"/>
      <w:pPr>
        <w:ind w:left="1440" w:hanging="360"/>
      </w:pPr>
    </w:lvl>
    <w:lvl w:ilvl="2" w:tplc="D110DE7A">
      <w:start w:val="1"/>
      <w:numFmt w:val="lowerRoman"/>
      <w:lvlText w:val="%3."/>
      <w:lvlJc w:val="right"/>
      <w:pPr>
        <w:ind w:left="2160" w:hanging="180"/>
      </w:pPr>
    </w:lvl>
    <w:lvl w:ilvl="3" w:tplc="8144943E">
      <w:start w:val="1"/>
      <w:numFmt w:val="decimal"/>
      <w:lvlText w:val="%4."/>
      <w:lvlJc w:val="left"/>
      <w:pPr>
        <w:ind w:left="2880" w:hanging="360"/>
      </w:pPr>
    </w:lvl>
    <w:lvl w:ilvl="4" w:tplc="83F0F19C">
      <w:start w:val="1"/>
      <w:numFmt w:val="lowerLetter"/>
      <w:lvlText w:val="%5."/>
      <w:lvlJc w:val="left"/>
      <w:pPr>
        <w:ind w:left="3600" w:hanging="360"/>
      </w:pPr>
    </w:lvl>
    <w:lvl w:ilvl="5" w:tplc="70A87D56">
      <w:start w:val="1"/>
      <w:numFmt w:val="lowerRoman"/>
      <w:lvlText w:val="%6."/>
      <w:lvlJc w:val="right"/>
      <w:pPr>
        <w:ind w:left="4320" w:hanging="180"/>
      </w:pPr>
    </w:lvl>
    <w:lvl w:ilvl="6" w:tplc="E8524596">
      <w:start w:val="1"/>
      <w:numFmt w:val="decimal"/>
      <w:lvlText w:val="%7."/>
      <w:lvlJc w:val="left"/>
      <w:pPr>
        <w:ind w:left="5040" w:hanging="360"/>
      </w:pPr>
    </w:lvl>
    <w:lvl w:ilvl="7" w:tplc="E7705ACC">
      <w:start w:val="1"/>
      <w:numFmt w:val="lowerLetter"/>
      <w:lvlText w:val="%8."/>
      <w:lvlJc w:val="left"/>
      <w:pPr>
        <w:ind w:left="5760" w:hanging="360"/>
      </w:pPr>
    </w:lvl>
    <w:lvl w:ilvl="8" w:tplc="CE8A3290">
      <w:start w:val="1"/>
      <w:numFmt w:val="lowerRoman"/>
      <w:lvlText w:val="%9."/>
      <w:lvlJc w:val="right"/>
      <w:pPr>
        <w:ind w:left="6480" w:hanging="180"/>
      </w:pPr>
    </w:lvl>
  </w:abstractNum>
  <w:abstractNum w:abstractNumId="6" w15:restartNumberingAfterBreak="0">
    <w:nsid w:val="17CB6DF4"/>
    <w:multiLevelType w:val="multilevel"/>
    <w:tmpl w:val="EE5E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B25941"/>
    <w:multiLevelType w:val="hybridMultilevel"/>
    <w:tmpl w:val="E20C8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2D291D"/>
    <w:multiLevelType w:val="multilevel"/>
    <w:tmpl w:val="066C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371AB8"/>
    <w:multiLevelType w:val="hybridMultilevel"/>
    <w:tmpl w:val="679EB61C"/>
    <w:lvl w:ilvl="0" w:tplc="DF1A7224">
      <w:start w:val="1"/>
      <w:numFmt w:val="bullet"/>
      <w:lvlText w:val="●"/>
      <w:lvlJc w:val="left"/>
      <w:pPr>
        <w:ind w:left="720" w:hanging="360"/>
      </w:pPr>
    </w:lvl>
    <w:lvl w:ilvl="1" w:tplc="4B6AB81C">
      <w:start w:val="1"/>
      <w:numFmt w:val="bullet"/>
      <w:lvlText w:val="○"/>
      <w:lvlJc w:val="left"/>
      <w:pPr>
        <w:ind w:left="1440" w:hanging="360"/>
      </w:pPr>
    </w:lvl>
    <w:lvl w:ilvl="2" w:tplc="9FB6935A">
      <w:start w:val="1"/>
      <w:numFmt w:val="bullet"/>
      <w:lvlText w:val="■"/>
      <w:lvlJc w:val="left"/>
      <w:pPr>
        <w:ind w:left="2160" w:hanging="360"/>
      </w:pPr>
    </w:lvl>
    <w:lvl w:ilvl="3" w:tplc="76BA4C2E">
      <w:start w:val="1"/>
      <w:numFmt w:val="bullet"/>
      <w:lvlText w:val="●"/>
      <w:lvlJc w:val="left"/>
      <w:pPr>
        <w:ind w:left="2880" w:hanging="360"/>
      </w:pPr>
    </w:lvl>
    <w:lvl w:ilvl="4" w:tplc="FC6C80DE">
      <w:start w:val="1"/>
      <w:numFmt w:val="bullet"/>
      <w:lvlText w:val="○"/>
      <w:lvlJc w:val="left"/>
      <w:pPr>
        <w:ind w:left="3600" w:hanging="360"/>
      </w:pPr>
    </w:lvl>
    <w:lvl w:ilvl="5" w:tplc="2250E274">
      <w:start w:val="1"/>
      <w:numFmt w:val="bullet"/>
      <w:lvlText w:val="■"/>
      <w:lvlJc w:val="left"/>
      <w:pPr>
        <w:ind w:left="4320" w:hanging="360"/>
      </w:pPr>
    </w:lvl>
    <w:lvl w:ilvl="6" w:tplc="38CA21C0">
      <w:start w:val="1"/>
      <w:numFmt w:val="bullet"/>
      <w:lvlText w:val="●"/>
      <w:lvlJc w:val="left"/>
      <w:pPr>
        <w:ind w:left="5040" w:hanging="360"/>
      </w:pPr>
    </w:lvl>
    <w:lvl w:ilvl="7" w:tplc="466C011E">
      <w:start w:val="1"/>
      <w:numFmt w:val="bullet"/>
      <w:lvlText w:val="●"/>
      <w:lvlJc w:val="left"/>
      <w:pPr>
        <w:ind w:left="5760" w:hanging="360"/>
      </w:pPr>
    </w:lvl>
    <w:lvl w:ilvl="8" w:tplc="3C3AF2DE">
      <w:start w:val="1"/>
      <w:numFmt w:val="bullet"/>
      <w:lvlText w:val="●"/>
      <w:lvlJc w:val="left"/>
      <w:pPr>
        <w:ind w:left="6480" w:hanging="360"/>
      </w:pPr>
    </w:lvl>
  </w:abstractNum>
  <w:abstractNum w:abstractNumId="10" w15:restartNumberingAfterBreak="0">
    <w:nsid w:val="2C4179B0"/>
    <w:multiLevelType w:val="hybridMultilevel"/>
    <w:tmpl w:val="3C26DE8A"/>
    <w:lvl w:ilvl="0" w:tplc="D5EA26FE">
      <w:start w:val="1"/>
      <w:numFmt w:val="decimal"/>
      <w:lvlText w:val="%1."/>
      <w:lvlJc w:val="left"/>
      <w:pPr>
        <w:ind w:left="400" w:hanging="240"/>
      </w:pPr>
    </w:lvl>
    <w:lvl w:ilvl="1" w:tplc="213A057A">
      <w:numFmt w:val="decimal"/>
      <w:lvlText w:val=""/>
      <w:lvlJc w:val="left"/>
    </w:lvl>
    <w:lvl w:ilvl="2" w:tplc="573280BC">
      <w:numFmt w:val="decimal"/>
      <w:lvlText w:val=""/>
      <w:lvlJc w:val="left"/>
    </w:lvl>
    <w:lvl w:ilvl="3" w:tplc="4C9EDA78">
      <w:numFmt w:val="decimal"/>
      <w:lvlText w:val=""/>
      <w:lvlJc w:val="left"/>
    </w:lvl>
    <w:lvl w:ilvl="4" w:tplc="DB4C8374">
      <w:numFmt w:val="decimal"/>
      <w:lvlText w:val=""/>
      <w:lvlJc w:val="left"/>
    </w:lvl>
    <w:lvl w:ilvl="5" w:tplc="63BC7F80">
      <w:numFmt w:val="decimal"/>
      <w:lvlText w:val=""/>
      <w:lvlJc w:val="left"/>
    </w:lvl>
    <w:lvl w:ilvl="6" w:tplc="C472DACC">
      <w:numFmt w:val="decimal"/>
      <w:lvlText w:val=""/>
      <w:lvlJc w:val="left"/>
    </w:lvl>
    <w:lvl w:ilvl="7" w:tplc="5AB4444A">
      <w:numFmt w:val="decimal"/>
      <w:lvlText w:val=""/>
      <w:lvlJc w:val="left"/>
    </w:lvl>
    <w:lvl w:ilvl="8" w:tplc="5718A282">
      <w:numFmt w:val="decimal"/>
      <w:lvlText w:val=""/>
      <w:lvlJc w:val="left"/>
    </w:lvl>
  </w:abstractNum>
  <w:abstractNum w:abstractNumId="11" w15:restartNumberingAfterBreak="0">
    <w:nsid w:val="2D780FF1"/>
    <w:multiLevelType w:val="hybridMultilevel"/>
    <w:tmpl w:val="7FE88A28"/>
    <w:lvl w:ilvl="0" w:tplc="FFFFFFFF">
      <w:start w:val="1"/>
      <w:numFmt w:val="bullet"/>
      <w:lvlText w:val="•"/>
      <w:lvlJc w:val="left"/>
      <w:pPr>
        <w:ind w:left="720" w:hanging="360"/>
      </w:pPr>
      <w:rPr>
        <w:rFonts w:ascii="Symbol" w:hAnsi="Symbol" w:hint="default"/>
      </w:rPr>
    </w:lvl>
    <w:lvl w:ilvl="1" w:tplc="62C235B6">
      <w:numFmt w:val="decimal"/>
      <w:lvlText w:val=""/>
      <w:lvlJc w:val="left"/>
    </w:lvl>
    <w:lvl w:ilvl="2" w:tplc="E6C26570">
      <w:numFmt w:val="decimal"/>
      <w:lvlText w:val=""/>
      <w:lvlJc w:val="left"/>
    </w:lvl>
    <w:lvl w:ilvl="3" w:tplc="CF023160">
      <w:numFmt w:val="decimal"/>
      <w:lvlText w:val=""/>
      <w:lvlJc w:val="left"/>
    </w:lvl>
    <w:lvl w:ilvl="4" w:tplc="8CD09B94">
      <w:numFmt w:val="decimal"/>
      <w:lvlText w:val=""/>
      <w:lvlJc w:val="left"/>
    </w:lvl>
    <w:lvl w:ilvl="5" w:tplc="0586509E">
      <w:numFmt w:val="decimal"/>
      <w:lvlText w:val=""/>
      <w:lvlJc w:val="left"/>
    </w:lvl>
    <w:lvl w:ilvl="6" w:tplc="24E49904">
      <w:numFmt w:val="decimal"/>
      <w:lvlText w:val=""/>
      <w:lvlJc w:val="left"/>
    </w:lvl>
    <w:lvl w:ilvl="7" w:tplc="BCA822DC">
      <w:numFmt w:val="decimal"/>
      <w:lvlText w:val=""/>
      <w:lvlJc w:val="left"/>
    </w:lvl>
    <w:lvl w:ilvl="8" w:tplc="C81A1078">
      <w:numFmt w:val="decimal"/>
      <w:lvlText w:val=""/>
      <w:lvlJc w:val="left"/>
    </w:lvl>
  </w:abstractNum>
  <w:abstractNum w:abstractNumId="12" w15:restartNumberingAfterBreak="0">
    <w:nsid w:val="3A784F4F"/>
    <w:multiLevelType w:val="multilevel"/>
    <w:tmpl w:val="8678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0C9D46D"/>
    <w:multiLevelType w:val="hybridMultilevel"/>
    <w:tmpl w:val="FFFFFFFF"/>
    <w:lvl w:ilvl="0" w:tplc="5B1EF00E">
      <w:start w:val="1"/>
      <w:numFmt w:val="bullet"/>
      <w:lvlText w:val="•"/>
      <w:lvlJc w:val="left"/>
      <w:pPr>
        <w:ind w:left="720" w:hanging="360"/>
      </w:pPr>
      <w:rPr>
        <w:rFonts w:ascii="Symbol" w:hAnsi="Symbol" w:hint="default"/>
      </w:rPr>
    </w:lvl>
    <w:lvl w:ilvl="1" w:tplc="D4FEADB8">
      <w:start w:val="1"/>
      <w:numFmt w:val="bullet"/>
      <w:lvlText w:val="o"/>
      <w:lvlJc w:val="left"/>
      <w:pPr>
        <w:ind w:left="1440" w:hanging="360"/>
      </w:pPr>
      <w:rPr>
        <w:rFonts w:ascii="Courier New" w:hAnsi="Courier New" w:hint="default"/>
      </w:rPr>
    </w:lvl>
    <w:lvl w:ilvl="2" w:tplc="E6C23AF4">
      <w:start w:val="1"/>
      <w:numFmt w:val="bullet"/>
      <w:lvlText w:val=""/>
      <w:lvlJc w:val="left"/>
      <w:pPr>
        <w:ind w:left="2160" w:hanging="360"/>
      </w:pPr>
      <w:rPr>
        <w:rFonts w:ascii="Wingdings" w:hAnsi="Wingdings" w:hint="default"/>
      </w:rPr>
    </w:lvl>
    <w:lvl w:ilvl="3" w:tplc="F86E1B92">
      <w:start w:val="1"/>
      <w:numFmt w:val="bullet"/>
      <w:lvlText w:val=""/>
      <w:lvlJc w:val="left"/>
      <w:pPr>
        <w:ind w:left="2880" w:hanging="360"/>
      </w:pPr>
      <w:rPr>
        <w:rFonts w:ascii="Symbol" w:hAnsi="Symbol" w:hint="default"/>
      </w:rPr>
    </w:lvl>
    <w:lvl w:ilvl="4" w:tplc="043CCE62">
      <w:start w:val="1"/>
      <w:numFmt w:val="bullet"/>
      <w:lvlText w:val="o"/>
      <w:lvlJc w:val="left"/>
      <w:pPr>
        <w:ind w:left="3600" w:hanging="360"/>
      </w:pPr>
      <w:rPr>
        <w:rFonts w:ascii="Courier New" w:hAnsi="Courier New" w:hint="default"/>
      </w:rPr>
    </w:lvl>
    <w:lvl w:ilvl="5" w:tplc="18C491B0">
      <w:start w:val="1"/>
      <w:numFmt w:val="bullet"/>
      <w:lvlText w:val=""/>
      <w:lvlJc w:val="left"/>
      <w:pPr>
        <w:ind w:left="4320" w:hanging="360"/>
      </w:pPr>
      <w:rPr>
        <w:rFonts w:ascii="Wingdings" w:hAnsi="Wingdings" w:hint="default"/>
      </w:rPr>
    </w:lvl>
    <w:lvl w:ilvl="6" w:tplc="84DEE16E">
      <w:start w:val="1"/>
      <w:numFmt w:val="bullet"/>
      <w:lvlText w:val=""/>
      <w:lvlJc w:val="left"/>
      <w:pPr>
        <w:ind w:left="5040" w:hanging="360"/>
      </w:pPr>
      <w:rPr>
        <w:rFonts w:ascii="Symbol" w:hAnsi="Symbol" w:hint="default"/>
      </w:rPr>
    </w:lvl>
    <w:lvl w:ilvl="7" w:tplc="DC1CA2DE">
      <w:start w:val="1"/>
      <w:numFmt w:val="bullet"/>
      <w:lvlText w:val="o"/>
      <w:lvlJc w:val="left"/>
      <w:pPr>
        <w:ind w:left="5760" w:hanging="360"/>
      </w:pPr>
      <w:rPr>
        <w:rFonts w:ascii="Courier New" w:hAnsi="Courier New" w:hint="default"/>
      </w:rPr>
    </w:lvl>
    <w:lvl w:ilvl="8" w:tplc="905EFCD6">
      <w:start w:val="1"/>
      <w:numFmt w:val="bullet"/>
      <w:lvlText w:val=""/>
      <w:lvlJc w:val="left"/>
      <w:pPr>
        <w:ind w:left="6480" w:hanging="360"/>
      </w:pPr>
      <w:rPr>
        <w:rFonts w:ascii="Wingdings" w:hAnsi="Wingdings" w:hint="default"/>
      </w:rPr>
    </w:lvl>
  </w:abstractNum>
  <w:abstractNum w:abstractNumId="14" w15:restartNumberingAfterBreak="0">
    <w:nsid w:val="4560480B"/>
    <w:multiLevelType w:val="multilevel"/>
    <w:tmpl w:val="22685132"/>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46277B6D"/>
    <w:multiLevelType w:val="multilevel"/>
    <w:tmpl w:val="D256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C032C3"/>
    <w:multiLevelType w:val="hybridMultilevel"/>
    <w:tmpl w:val="FFFFFFFF"/>
    <w:lvl w:ilvl="0" w:tplc="D7C06024">
      <w:start w:val="1"/>
      <w:numFmt w:val="bullet"/>
      <w:lvlText w:val="•"/>
      <w:lvlJc w:val="left"/>
      <w:pPr>
        <w:ind w:left="720" w:hanging="360"/>
      </w:pPr>
      <w:rPr>
        <w:rFonts w:ascii="Symbol" w:hAnsi="Symbol" w:hint="default"/>
      </w:rPr>
    </w:lvl>
    <w:lvl w:ilvl="1" w:tplc="D462735A">
      <w:start w:val="1"/>
      <w:numFmt w:val="bullet"/>
      <w:lvlText w:val="o"/>
      <w:lvlJc w:val="left"/>
      <w:pPr>
        <w:ind w:left="1440" w:hanging="360"/>
      </w:pPr>
      <w:rPr>
        <w:rFonts w:ascii="Courier New" w:hAnsi="Courier New" w:hint="default"/>
      </w:rPr>
    </w:lvl>
    <w:lvl w:ilvl="2" w:tplc="E17E624E">
      <w:start w:val="1"/>
      <w:numFmt w:val="bullet"/>
      <w:lvlText w:val=""/>
      <w:lvlJc w:val="left"/>
      <w:pPr>
        <w:ind w:left="2160" w:hanging="360"/>
      </w:pPr>
      <w:rPr>
        <w:rFonts w:ascii="Wingdings" w:hAnsi="Wingdings" w:hint="default"/>
      </w:rPr>
    </w:lvl>
    <w:lvl w:ilvl="3" w:tplc="E3D03D22">
      <w:start w:val="1"/>
      <w:numFmt w:val="bullet"/>
      <w:lvlText w:val=""/>
      <w:lvlJc w:val="left"/>
      <w:pPr>
        <w:ind w:left="2880" w:hanging="360"/>
      </w:pPr>
      <w:rPr>
        <w:rFonts w:ascii="Symbol" w:hAnsi="Symbol" w:hint="default"/>
      </w:rPr>
    </w:lvl>
    <w:lvl w:ilvl="4" w:tplc="D2EAFB10">
      <w:start w:val="1"/>
      <w:numFmt w:val="bullet"/>
      <w:lvlText w:val="o"/>
      <w:lvlJc w:val="left"/>
      <w:pPr>
        <w:ind w:left="3600" w:hanging="360"/>
      </w:pPr>
      <w:rPr>
        <w:rFonts w:ascii="Courier New" w:hAnsi="Courier New" w:hint="default"/>
      </w:rPr>
    </w:lvl>
    <w:lvl w:ilvl="5" w:tplc="17CC4E28">
      <w:start w:val="1"/>
      <w:numFmt w:val="bullet"/>
      <w:lvlText w:val=""/>
      <w:lvlJc w:val="left"/>
      <w:pPr>
        <w:ind w:left="4320" w:hanging="360"/>
      </w:pPr>
      <w:rPr>
        <w:rFonts w:ascii="Wingdings" w:hAnsi="Wingdings" w:hint="default"/>
      </w:rPr>
    </w:lvl>
    <w:lvl w:ilvl="6" w:tplc="CDEA3740">
      <w:start w:val="1"/>
      <w:numFmt w:val="bullet"/>
      <w:lvlText w:val=""/>
      <w:lvlJc w:val="left"/>
      <w:pPr>
        <w:ind w:left="5040" w:hanging="360"/>
      </w:pPr>
      <w:rPr>
        <w:rFonts w:ascii="Symbol" w:hAnsi="Symbol" w:hint="default"/>
      </w:rPr>
    </w:lvl>
    <w:lvl w:ilvl="7" w:tplc="F1781F4E">
      <w:start w:val="1"/>
      <w:numFmt w:val="bullet"/>
      <w:lvlText w:val="o"/>
      <w:lvlJc w:val="left"/>
      <w:pPr>
        <w:ind w:left="5760" w:hanging="360"/>
      </w:pPr>
      <w:rPr>
        <w:rFonts w:ascii="Courier New" w:hAnsi="Courier New" w:hint="default"/>
      </w:rPr>
    </w:lvl>
    <w:lvl w:ilvl="8" w:tplc="350A18CC">
      <w:start w:val="1"/>
      <w:numFmt w:val="bullet"/>
      <w:lvlText w:val=""/>
      <w:lvlJc w:val="left"/>
      <w:pPr>
        <w:ind w:left="6480" w:hanging="360"/>
      </w:pPr>
      <w:rPr>
        <w:rFonts w:ascii="Wingdings" w:hAnsi="Wingdings" w:hint="default"/>
      </w:rPr>
    </w:lvl>
  </w:abstractNum>
  <w:abstractNum w:abstractNumId="17" w15:restartNumberingAfterBreak="0">
    <w:nsid w:val="4AC23953"/>
    <w:multiLevelType w:val="hybridMultilevel"/>
    <w:tmpl w:val="94785A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AD75748"/>
    <w:multiLevelType w:val="multilevel"/>
    <w:tmpl w:val="50E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0E0589"/>
    <w:multiLevelType w:val="hybridMultilevel"/>
    <w:tmpl w:val="2236D4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FA542E7"/>
    <w:multiLevelType w:val="hybridMultilevel"/>
    <w:tmpl w:val="B8808ADC"/>
    <w:lvl w:ilvl="0" w:tplc="A8ECEDC2">
      <w:start w:val="1"/>
      <w:numFmt w:val="decimal"/>
      <w:lvlText w:val="%1."/>
      <w:lvlJc w:val="left"/>
      <w:pPr>
        <w:ind w:left="400" w:hanging="240"/>
      </w:pPr>
    </w:lvl>
    <w:lvl w:ilvl="1" w:tplc="B1AE0B3A">
      <w:numFmt w:val="decimal"/>
      <w:lvlText w:val=""/>
      <w:lvlJc w:val="left"/>
    </w:lvl>
    <w:lvl w:ilvl="2" w:tplc="0AE07DFA">
      <w:numFmt w:val="decimal"/>
      <w:lvlText w:val=""/>
      <w:lvlJc w:val="left"/>
    </w:lvl>
    <w:lvl w:ilvl="3" w:tplc="6686820C">
      <w:numFmt w:val="decimal"/>
      <w:lvlText w:val=""/>
      <w:lvlJc w:val="left"/>
    </w:lvl>
    <w:lvl w:ilvl="4" w:tplc="868E645C">
      <w:numFmt w:val="decimal"/>
      <w:lvlText w:val=""/>
      <w:lvlJc w:val="left"/>
    </w:lvl>
    <w:lvl w:ilvl="5" w:tplc="A9B2BF00">
      <w:numFmt w:val="decimal"/>
      <w:lvlText w:val=""/>
      <w:lvlJc w:val="left"/>
    </w:lvl>
    <w:lvl w:ilvl="6" w:tplc="EBBC3D2C">
      <w:numFmt w:val="decimal"/>
      <w:lvlText w:val=""/>
      <w:lvlJc w:val="left"/>
    </w:lvl>
    <w:lvl w:ilvl="7" w:tplc="25324294">
      <w:numFmt w:val="decimal"/>
      <w:lvlText w:val=""/>
      <w:lvlJc w:val="left"/>
    </w:lvl>
    <w:lvl w:ilvl="8" w:tplc="7AF21100">
      <w:numFmt w:val="decimal"/>
      <w:lvlText w:val=""/>
      <w:lvlJc w:val="left"/>
    </w:lvl>
  </w:abstractNum>
  <w:abstractNum w:abstractNumId="21" w15:restartNumberingAfterBreak="0">
    <w:nsid w:val="5C236B13"/>
    <w:multiLevelType w:val="multilevel"/>
    <w:tmpl w:val="0A9E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532B18"/>
    <w:multiLevelType w:val="multilevel"/>
    <w:tmpl w:val="F2DC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79C3E7"/>
    <w:multiLevelType w:val="hybridMultilevel"/>
    <w:tmpl w:val="FFFFFFFF"/>
    <w:lvl w:ilvl="0" w:tplc="558C4516">
      <w:start w:val="1"/>
      <w:numFmt w:val="bullet"/>
      <w:lvlText w:val="-"/>
      <w:lvlJc w:val="left"/>
      <w:pPr>
        <w:ind w:left="720" w:hanging="360"/>
      </w:pPr>
      <w:rPr>
        <w:rFonts w:ascii="Aptos" w:hAnsi="Aptos" w:hint="default"/>
      </w:rPr>
    </w:lvl>
    <w:lvl w:ilvl="1" w:tplc="BA226294">
      <w:start w:val="1"/>
      <w:numFmt w:val="bullet"/>
      <w:lvlText w:val="o"/>
      <w:lvlJc w:val="left"/>
      <w:pPr>
        <w:ind w:left="1440" w:hanging="360"/>
      </w:pPr>
      <w:rPr>
        <w:rFonts w:ascii="Courier New" w:hAnsi="Courier New" w:hint="default"/>
      </w:rPr>
    </w:lvl>
    <w:lvl w:ilvl="2" w:tplc="41EA0CB2">
      <w:start w:val="1"/>
      <w:numFmt w:val="bullet"/>
      <w:lvlText w:val=""/>
      <w:lvlJc w:val="left"/>
      <w:pPr>
        <w:ind w:left="2160" w:hanging="360"/>
      </w:pPr>
      <w:rPr>
        <w:rFonts w:ascii="Wingdings" w:hAnsi="Wingdings" w:hint="default"/>
      </w:rPr>
    </w:lvl>
    <w:lvl w:ilvl="3" w:tplc="8DD46706">
      <w:start w:val="1"/>
      <w:numFmt w:val="bullet"/>
      <w:lvlText w:val=""/>
      <w:lvlJc w:val="left"/>
      <w:pPr>
        <w:ind w:left="2880" w:hanging="360"/>
      </w:pPr>
      <w:rPr>
        <w:rFonts w:ascii="Symbol" w:hAnsi="Symbol" w:hint="default"/>
      </w:rPr>
    </w:lvl>
    <w:lvl w:ilvl="4" w:tplc="CBF067A2">
      <w:start w:val="1"/>
      <w:numFmt w:val="bullet"/>
      <w:lvlText w:val="o"/>
      <w:lvlJc w:val="left"/>
      <w:pPr>
        <w:ind w:left="3600" w:hanging="360"/>
      </w:pPr>
      <w:rPr>
        <w:rFonts w:ascii="Courier New" w:hAnsi="Courier New" w:hint="default"/>
      </w:rPr>
    </w:lvl>
    <w:lvl w:ilvl="5" w:tplc="37D676C2">
      <w:start w:val="1"/>
      <w:numFmt w:val="bullet"/>
      <w:lvlText w:val=""/>
      <w:lvlJc w:val="left"/>
      <w:pPr>
        <w:ind w:left="4320" w:hanging="360"/>
      </w:pPr>
      <w:rPr>
        <w:rFonts w:ascii="Wingdings" w:hAnsi="Wingdings" w:hint="default"/>
      </w:rPr>
    </w:lvl>
    <w:lvl w:ilvl="6" w:tplc="7E40E21C">
      <w:start w:val="1"/>
      <w:numFmt w:val="bullet"/>
      <w:lvlText w:val=""/>
      <w:lvlJc w:val="left"/>
      <w:pPr>
        <w:ind w:left="5040" w:hanging="360"/>
      </w:pPr>
      <w:rPr>
        <w:rFonts w:ascii="Symbol" w:hAnsi="Symbol" w:hint="default"/>
      </w:rPr>
    </w:lvl>
    <w:lvl w:ilvl="7" w:tplc="F32A49F8">
      <w:start w:val="1"/>
      <w:numFmt w:val="bullet"/>
      <w:lvlText w:val="o"/>
      <w:lvlJc w:val="left"/>
      <w:pPr>
        <w:ind w:left="5760" w:hanging="360"/>
      </w:pPr>
      <w:rPr>
        <w:rFonts w:ascii="Courier New" w:hAnsi="Courier New" w:hint="default"/>
      </w:rPr>
    </w:lvl>
    <w:lvl w:ilvl="8" w:tplc="108E6A7C">
      <w:start w:val="1"/>
      <w:numFmt w:val="bullet"/>
      <w:lvlText w:val=""/>
      <w:lvlJc w:val="left"/>
      <w:pPr>
        <w:ind w:left="6480" w:hanging="360"/>
      </w:pPr>
      <w:rPr>
        <w:rFonts w:ascii="Wingdings" w:hAnsi="Wingdings" w:hint="default"/>
      </w:rPr>
    </w:lvl>
  </w:abstractNum>
  <w:abstractNum w:abstractNumId="24" w15:restartNumberingAfterBreak="0">
    <w:nsid w:val="695A6C1D"/>
    <w:multiLevelType w:val="hybridMultilevel"/>
    <w:tmpl w:val="BFFE140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026634596">
    <w:abstractNumId w:val="8"/>
  </w:num>
  <w:num w:numId="2" w16cid:durableId="109739080">
    <w:abstractNumId w:val="7"/>
  </w:num>
  <w:num w:numId="3" w16cid:durableId="1137839561">
    <w:abstractNumId w:val="19"/>
  </w:num>
  <w:num w:numId="4" w16cid:durableId="1228225120">
    <w:abstractNumId w:val="12"/>
  </w:num>
  <w:num w:numId="5" w16cid:durableId="1230069549">
    <w:abstractNumId w:val="2"/>
  </w:num>
  <w:num w:numId="6" w16cid:durableId="1768847334">
    <w:abstractNumId w:val="23"/>
  </w:num>
  <w:num w:numId="7" w16cid:durableId="1805855425">
    <w:abstractNumId w:val="14"/>
  </w:num>
  <w:num w:numId="8" w16cid:durableId="1842355063">
    <w:abstractNumId w:val="24"/>
  </w:num>
  <w:num w:numId="9" w16cid:durableId="185753701">
    <w:abstractNumId w:val="17"/>
  </w:num>
  <w:num w:numId="10" w16cid:durableId="2007585781">
    <w:abstractNumId w:val="1"/>
  </w:num>
  <w:num w:numId="11" w16cid:durableId="2014339137">
    <w:abstractNumId w:val="13"/>
  </w:num>
  <w:num w:numId="12" w16cid:durableId="2041274673">
    <w:abstractNumId w:val="5"/>
  </w:num>
  <w:num w:numId="13" w16cid:durableId="254438554">
    <w:abstractNumId w:val="21"/>
  </w:num>
  <w:num w:numId="14" w16cid:durableId="311301808">
    <w:abstractNumId w:val="7"/>
  </w:num>
  <w:num w:numId="15" w16cid:durableId="415439285">
    <w:abstractNumId w:val="0"/>
  </w:num>
  <w:num w:numId="16" w16cid:durableId="427233956">
    <w:abstractNumId w:val="18"/>
  </w:num>
  <w:num w:numId="17" w16cid:durableId="443691962">
    <w:abstractNumId w:val="22"/>
  </w:num>
  <w:num w:numId="18" w16cid:durableId="611860174">
    <w:abstractNumId w:val="4"/>
  </w:num>
  <w:num w:numId="19" w16cid:durableId="729572468">
    <w:abstractNumId w:val="9"/>
    <w:lvlOverride w:ilvl="0">
      <w:startOverride w:val="1"/>
    </w:lvlOverride>
  </w:num>
  <w:num w:numId="20" w16cid:durableId="785975545">
    <w:abstractNumId w:val="11"/>
    <w:lvlOverride w:ilvl="0">
      <w:startOverride w:val="1"/>
    </w:lvlOverride>
  </w:num>
  <w:num w:numId="21" w16cid:durableId="846749006">
    <w:abstractNumId w:val="16"/>
  </w:num>
  <w:num w:numId="22" w16cid:durableId="966933587">
    <w:abstractNumId w:val="15"/>
  </w:num>
  <w:num w:numId="23" w16cid:durableId="984435078">
    <w:abstractNumId w:val="6"/>
  </w:num>
  <w:num w:numId="24" w16cid:durableId="1722292824">
    <w:abstractNumId w:val="20"/>
    <w:lvlOverride w:ilvl="0">
      <w:startOverride w:val="1"/>
    </w:lvlOverride>
  </w:num>
  <w:num w:numId="25" w16cid:durableId="875847892">
    <w:abstractNumId w:val="3"/>
    <w:lvlOverride w:ilvl="0">
      <w:startOverride w:val="1"/>
    </w:lvlOverride>
  </w:num>
  <w:num w:numId="26" w16cid:durableId="1622762681">
    <w:abstractNumId w:val="1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Rhys (COVID19 RESPONSE TEAM)">
    <w15:presenceInfo w15:providerId="AD" w15:userId="S::rhys.thomas12@nhs.net::f6569016-ff30-430d-8d7c-cb242ee6a791"/>
  </w15:person>
  <w15:person w15:author="HADGU, Goitom (NHS ENGLAND)">
    <w15:presenceInfo w15:providerId="AD" w15:userId="S::goitom.hadgu@nhs.net::46c3eda4-6ea4-4944-9469-ac899fe299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455"/>
    <w:rsid w:val="000001E8"/>
    <w:rsid w:val="00000CC9"/>
    <w:rsid w:val="000018D3"/>
    <w:rsid w:val="0000199B"/>
    <w:rsid w:val="00004073"/>
    <w:rsid w:val="000063E9"/>
    <w:rsid w:val="000072B2"/>
    <w:rsid w:val="00007444"/>
    <w:rsid w:val="00007E77"/>
    <w:rsid w:val="000125AE"/>
    <w:rsid w:val="00012801"/>
    <w:rsid w:val="00012F46"/>
    <w:rsid w:val="00013476"/>
    <w:rsid w:val="00013EBE"/>
    <w:rsid w:val="00014C29"/>
    <w:rsid w:val="000152AC"/>
    <w:rsid w:val="00021095"/>
    <w:rsid w:val="00023891"/>
    <w:rsid w:val="00023CEC"/>
    <w:rsid w:val="00024F8F"/>
    <w:rsid w:val="00024F94"/>
    <w:rsid w:val="00025C9C"/>
    <w:rsid w:val="00027275"/>
    <w:rsid w:val="0002751E"/>
    <w:rsid w:val="0002786E"/>
    <w:rsid w:val="0002790C"/>
    <w:rsid w:val="00027E17"/>
    <w:rsid w:val="000341B2"/>
    <w:rsid w:val="00034D63"/>
    <w:rsid w:val="0003532E"/>
    <w:rsid w:val="00035947"/>
    <w:rsid w:val="00037586"/>
    <w:rsid w:val="00037C13"/>
    <w:rsid w:val="00040AEA"/>
    <w:rsid w:val="000410EA"/>
    <w:rsid w:val="00044C82"/>
    <w:rsid w:val="000454D4"/>
    <w:rsid w:val="00050702"/>
    <w:rsid w:val="0005391A"/>
    <w:rsid w:val="00053AED"/>
    <w:rsid w:val="000551DC"/>
    <w:rsid w:val="00055A59"/>
    <w:rsid w:val="000562DA"/>
    <w:rsid w:val="00056C87"/>
    <w:rsid w:val="00057CA9"/>
    <w:rsid w:val="0006068D"/>
    <w:rsid w:val="00060D72"/>
    <w:rsid w:val="000610B0"/>
    <w:rsid w:val="000623B9"/>
    <w:rsid w:val="000644AF"/>
    <w:rsid w:val="000648D4"/>
    <w:rsid w:val="0006594A"/>
    <w:rsid w:val="00066EA5"/>
    <w:rsid w:val="00066F5A"/>
    <w:rsid w:val="00066FB5"/>
    <w:rsid w:val="00067FC7"/>
    <w:rsid w:val="00070244"/>
    <w:rsid w:val="00070B2F"/>
    <w:rsid w:val="00070FAB"/>
    <w:rsid w:val="000718EB"/>
    <w:rsid w:val="00072BF1"/>
    <w:rsid w:val="00072D6A"/>
    <w:rsid w:val="00073217"/>
    <w:rsid w:val="00074717"/>
    <w:rsid w:val="000759C7"/>
    <w:rsid w:val="00075E6B"/>
    <w:rsid w:val="00076386"/>
    <w:rsid w:val="000763E3"/>
    <w:rsid w:val="000765F4"/>
    <w:rsid w:val="00076A34"/>
    <w:rsid w:val="0007733A"/>
    <w:rsid w:val="000807A8"/>
    <w:rsid w:val="0008102E"/>
    <w:rsid w:val="00082866"/>
    <w:rsid w:val="000845E6"/>
    <w:rsid w:val="000856B0"/>
    <w:rsid w:val="000859B6"/>
    <w:rsid w:val="00085F5E"/>
    <w:rsid w:val="00087ED1"/>
    <w:rsid w:val="0009026D"/>
    <w:rsid w:val="000919D5"/>
    <w:rsid w:val="00093FF5"/>
    <w:rsid w:val="00094714"/>
    <w:rsid w:val="00095025"/>
    <w:rsid w:val="000A0A54"/>
    <w:rsid w:val="000A1CC9"/>
    <w:rsid w:val="000A2FD1"/>
    <w:rsid w:val="000A38EA"/>
    <w:rsid w:val="000A3C67"/>
    <w:rsid w:val="000A3CB6"/>
    <w:rsid w:val="000A43C6"/>
    <w:rsid w:val="000A469A"/>
    <w:rsid w:val="000A4911"/>
    <w:rsid w:val="000A4933"/>
    <w:rsid w:val="000A4B08"/>
    <w:rsid w:val="000A4D5E"/>
    <w:rsid w:val="000A4DF1"/>
    <w:rsid w:val="000A6E45"/>
    <w:rsid w:val="000A752C"/>
    <w:rsid w:val="000A7DFC"/>
    <w:rsid w:val="000B011B"/>
    <w:rsid w:val="000B3D2A"/>
    <w:rsid w:val="000B3F98"/>
    <w:rsid w:val="000B460E"/>
    <w:rsid w:val="000B53FC"/>
    <w:rsid w:val="000B5500"/>
    <w:rsid w:val="000B5D96"/>
    <w:rsid w:val="000B6708"/>
    <w:rsid w:val="000B7881"/>
    <w:rsid w:val="000B7A38"/>
    <w:rsid w:val="000C0869"/>
    <w:rsid w:val="000C2775"/>
    <w:rsid w:val="000C3AB4"/>
    <w:rsid w:val="000C3E40"/>
    <w:rsid w:val="000C420D"/>
    <w:rsid w:val="000C58EE"/>
    <w:rsid w:val="000C71F1"/>
    <w:rsid w:val="000D0564"/>
    <w:rsid w:val="000D1484"/>
    <w:rsid w:val="000D1C42"/>
    <w:rsid w:val="000D3C52"/>
    <w:rsid w:val="000D442E"/>
    <w:rsid w:val="000D5D7E"/>
    <w:rsid w:val="000D6E88"/>
    <w:rsid w:val="000D70FA"/>
    <w:rsid w:val="000E0D5B"/>
    <w:rsid w:val="000E12DB"/>
    <w:rsid w:val="000E4157"/>
    <w:rsid w:val="000E4738"/>
    <w:rsid w:val="000E47CB"/>
    <w:rsid w:val="000E6A44"/>
    <w:rsid w:val="000F01D0"/>
    <w:rsid w:val="000F09CB"/>
    <w:rsid w:val="000F1716"/>
    <w:rsid w:val="000F326F"/>
    <w:rsid w:val="000F5B11"/>
    <w:rsid w:val="000F7ACB"/>
    <w:rsid w:val="0010045B"/>
    <w:rsid w:val="0010058C"/>
    <w:rsid w:val="001006EB"/>
    <w:rsid w:val="00101465"/>
    <w:rsid w:val="001021B2"/>
    <w:rsid w:val="00102FA8"/>
    <w:rsid w:val="0010300F"/>
    <w:rsid w:val="001033BC"/>
    <w:rsid w:val="00103EE4"/>
    <w:rsid w:val="00104BC3"/>
    <w:rsid w:val="00104DD1"/>
    <w:rsid w:val="001069D7"/>
    <w:rsid w:val="001071B2"/>
    <w:rsid w:val="0010751B"/>
    <w:rsid w:val="001077C0"/>
    <w:rsid w:val="00110682"/>
    <w:rsid w:val="00110B88"/>
    <w:rsid w:val="00110B99"/>
    <w:rsid w:val="00110E37"/>
    <w:rsid w:val="00111750"/>
    <w:rsid w:val="001117AE"/>
    <w:rsid w:val="00112EAC"/>
    <w:rsid w:val="00112F28"/>
    <w:rsid w:val="00114F4B"/>
    <w:rsid w:val="0011533D"/>
    <w:rsid w:val="00115F66"/>
    <w:rsid w:val="001173D6"/>
    <w:rsid w:val="00117539"/>
    <w:rsid w:val="00120958"/>
    <w:rsid w:val="00120C44"/>
    <w:rsid w:val="00121513"/>
    <w:rsid w:val="0012172A"/>
    <w:rsid w:val="00121F77"/>
    <w:rsid w:val="00123ACA"/>
    <w:rsid w:val="0012531C"/>
    <w:rsid w:val="0012558F"/>
    <w:rsid w:val="00126138"/>
    <w:rsid w:val="00126B54"/>
    <w:rsid w:val="00131926"/>
    <w:rsid w:val="00132C2C"/>
    <w:rsid w:val="00132D2C"/>
    <w:rsid w:val="00132D44"/>
    <w:rsid w:val="0013310A"/>
    <w:rsid w:val="00133CB6"/>
    <w:rsid w:val="001340CC"/>
    <w:rsid w:val="00134A88"/>
    <w:rsid w:val="0013578E"/>
    <w:rsid w:val="00135934"/>
    <w:rsid w:val="00136664"/>
    <w:rsid w:val="00136DBD"/>
    <w:rsid w:val="001375F3"/>
    <w:rsid w:val="0013795B"/>
    <w:rsid w:val="001410D3"/>
    <w:rsid w:val="00141387"/>
    <w:rsid w:val="00146AC1"/>
    <w:rsid w:val="00146D50"/>
    <w:rsid w:val="00150112"/>
    <w:rsid w:val="00151F03"/>
    <w:rsid w:val="00153528"/>
    <w:rsid w:val="001545DF"/>
    <w:rsid w:val="00154B76"/>
    <w:rsid w:val="00155B7C"/>
    <w:rsid w:val="001560CE"/>
    <w:rsid w:val="00156234"/>
    <w:rsid w:val="0015669B"/>
    <w:rsid w:val="00156D28"/>
    <w:rsid w:val="00160BFE"/>
    <w:rsid w:val="0016193D"/>
    <w:rsid w:val="00161973"/>
    <w:rsid w:val="00161ED1"/>
    <w:rsid w:val="0016217F"/>
    <w:rsid w:val="00163CF6"/>
    <w:rsid w:val="00163EF6"/>
    <w:rsid w:val="00164475"/>
    <w:rsid w:val="001647F5"/>
    <w:rsid w:val="00165324"/>
    <w:rsid w:val="00165ED9"/>
    <w:rsid w:val="001661A5"/>
    <w:rsid w:val="001662FC"/>
    <w:rsid w:val="00166C98"/>
    <w:rsid w:val="00167014"/>
    <w:rsid w:val="00167E57"/>
    <w:rsid w:val="001717FF"/>
    <w:rsid w:val="00171922"/>
    <w:rsid w:val="001723AD"/>
    <w:rsid w:val="00173DB7"/>
    <w:rsid w:val="00175508"/>
    <w:rsid w:val="0017573B"/>
    <w:rsid w:val="00177230"/>
    <w:rsid w:val="00181158"/>
    <w:rsid w:val="00182584"/>
    <w:rsid w:val="001825A2"/>
    <w:rsid w:val="0018373F"/>
    <w:rsid w:val="00183D21"/>
    <w:rsid w:val="00184357"/>
    <w:rsid w:val="00185BE1"/>
    <w:rsid w:val="0019042B"/>
    <w:rsid w:val="00192696"/>
    <w:rsid w:val="00193259"/>
    <w:rsid w:val="001959EF"/>
    <w:rsid w:val="00196220"/>
    <w:rsid w:val="00197721"/>
    <w:rsid w:val="00197F3F"/>
    <w:rsid w:val="001A079F"/>
    <w:rsid w:val="001A1432"/>
    <w:rsid w:val="001A2487"/>
    <w:rsid w:val="001A32AE"/>
    <w:rsid w:val="001A3A30"/>
    <w:rsid w:val="001A6353"/>
    <w:rsid w:val="001B0FA9"/>
    <w:rsid w:val="001B29CD"/>
    <w:rsid w:val="001B2DC9"/>
    <w:rsid w:val="001B334A"/>
    <w:rsid w:val="001B369A"/>
    <w:rsid w:val="001B376D"/>
    <w:rsid w:val="001B39F3"/>
    <w:rsid w:val="001B3C09"/>
    <w:rsid w:val="001B583F"/>
    <w:rsid w:val="001B59D8"/>
    <w:rsid w:val="001B6035"/>
    <w:rsid w:val="001B7972"/>
    <w:rsid w:val="001C29FB"/>
    <w:rsid w:val="001C31F6"/>
    <w:rsid w:val="001C377D"/>
    <w:rsid w:val="001C4EC0"/>
    <w:rsid w:val="001C5E40"/>
    <w:rsid w:val="001C5F3B"/>
    <w:rsid w:val="001C6281"/>
    <w:rsid w:val="001C6433"/>
    <w:rsid w:val="001C643D"/>
    <w:rsid w:val="001C7478"/>
    <w:rsid w:val="001D092B"/>
    <w:rsid w:val="001D1172"/>
    <w:rsid w:val="001D2A2E"/>
    <w:rsid w:val="001D3000"/>
    <w:rsid w:val="001D3CFC"/>
    <w:rsid w:val="001D3FA1"/>
    <w:rsid w:val="001D477B"/>
    <w:rsid w:val="001D5215"/>
    <w:rsid w:val="001D55A3"/>
    <w:rsid w:val="001D59F2"/>
    <w:rsid w:val="001D6B20"/>
    <w:rsid w:val="001E0EEB"/>
    <w:rsid w:val="001E0FAD"/>
    <w:rsid w:val="001E1F45"/>
    <w:rsid w:val="001E282A"/>
    <w:rsid w:val="001E2D2E"/>
    <w:rsid w:val="001E40F6"/>
    <w:rsid w:val="001E46E7"/>
    <w:rsid w:val="001E77EB"/>
    <w:rsid w:val="001E78D3"/>
    <w:rsid w:val="001F0322"/>
    <w:rsid w:val="001F0C89"/>
    <w:rsid w:val="001F0F70"/>
    <w:rsid w:val="001F26CE"/>
    <w:rsid w:val="001F2FDB"/>
    <w:rsid w:val="001F4B37"/>
    <w:rsid w:val="00200046"/>
    <w:rsid w:val="002002AB"/>
    <w:rsid w:val="00202183"/>
    <w:rsid w:val="00202FDA"/>
    <w:rsid w:val="00202FFF"/>
    <w:rsid w:val="002033D4"/>
    <w:rsid w:val="0020348F"/>
    <w:rsid w:val="00203669"/>
    <w:rsid w:val="0020535E"/>
    <w:rsid w:val="00205B80"/>
    <w:rsid w:val="00206650"/>
    <w:rsid w:val="00207058"/>
    <w:rsid w:val="00210649"/>
    <w:rsid w:val="0021077A"/>
    <w:rsid w:val="00210875"/>
    <w:rsid w:val="00211298"/>
    <w:rsid w:val="0021173B"/>
    <w:rsid w:val="00212F59"/>
    <w:rsid w:val="00213598"/>
    <w:rsid w:val="00213DE2"/>
    <w:rsid w:val="0021413C"/>
    <w:rsid w:val="00217109"/>
    <w:rsid w:val="00220700"/>
    <w:rsid w:val="002214BC"/>
    <w:rsid w:val="0022293F"/>
    <w:rsid w:val="00223B9F"/>
    <w:rsid w:val="00223CDB"/>
    <w:rsid w:val="002241DA"/>
    <w:rsid w:val="002245FB"/>
    <w:rsid w:val="00225441"/>
    <w:rsid w:val="0022643A"/>
    <w:rsid w:val="00227B13"/>
    <w:rsid w:val="0023072D"/>
    <w:rsid w:val="00231F41"/>
    <w:rsid w:val="002321D8"/>
    <w:rsid w:val="00232475"/>
    <w:rsid w:val="00232FEA"/>
    <w:rsid w:val="00233D85"/>
    <w:rsid w:val="00235908"/>
    <w:rsid w:val="00236FE8"/>
    <w:rsid w:val="002373EC"/>
    <w:rsid w:val="00240249"/>
    <w:rsid w:val="00240E1D"/>
    <w:rsid w:val="002414B7"/>
    <w:rsid w:val="00241853"/>
    <w:rsid w:val="00241D68"/>
    <w:rsid w:val="00242A0E"/>
    <w:rsid w:val="00243E46"/>
    <w:rsid w:val="00243EEA"/>
    <w:rsid w:val="0024461B"/>
    <w:rsid w:val="002457AB"/>
    <w:rsid w:val="00246ABF"/>
    <w:rsid w:val="002500CE"/>
    <w:rsid w:val="00250212"/>
    <w:rsid w:val="00250E6D"/>
    <w:rsid w:val="00252053"/>
    <w:rsid w:val="002531E7"/>
    <w:rsid w:val="002536A6"/>
    <w:rsid w:val="0025460C"/>
    <w:rsid w:val="002553D1"/>
    <w:rsid w:val="0025561A"/>
    <w:rsid w:val="002559AF"/>
    <w:rsid w:val="00255B52"/>
    <w:rsid w:val="00255D8A"/>
    <w:rsid w:val="00256099"/>
    <w:rsid w:val="002575AE"/>
    <w:rsid w:val="00257A00"/>
    <w:rsid w:val="00261D10"/>
    <w:rsid w:val="00262B86"/>
    <w:rsid w:val="0026372C"/>
    <w:rsid w:val="002638B5"/>
    <w:rsid w:val="002639EA"/>
    <w:rsid w:val="0026443F"/>
    <w:rsid w:val="00264744"/>
    <w:rsid w:val="00266B00"/>
    <w:rsid w:val="00267B37"/>
    <w:rsid w:val="00270B40"/>
    <w:rsid w:val="0027161A"/>
    <w:rsid w:val="002717E2"/>
    <w:rsid w:val="00272A2A"/>
    <w:rsid w:val="0027341C"/>
    <w:rsid w:val="00273660"/>
    <w:rsid w:val="00274219"/>
    <w:rsid w:val="00274526"/>
    <w:rsid w:val="00275345"/>
    <w:rsid w:val="002774B4"/>
    <w:rsid w:val="00277585"/>
    <w:rsid w:val="00277CCD"/>
    <w:rsid w:val="00280749"/>
    <w:rsid w:val="00281A85"/>
    <w:rsid w:val="00282FC1"/>
    <w:rsid w:val="002836EC"/>
    <w:rsid w:val="002839AE"/>
    <w:rsid w:val="00286C47"/>
    <w:rsid w:val="002877F4"/>
    <w:rsid w:val="00290BDB"/>
    <w:rsid w:val="00290C65"/>
    <w:rsid w:val="002915FE"/>
    <w:rsid w:val="00291989"/>
    <w:rsid w:val="002929D8"/>
    <w:rsid w:val="00293050"/>
    <w:rsid w:val="002951F9"/>
    <w:rsid w:val="00295894"/>
    <w:rsid w:val="00296213"/>
    <w:rsid w:val="00296665"/>
    <w:rsid w:val="00296A70"/>
    <w:rsid w:val="00297B2B"/>
    <w:rsid w:val="002A0332"/>
    <w:rsid w:val="002A0BF5"/>
    <w:rsid w:val="002A1A5C"/>
    <w:rsid w:val="002A31B9"/>
    <w:rsid w:val="002A3D80"/>
    <w:rsid w:val="002A3FE7"/>
    <w:rsid w:val="002A643F"/>
    <w:rsid w:val="002A70D5"/>
    <w:rsid w:val="002A71FA"/>
    <w:rsid w:val="002A72D3"/>
    <w:rsid w:val="002B01C6"/>
    <w:rsid w:val="002B1697"/>
    <w:rsid w:val="002B16E3"/>
    <w:rsid w:val="002B1F07"/>
    <w:rsid w:val="002B1F33"/>
    <w:rsid w:val="002B2E98"/>
    <w:rsid w:val="002B4760"/>
    <w:rsid w:val="002B5664"/>
    <w:rsid w:val="002B5C07"/>
    <w:rsid w:val="002B5C91"/>
    <w:rsid w:val="002B667C"/>
    <w:rsid w:val="002C0118"/>
    <w:rsid w:val="002C075D"/>
    <w:rsid w:val="002C3FD9"/>
    <w:rsid w:val="002C4644"/>
    <w:rsid w:val="002C4A1A"/>
    <w:rsid w:val="002C5E63"/>
    <w:rsid w:val="002C6E5E"/>
    <w:rsid w:val="002C73DA"/>
    <w:rsid w:val="002D1532"/>
    <w:rsid w:val="002D2F5E"/>
    <w:rsid w:val="002D390B"/>
    <w:rsid w:val="002D3910"/>
    <w:rsid w:val="002D69F2"/>
    <w:rsid w:val="002D7078"/>
    <w:rsid w:val="002D713F"/>
    <w:rsid w:val="002D7834"/>
    <w:rsid w:val="002E150F"/>
    <w:rsid w:val="002E17DF"/>
    <w:rsid w:val="002E2462"/>
    <w:rsid w:val="002E2618"/>
    <w:rsid w:val="002E2C0A"/>
    <w:rsid w:val="002E2F91"/>
    <w:rsid w:val="002E3C5D"/>
    <w:rsid w:val="002E46EA"/>
    <w:rsid w:val="002E5F6E"/>
    <w:rsid w:val="002E6CD1"/>
    <w:rsid w:val="002E6E16"/>
    <w:rsid w:val="002E7458"/>
    <w:rsid w:val="002E753D"/>
    <w:rsid w:val="002F0515"/>
    <w:rsid w:val="002F0918"/>
    <w:rsid w:val="002F1AF0"/>
    <w:rsid w:val="002F3AFC"/>
    <w:rsid w:val="002F4463"/>
    <w:rsid w:val="002F4991"/>
    <w:rsid w:val="002F4FC8"/>
    <w:rsid w:val="002F5D30"/>
    <w:rsid w:val="002F62B7"/>
    <w:rsid w:val="002F63C4"/>
    <w:rsid w:val="00301A18"/>
    <w:rsid w:val="00301F95"/>
    <w:rsid w:val="003024A6"/>
    <w:rsid w:val="0030418E"/>
    <w:rsid w:val="00305DD6"/>
    <w:rsid w:val="00306D90"/>
    <w:rsid w:val="00307D01"/>
    <w:rsid w:val="0031168E"/>
    <w:rsid w:val="00312702"/>
    <w:rsid w:val="00313685"/>
    <w:rsid w:val="003136B2"/>
    <w:rsid w:val="003137DB"/>
    <w:rsid w:val="00313B45"/>
    <w:rsid w:val="0031489F"/>
    <w:rsid w:val="00314B55"/>
    <w:rsid w:val="00314F10"/>
    <w:rsid w:val="00316F08"/>
    <w:rsid w:val="00321430"/>
    <w:rsid w:val="0032207D"/>
    <w:rsid w:val="003226AD"/>
    <w:rsid w:val="00323B07"/>
    <w:rsid w:val="00324851"/>
    <w:rsid w:val="003264AA"/>
    <w:rsid w:val="003264CB"/>
    <w:rsid w:val="003277F6"/>
    <w:rsid w:val="00327A70"/>
    <w:rsid w:val="00327E15"/>
    <w:rsid w:val="00331DBE"/>
    <w:rsid w:val="003331DC"/>
    <w:rsid w:val="00333C04"/>
    <w:rsid w:val="0033527B"/>
    <w:rsid w:val="00335985"/>
    <w:rsid w:val="003360EA"/>
    <w:rsid w:val="00336D50"/>
    <w:rsid w:val="003376D4"/>
    <w:rsid w:val="00339CFA"/>
    <w:rsid w:val="003416C1"/>
    <w:rsid w:val="0034174D"/>
    <w:rsid w:val="00341853"/>
    <w:rsid w:val="003419F4"/>
    <w:rsid w:val="00341C40"/>
    <w:rsid w:val="00342510"/>
    <w:rsid w:val="003429B6"/>
    <w:rsid w:val="0034402D"/>
    <w:rsid w:val="003440F8"/>
    <w:rsid w:val="003441BC"/>
    <w:rsid w:val="00346B51"/>
    <w:rsid w:val="003473E8"/>
    <w:rsid w:val="00347D8D"/>
    <w:rsid w:val="0035025C"/>
    <w:rsid w:val="00352EAD"/>
    <w:rsid w:val="00354029"/>
    <w:rsid w:val="00360364"/>
    <w:rsid w:val="00360A97"/>
    <w:rsid w:val="0036271B"/>
    <w:rsid w:val="00362ADA"/>
    <w:rsid w:val="00362B8B"/>
    <w:rsid w:val="00364DC9"/>
    <w:rsid w:val="00365BCE"/>
    <w:rsid w:val="00367021"/>
    <w:rsid w:val="00370C44"/>
    <w:rsid w:val="00371EBA"/>
    <w:rsid w:val="003725EC"/>
    <w:rsid w:val="00372B3F"/>
    <w:rsid w:val="00374343"/>
    <w:rsid w:val="00374BA4"/>
    <w:rsid w:val="00374C12"/>
    <w:rsid w:val="003771B1"/>
    <w:rsid w:val="00377609"/>
    <w:rsid w:val="00377953"/>
    <w:rsid w:val="00380615"/>
    <w:rsid w:val="00380700"/>
    <w:rsid w:val="003809CA"/>
    <w:rsid w:val="003811CE"/>
    <w:rsid w:val="00381560"/>
    <w:rsid w:val="003819B8"/>
    <w:rsid w:val="00381E1D"/>
    <w:rsid w:val="0038246F"/>
    <w:rsid w:val="003836CA"/>
    <w:rsid w:val="0038384E"/>
    <w:rsid w:val="00383A10"/>
    <w:rsid w:val="003846E3"/>
    <w:rsid w:val="00385064"/>
    <w:rsid w:val="003851D1"/>
    <w:rsid w:val="00385581"/>
    <w:rsid w:val="00387032"/>
    <w:rsid w:val="003874D4"/>
    <w:rsid w:val="003904C2"/>
    <w:rsid w:val="00390652"/>
    <w:rsid w:val="00396109"/>
    <w:rsid w:val="00396744"/>
    <w:rsid w:val="003A1911"/>
    <w:rsid w:val="003A2856"/>
    <w:rsid w:val="003A2950"/>
    <w:rsid w:val="003A2BD8"/>
    <w:rsid w:val="003A4E49"/>
    <w:rsid w:val="003A620F"/>
    <w:rsid w:val="003A662F"/>
    <w:rsid w:val="003B03A6"/>
    <w:rsid w:val="003B0A6E"/>
    <w:rsid w:val="003B17CB"/>
    <w:rsid w:val="003B1D10"/>
    <w:rsid w:val="003B4814"/>
    <w:rsid w:val="003B5135"/>
    <w:rsid w:val="003B5684"/>
    <w:rsid w:val="003B5E48"/>
    <w:rsid w:val="003B66AF"/>
    <w:rsid w:val="003B7838"/>
    <w:rsid w:val="003C3DE2"/>
    <w:rsid w:val="003C4465"/>
    <w:rsid w:val="003C547C"/>
    <w:rsid w:val="003C641A"/>
    <w:rsid w:val="003C6F78"/>
    <w:rsid w:val="003C7CE1"/>
    <w:rsid w:val="003D091D"/>
    <w:rsid w:val="003D29A5"/>
    <w:rsid w:val="003D2F0B"/>
    <w:rsid w:val="003D40C3"/>
    <w:rsid w:val="003D79A4"/>
    <w:rsid w:val="003E05B7"/>
    <w:rsid w:val="003E07A9"/>
    <w:rsid w:val="003E0DCB"/>
    <w:rsid w:val="003E143D"/>
    <w:rsid w:val="003E2795"/>
    <w:rsid w:val="003E340E"/>
    <w:rsid w:val="003E3B3B"/>
    <w:rsid w:val="003E433A"/>
    <w:rsid w:val="003E48BE"/>
    <w:rsid w:val="003E4C73"/>
    <w:rsid w:val="003E5AE0"/>
    <w:rsid w:val="003E7228"/>
    <w:rsid w:val="003E79CA"/>
    <w:rsid w:val="003E7A79"/>
    <w:rsid w:val="003E7F8D"/>
    <w:rsid w:val="003F18EA"/>
    <w:rsid w:val="003F1D75"/>
    <w:rsid w:val="003F208D"/>
    <w:rsid w:val="003F44FE"/>
    <w:rsid w:val="003F4564"/>
    <w:rsid w:val="0040041F"/>
    <w:rsid w:val="00400790"/>
    <w:rsid w:val="004017E2"/>
    <w:rsid w:val="00401C88"/>
    <w:rsid w:val="00402975"/>
    <w:rsid w:val="0040299F"/>
    <w:rsid w:val="00404320"/>
    <w:rsid w:val="00404DCC"/>
    <w:rsid w:val="004051C8"/>
    <w:rsid w:val="00405AF2"/>
    <w:rsid w:val="0040605D"/>
    <w:rsid w:val="00407A0A"/>
    <w:rsid w:val="0041029B"/>
    <w:rsid w:val="00413C37"/>
    <w:rsid w:val="0041433E"/>
    <w:rsid w:val="00414847"/>
    <w:rsid w:val="0041582C"/>
    <w:rsid w:val="00415AA4"/>
    <w:rsid w:val="004204B0"/>
    <w:rsid w:val="004206F2"/>
    <w:rsid w:val="00420BD3"/>
    <w:rsid w:val="00421283"/>
    <w:rsid w:val="00422C14"/>
    <w:rsid w:val="00422E16"/>
    <w:rsid w:val="004236AD"/>
    <w:rsid w:val="0042537D"/>
    <w:rsid w:val="00425D89"/>
    <w:rsid w:val="00425E40"/>
    <w:rsid w:val="004264B9"/>
    <w:rsid w:val="0042673F"/>
    <w:rsid w:val="00427067"/>
    <w:rsid w:val="00427249"/>
    <w:rsid w:val="00427FC1"/>
    <w:rsid w:val="00432289"/>
    <w:rsid w:val="0043349C"/>
    <w:rsid w:val="0043376F"/>
    <w:rsid w:val="00433C08"/>
    <w:rsid w:val="004349B4"/>
    <w:rsid w:val="004361AB"/>
    <w:rsid w:val="00437F50"/>
    <w:rsid w:val="004424A2"/>
    <w:rsid w:val="004425AD"/>
    <w:rsid w:val="0044470C"/>
    <w:rsid w:val="00445244"/>
    <w:rsid w:val="004464BE"/>
    <w:rsid w:val="00447593"/>
    <w:rsid w:val="00450D2E"/>
    <w:rsid w:val="004513AE"/>
    <w:rsid w:val="0045165B"/>
    <w:rsid w:val="00451745"/>
    <w:rsid w:val="004523BF"/>
    <w:rsid w:val="00452673"/>
    <w:rsid w:val="004526AC"/>
    <w:rsid w:val="00453D9E"/>
    <w:rsid w:val="00454CD2"/>
    <w:rsid w:val="00455CD1"/>
    <w:rsid w:val="0045642C"/>
    <w:rsid w:val="004576B0"/>
    <w:rsid w:val="004600EA"/>
    <w:rsid w:val="0046106C"/>
    <w:rsid w:val="00461492"/>
    <w:rsid w:val="00462163"/>
    <w:rsid w:val="004625F7"/>
    <w:rsid w:val="00463D91"/>
    <w:rsid w:val="00463FEF"/>
    <w:rsid w:val="00465F5C"/>
    <w:rsid w:val="0047123F"/>
    <w:rsid w:val="00475F2B"/>
    <w:rsid w:val="00476400"/>
    <w:rsid w:val="00476AB2"/>
    <w:rsid w:val="004775AF"/>
    <w:rsid w:val="00481098"/>
    <w:rsid w:val="00481DA3"/>
    <w:rsid w:val="00481E34"/>
    <w:rsid w:val="004826D1"/>
    <w:rsid w:val="00482BDE"/>
    <w:rsid w:val="004833A1"/>
    <w:rsid w:val="004836BB"/>
    <w:rsid w:val="00483A06"/>
    <w:rsid w:val="00483EE6"/>
    <w:rsid w:val="004848CB"/>
    <w:rsid w:val="00484E3A"/>
    <w:rsid w:val="0048558A"/>
    <w:rsid w:val="00486EEB"/>
    <w:rsid w:val="00487BB7"/>
    <w:rsid w:val="004903ED"/>
    <w:rsid w:val="0049044F"/>
    <w:rsid w:val="00490AB6"/>
    <w:rsid w:val="004910CD"/>
    <w:rsid w:val="004916C7"/>
    <w:rsid w:val="00491759"/>
    <w:rsid w:val="00491DA5"/>
    <w:rsid w:val="0049201B"/>
    <w:rsid w:val="00493BC8"/>
    <w:rsid w:val="00494557"/>
    <w:rsid w:val="00494E99"/>
    <w:rsid w:val="00495017"/>
    <w:rsid w:val="00497651"/>
    <w:rsid w:val="004976F7"/>
    <w:rsid w:val="004A030C"/>
    <w:rsid w:val="004A1E18"/>
    <w:rsid w:val="004A213F"/>
    <w:rsid w:val="004A2ADF"/>
    <w:rsid w:val="004A2FE4"/>
    <w:rsid w:val="004A305C"/>
    <w:rsid w:val="004A361B"/>
    <w:rsid w:val="004A5230"/>
    <w:rsid w:val="004B090A"/>
    <w:rsid w:val="004B1092"/>
    <w:rsid w:val="004B1E8C"/>
    <w:rsid w:val="004B1EC3"/>
    <w:rsid w:val="004B2973"/>
    <w:rsid w:val="004B2F91"/>
    <w:rsid w:val="004B3134"/>
    <w:rsid w:val="004B7CA6"/>
    <w:rsid w:val="004C00DC"/>
    <w:rsid w:val="004C2198"/>
    <w:rsid w:val="004C2495"/>
    <w:rsid w:val="004C3AD8"/>
    <w:rsid w:val="004C796A"/>
    <w:rsid w:val="004D09F5"/>
    <w:rsid w:val="004D0D00"/>
    <w:rsid w:val="004D0FDA"/>
    <w:rsid w:val="004D1E42"/>
    <w:rsid w:val="004D229D"/>
    <w:rsid w:val="004D5C53"/>
    <w:rsid w:val="004D5FCC"/>
    <w:rsid w:val="004D6680"/>
    <w:rsid w:val="004D6B46"/>
    <w:rsid w:val="004D74B4"/>
    <w:rsid w:val="004D76A2"/>
    <w:rsid w:val="004E0868"/>
    <w:rsid w:val="004E0B20"/>
    <w:rsid w:val="004E3EBB"/>
    <w:rsid w:val="004E44F8"/>
    <w:rsid w:val="004E4D0D"/>
    <w:rsid w:val="004E50A9"/>
    <w:rsid w:val="004E522F"/>
    <w:rsid w:val="004F0F41"/>
    <w:rsid w:val="004F2ACE"/>
    <w:rsid w:val="004F36F4"/>
    <w:rsid w:val="004F3D77"/>
    <w:rsid w:val="004F441C"/>
    <w:rsid w:val="004F4BA2"/>
    <w:rsid w:val="004F5096"/>
    <w:rsid w:val="004F5337"/>
    <w:rsid w:val="004F5D6E"/>
    <w:rsid w:val="004F7FA3"/>
    <w:rsid w:val="00500CC3"/>
    <w:rsid w:val="00500FE7"/>
    <w:rsid w:val="00501FFB"/>
    <w:rsid w:val="005028E5"/>
    <w:rsid w:val="00502C7E"/>
    <w:rsid w:val="00503AE3"/>
    <w:rsid w:val="00504368"/>
    <w:rsid w:val="00505E91"/>
    <w:rsid w:val="00506720"/>
    <w:rsid w:val="00506C7F"/>
    <w:rsid w:val="00507887"/>
    <w:rsid w:val="00507A22"/>
    <w:rsid w:val="00511734"/>
    <w:rsid w:val="00512D62"/>
    <w:rsid w:val="00515377"/>
    <w:rsid w:val="00516E17"/>
    <w:rsid w:val="00517B2E"/>
    <w:rsid w:val="00517E7C"/>
    <w:rsid w:val="00520984"/>
    <w:rsid w:val="00521ABF"/>
    <w:rsid w:val="0052286C"/>
    <w:rsid w:val="0052293F"/>
    <w:rsid w:val="00522CF1"/>
    <w:rsid w:val="00522D15"/>
    <w:rsid w:val="00523773"/>
    <w:rsid w:val="00523A2D"/>
    <w:rsid w:val="00523D8D"/>
    <w:rsid w:val="00524946"/>
    <w:rsid w:val="00524CAD"/>
    <w:rsid w:val="00524D11"/>
    <w:rsid w:val="00527227"/>
    <w:rsid w:val="0052728A"/>
    <w:rsid w:val="00527BB4"/>
    <w:rsid w:val="00530473"/>
    <w:rsid w:val="005308F7"/>
    <w:rsid w:val="00532B86"/>
    <w:rsid w:val="00532C0A"/>
    <w:rsid w:val="00533F9A"/>
    <w:rsid w:val="00533FDF"/>
    <w:rsid w:val="00535558"/>
    <w:rsid w:val="00535CA8"/>
    <w:rsid w:val="00537818"/>
    <w:rsid w:val="0054017A"/>
    <w:rsid w:val="00540850"/>
    <w:rsid w:val="00541404"/>
    <w:rsid w:val="00541717"/>
    <w:rsid w:val="0054226C"/>
    <w:rsid w:val="005424FC"/>
    <w:rsid w:val="005434BC"/>
    <w:rsid w:val="00543CE9"/>
    <w:rsid w:val="005448E7"/>
    <w:rsid w:val="00551920"/>
    <w:rsid w:val="00552B08"/>
    <w:rsid w:val="005530B1"/>
    <w:rsid w:val="0055410B"/>
    <w:rsid w:val="00555E9E"/>
    <w:rsid w:val="00555FD7"/>
    <w:rsid w:val="005565FB"/>
    <w:rsid w:val="00556EB4"/>
    <w:rsid w:val="0055783C"/>
    <w:rsid w:val="0056056D"/>
    <w:rsid w:val="00560683"/>
    <w:rsid w:val="005614EF"/>
    <w:rsid w:val="0056290F"/>
    <w:rsid w:val="00562F81"/>
    <w:rsid w:val="005645A6"/>
    <w:rsid w:val="00564613"/>
    <w:rsid w:val="00564EAF"/>
    <w:rsid w:val="005662F7"/>
    <w:rsid w:val="005675B4"/>
    <w:rsid w:val="00571AE0"/>
    <w:rsid w:val="005731FD"/>
    <w:rsid w:val="00573565"/>
    <w:rsid w:val="005750BC"/>
    <w:rsid w:val="00575243"/>
    <w:rsid w:val="0057594C"/>
    <w:rsid w:val="00576E12"/>
    <w:rsid w:val="0057718A"/>
    <w:rsid w:val="00580C7C"/>
    <w:rsid w:val="005818EC"/>
    <w:rsid w:val="00582CAE"/>
    <w:rsid w:val="00583AB3"/>
    <w:rsid w:val="00583EB1"/>
    <w:rsid w:val="00584292"/>
    <w:rsid w:val="005843C3"/>
    <w:rsid w:val="00585FDE"/>
    <w:rsid w:val="00587A81"/>
    <w:rsid w:val="00587B09"/>
    <w:rsid w:val="005902B8"/>
    <w:rsid w:val="0059047A"/>
    <w:rsid w:val="00590849"/>
    <w:rsid w:val="005916B9"/>
    <w:rsid w:val="005932D5"/>
    <w:rsid w:val="0059533D"/>
    <w:rsid w:val="00595470"/>
    <w:rsid w:val="0059553E"/>
    <w:rsid w:val="0059627E"/>
    <w:rsid w:val="00596478"/>
    <w:rsid w:val="00597789"/>
    <w:rsid w:val="005A2D64"/>
    <w:rsid w:val="005A36F4"/>
    <w:rsid w:val="005A3928"/>
    <w:rsid w:val="005A3FE6"/>
    <w:rsid w:val="005A6A4E"/>
    <w:rsid w:val="005A78D2"/>
    <w:rsid w:val="005B1CDA"/>
    <w:rsid w:val="005B39E6"/>
    <w:rsid w:val="005B3DD9"/>
    <w:rsid w:val="005B58EE"/>
    <w:rsid w:val="005B6135"/>
    <w:rsid w:val="005B6EEA"/>
    <w:rsid w:val="005B7E39"/>
    <w:rsid w:val="005C04F4"/>
    <w:rsid w:val="005C0EFB"/>
    <w:rsid w:val="005C0F4B"/>
    <w:rsid w:val="005C1034"/>
    <w:rsid w:val="005C1676"/>
    <w:rsid w:val="005C4717"/>
    <w:rsid w:val="005C6145"/>
    <w:rsid w:val="005C6507"/>
    <w:rsid w:val="005C6D03"/>
    <w:rsid w:val="005C703F"/>
    <w:rsid w:val="005D01A7"/>
    <w:rsid w:val="005D0CCF"/>
    <w:rsid w:val="005D18AB"/>
    <w:rsid w:val="005D1929"/>
    <w:rsid w:val="005D2122"/>
    <w:rsid w:val="005D2370"/>
    <w:rsid w:val="005D2B7F"/>
    <w:rsid w:val="005D3A21"/>
    <w:rsid w:val="005D4070"/>
    <w:rsid w:val="005D412D"/>
    <w:rsid w:val="005D5EA6"/>
    <w:rsid w:val="005D6B57"/>
    <w:rsid w:val="005D6E97"/>
    <w:rsid w:val="005E0285"/>
    <w:rsid w:val="005E0366"/>
    <w:rsid w:val="005E0E6A"/>
    <w:rsid w:val="005E1057"/>
    <w:rsid w:val="005E1160"/>
    <w:rsid w:val="005E1FC6"/>
    <w:rsid w:val="005E2309"/>
    <w:rsid w:val="005E2420"/>
    <w:rsid w:val="005E2A2C"/>
    <w:rsid w:val="005E2EDD"/>
    <w:rsid w:val="005E339A"/>
    <w:rsid w:val="005E4568"/>
    <w:rsid w:val="005E457C"/>
    <w:rsid w:val="005E4E97"/>
    <w:rsid w:val="005E509B"/>
    <w:rsid w:val="005F0657"/>
    <w:rsid w:val="005F116A"/>
    <w:rsid w:val="005F1F8B"/>
    <w:rsid w:val="005F2AA7"/>
    <w:rsid w:val="005F4712"/>
    <w:rsid w:val="005F4763"/>
    <w:rsid w:val="0060261D"/>
    <w:rsid w:val="00602E5B"/>
    <w:rsid w:val="00602E61"/>
    <w:rsid w:val="00602FA2"/>
    <w:rsid w:val="00603BA1"/>
    <w:rsid w:val="006063C9"/>
    <w:rsid w:val="00606705"/>
    <w:rsid w:val="0061080C"/>
    <w:rsid w:val="00611EDE"/>
    <w:rsid w:val="0061202A"/>
    <w:rsid w:val="006123F9"/>
    <w:rsid w:val="006141C8"/>
    <w:rsid w:val="00616920"/>
    <w:rsid w:val="00616AA1"/>
    <w:rsid w:val="00616FB3"/>
    <w:rsid w:val="006176FA"/>
    <w:rsid w:val="00617CCF"/>
    <w:rsid w:val="00617F28"/>
    <w:rsid w:val="00617F86"/>
    <w:rsid w:val="006218D2"/>
    <w:rsid w:val="00626705"/>
    <w:rsid w:val="00626DD2"/>
    <w:rsid w:val="0063102B"/>
    <w:rsid w:val="0063147A"/>
    <w:rsid w:val="00632B6A"/>
    <w:rsid w:val="00632ECD"/>
    <w:rsid w:val="006332EA"/>
    <w:rsid w:val="00633CB3"/>
    <w:rsid w:val="00634DB2"/>
    <w:rsid w:val="00635C9E"/>
    <w:rsid w:val="00635F07"/>
    <w:rsid w:val="00636AD8"/>
    <w:rsid w:val="00640DFF"/>
    <w:rsid w:val="0064187D"/>
    <w:rsid w:val="00641B74"/>
    <w:rsid w:val="006424B2"/>
    <w:rsid w:val="00642844"/>
    <w:rsid w:val="00643C66"/>
    <w:rsid w:val="00643D0C"/>
    <w:rsid w:val="00643D53"/>
    <w:rsid w:val="006444CA"/>
    <w:rsid w:val="00645156"/>
    <w:rsid w:val="00645C61"/>
    <w:rsid w:val="00645C78"/>
    <w:rsid w:val="00645D2E"/>
    <w:rsid w:val="006516F1"/>
    <w:rsid w:val="00652015"/>
    <w:rsid w:val="0065379B"/>
    <w:rsid w:val="00654F81"/>
    <w:rsid w:val="00655521"/>
    <w:rsid w:val="00655EBE"/>
    <w:rsid w:val="00656042"/>
    <w:rsid w:val="00657D8F"/>
    <w:rsid w:val="00660042"/>
    <w:rsid w:val="00660C20"/>
    <w:rsid w:val="0066120E"/>
    <w:rsid w:val="006623CB"/>
    <w:rsid w:val="0066600E"/>
    <w:rsid w:val="00666352"/>
    <w:rsid w:val="00666E38"/>
    <w:rsid w:val="00667CBA"/>
    <w:rsid w:val="006711D4"/>
    <w:rsid w:val="00671A05"/>
    <w:rsid w:val="00671DF0"/>
    <w:rsid w:val="00672D94"/>
    <w:rsid w:val="00673CA8"/>
    <w:rsid w:val="006765D4"/>
    <w:rsid w:val="00676F7D"/>
    <w:rsid w:val="006779F0"/>
    <w:rsid w:val="0068031F"/>
    <w:rsid w:val="0068152A"/>
    <w:rsid w:val="0068174D"/>
    <w:rsid w:val="00685843"/>
    <w:rsid w:val="006864B5"/>
    <w:rsid w:val="00687CB1"/>
    <w:rsid w:val="006925B3"/>
    <w:rsid w:val="006925B9"/>
    <w:rsid w:val="00692AB5"/>
    <w:rsid w:val="00693226"/>
    <w:rsid w:val="00694F8F"/>
    <w:rsid w:val="00695B03"/>
    <w:rsid w:val="006969E3"/>
    <w:rsid w:val="00696D02"/>
    <w:rsid w:val="00696FDF"/>
    <w:rsid w:val="006973EC"/>
    <w:rsid w:val="006A25FC"/>
    <w:rsid w:val="006A3B57"/>
    <w:rsid w:val="006A3E69"/>
    <w:rsid w:val="006A5171"/>
    <w:rsid w:val="006A589C"/>
    <w:rsid w:val="006A5E53"/>
    <w:rsid w:val="006A7836"/>
    <w:rsid w:val="006B73EF"/>
    <w:rsid w:val="006C1357"/>
    <w:rsid w:val="006C29A7"/>
    <w:rsid w:val="006C384D"/>
    <w:rsid w:val="006C54DB"/>
    <w:rsid w:val="006C598B"/>
    <w:rsid w:val="006C5C4D"/>
    <w:rsid w:val="006C61D2"/>
    <w:rsid w:val="006C76DC"/>
    <w:rsid w:val="006D0236"/>
    <w:rsid w:val="006D098D"/>
    <w:rsid w:val="006D2D4B"/>
    <w:rsid w:val="006D30D5"/>
    <w:rsid w:val="006D34C7"/>
    <w:rsid w:val="006D36DA"/>
    <w:rsid w:val="006D3F23"/>
    <w:rsid w:val="006D5084"/>
    <w:rsid w:val="006D5943"/>
    <w:rsid w:val="006D6C9A"/>
    <w:rsid w:val="006D78AD"/>
    <w:rsid w:val="006E02F8"/>
    <w:rsid w:val="006E03AB"/>
    <w:rsid w:val="006E0920"/>
    <w:rsid w:val="006E1155"/>
    <w:rsid w:val="006E2B9C"/>
    <w:rsid w:val="006E3107"/>
    <w:rsid w:val="006E3CA3"/>
    <w:rsid w:val="006E3EFB"/>
    <w:rsid w:val="006E47FC"/>
    <w:rsid w:val="006E5F81"/>
    <w:rsid w:val="006E7025"/>
    <w:rsid w:val="006E74EE"/>
    <w:rsid w:val="006E757A"/>
    <w:rsid w:val="006F0DF7"/>
    <w:rsid w:val="006F1215"/>
    <w:rsid w:val="006F29F1"/>
    <w:rsid w:val="006F308C"/>
    <w:rsid w:val="006F525C"/>
    <w:rsid w:val="006F5402"/>
    <w:rsid w:val="006F6B60"/>
    <w:rsid w:val="006F728C"/>
    <w:rsid w:val="00700D26"/>
    <w:rsid w:val="007023ED"/>
    <w:rsid w:val="00703847"/>
    <w:rsid w:val="00705E69"/>
    <w:rsid w:val="00705E86"/>
    <w:rsid w:val="0070670C"/>
    <w:rsid w:val="00706EA5"/>
    <w:rsid w:val="00707859"/>
    <w:rsid w:val="00710EB1"/>
    <w:rsid w:val="00711331"/>
    <w:rsid w:val="007118C8"/>
    <w:rsid w:val="00713A3B"/>
    <w:rsid w:val="00716D7A"/>
    <w:rsid w:val="00717B7E"/>
    <w:rsid w:val="00720979"/>
    <w:rsid w:val="007209F2"/>
    <w:rsid w:val="0072138D"/>
    <w:rsid w:val="00721A06"/>
    <w:rsid w:val="00722AE2"/>
    <w:rsid w:val="007236DF"/>
    <w:rsid w:val="00723C0E"/>
    <w:rsid w:val="00727C79"/>
    <w:rsid w:val="00727E57"/>
    <w:rsid w:val="0073111B"/>
    <w:rsid w:val="007327CA"/>
    <w:rsid w:val="00733550"/>
    <w:rsid w:val="00737BA3"/>
    <w:rsid w:val="00740FE7"/>
    <w:rsid w:val="007413F6"/>
    <w:rsid w:val="00743D1F"/>
    <w:rsid w:val="00746671"/>
    <w:rsid w:val="00746D38"/>
    <w:rsid w:val="00747DD3"/>
    <w:rsid w:val="00750675"/>
    <w:rsid w:val="00750AEB"/>
    <w:rsid w:val="00751A6C"/>
    <w:rsid w:val="00751D8C"/>
    <w:rsid w:val="007528FA"/>
    <w:rsid w:val="00752B67"/>
    <w:rsid w:val="00752E60"/>
    <w:rsid w:val="007535EF"/>
    <w:rsid w:val="007542A0"/>
    <w:rsid w:val="007569C1"/>
    <w:rsid w:val="00756A13"/>
    <w:rsid w:val="00757534"/>
    <w:rsid w:val="00757F98"/>
    <w:rsid w:val="007601DA"/>
    <w:rsid w:val="00760671"/>
    <w:rsid w:val="007616A9"/>
    <w:rsid w:val="00762167"/>
    <w:rsid w:val="007633C1"/>
    <w:rsid w:val="00764B2C"/>
    <w:rsid w:val="00765774"/>
    <w:rsid w:val="00765DD1"/>
    <w:rsid w:val="0076717F"/>
    <w:rsid w:val="00767D63"/>
    <w:rsid w:val="00770877"/>
    <w:rsid w:val="00771256"/>
    <w:rsid w:val="00771561"/>
    <w:rsid w:val="00771BD7"/>
    <w:rsid w:val="00772455"/>
    <w:rsid w:val="00772AD9"/>
    <w:rsid w:val="00773909"/>
    <w:rsid w:val="0077556B"/>
    <w:rsid w:val="00775E41"/>
    <w:rsid w:val="00776623"/>
    <w:rsid w:val="00776F70"/>
    <w:rsid w:val="007801B1"/>
    <w:rsid w:val="00780271"/>
    <w:rsid w:val="00781913"/>
    <w:rsid w:val="00781953"/>
    <w:rsid w:val="007842B2"/>
    <w:rsid w:val="007855A6"/>
    <w:rsid w:val="0078654D"/>
    <w:rsid w:val="007868E6"/>
    <w:rsid w:val="007901AD"/>
    <w:rsid w:val="007924C7"/>
    <w:rsid w:val="0079286F"/>
    <w:rsid w:val="0079334E"/>
    <w:rsid w:val="00793405"/>
    <w:rsid w:val="00793566"/>
    <w:rsid w:val="0079422A"/>
    <w:rsid w:val="007951BD"/>
    <w:rsid w:val="007A060D"/>
    <w:rsid w:val="007A0DB5"/>
    <w:rsid w:val="007A2686"/>
    <w:rsid w:val="007A3C87"/>
    <w:rsid w:val="007A3D57"/>
    <w:rsid w:val="007A6A26"/>
    <w:rsid w:val="007B1BF6"/>
    <w:rsid w:val="007B1E93"/>
    <w:rsid w:val="007B1FB4"/>
    <w:rsid w:val="007B3CD6"/>
    <w:rsid w:val="007B715F"/>
    <w:rsid w:val="007B71BC"/>
    <w:rsid w:val="007B7B76"/>
    <w:rsid w:val="007C117C"/>
    <w:rsid w:val="007C1D72"/>
    <w:rsid w:val="007C22F4"/>
    <w:rsid w:val="007C2DCE"/>
    <w:rsid w:val="007C44B9"/>
    <w:rsid w:val="007C4D25"/>
    <w:rsid w:val="007C5A22"/>
    <w:rsid w:val="007C5D36"/>
    <w:rsid w:val="007C68FB"/>
    <w:rsid w:val="007C6B91"/>
    <w:rsid w:val="007C6D5A"/>
    <w:rsid w:val="007D3FB6"/>
    <w:rsid w:val="007D489F"/>
    <w:rsid w:val="007D5212"/>
    <w:rsid w:val="007D5307"/>
    <w:rsid w:val="007D618B"/>
    <w:rsid w:val="007D6684"/>
    <w:rsid w:val="007D691E"/>
    <w:rsid w:val="007E075B"/>
    <w:rsid w:val="007E1D11"/>
    <w:rsid w:val="007E21DD"/>
    <w:rsid w:val="007E221A"/>
    <w:rsid w:val="007E2427"/>
    <w:rsid w:val="007E3545"/>
    <w:rsid w:val="007E3DD1"/>
    <w:rsid w:val="007E43E5"/>
    <w:rsid w:val="007E45AE"/>
    <w:rsid w:val="007E4D00"/>
    <w:rsid w:val="007E7200"/>
    <w:rsid w:val="007F09E2"/>
    <w:rsid w:val="007F266B"/>
    <w:rsid w:val="007F2E6C"/>
    <w:rsid w:val="007F5410"/>
    <w:rsid w:val="007F5701"/>
    <w:rsid w:val="007F5B5B"/>
    <w:rsid w:val="007F61CA"/>
    <w:rsid w:val="00801439"/>
    <w:rsid w:val="0080165E"/>
    <w:rsid w:val="00801950"/>
    <w:rsid w:val="00803204"/>
    <w:rsid w:val="0080365D"/>
    <w:rsid w:val="008037FD"/>
    <w:rsid w:val="00803F9B"/>
    <w:rsid w:val="008040FD"/>
    <w:rsid w:val="0080589A"/>
    <w:rsid w:val="00807D0B"/>
    <w:rsid w:val="00810E73"/>
    <w:rsid w:val="00810FC4"/>
    <w:rsid w:val="00811107"/>
    <w:rsid w:val="0081172F"/>
    <w:rsid w:val="00812743"/>
    <w:rsid w:val="00813171"/>
    <w:rsid w:val="008133D4"/>
    <w:rsid w:val="0081534F"/>
    <w:rsid w:val="00817EA8"/>
    <w:rsid w:val="008208E4"/>
    <w:rsid w:val="00820FAD"/>
    <w:rsid w:val="00821FB4"/>
    <w:rsid w:val="00826343"/>
    <w:rsid w:val="0083059F"/>
    <w:rsid w:val="0083144F"/>
    <w:rsid w:val="0083250E"/>
    <w:rsid w:val="00832D92"/>
    <w:rsid w:val="008330C5"/>
    <w:rsid w:val="00833946"/>
    <w:rsid w:val="00834D46"/>
    <w:rsid w:val="008362CF"/>
    <w:rsid w:val="00837A25"/>
    <w:rsid w:val="0084221C"/>
    <w:rsid w:val="00842FD2"/>
    <w:rsid w:val="00843F6C"/>
    <w:rsid w:val="008440E0"/>
    <w:rsid w:val="0084427A"/>
    <w:rsid w:val="00845A4B"/>
    <w:rsid w:val="00846386"/>
    <w:rsid w:val="0084656D"/>
    <w:rsid w:val="00846C79"/>
    <w:rsid w:val="00846C84"/>
    <w:rsid w:val="00847704"/>
    <w:rsid w:val="00847912"/>
    <w:rsid w:val="008522AC"/>
    <w:rsid w:val="00852364"/>
    <w:rsid w:val="008548FC"/>
    <w:rsid w:val="00854CF7"/>
    <w:rsid w:val="0085547E"/>
    <w:rsid w:val="008554CA"/>
    <w:rsid w:val="008562DD"/>
    <w:rsid w:val="00857517"/>
    <w:rsid w:val="0086046E"/>
    <w:rsid w:val="0086066D"/>
    <w:rsid w:val="00860AB8"/>
    <w:rsid w:val="008621C5"/>
    <w:rsid w:val="00863390"/>
    <w:rsid w:val="00863AFB"/>
    <w:rsid w:val="00863E36"/>
    <w:rsid w:val="00865454"/>
    <w:rsid w:val="00865F74"/>
    <w:rsid w:val="008673C9"/>
    <w:rsid w:val="00870D9C"/>
    <w:rsid w:val="00871B87"/>
    <w:rsid w:val="00871ED3"/>
    <w:rsid w:val="008722FF"/>
    <w:rsid w:val="0087238C"/>
    <w:rsid w:val="00872393"/>
    <w:rsid w:val="00875E10"/>
    <w:rsid w:val="00877C41"/>
    <w:rsid w:val="00880BDE"/>
    <w:rsid w:val="00884929"/>
    <w:rsid w:val="00884DBB"/>
    <w:rsid w:val="00887119"/>
    <w:rsid w:val="0088741E"/>
    <w:rsid w:val="00890719"/>
    <w:rsid w:val="008909FC"/>
    <w:rsid w:val="00890F3C"/>
    <w:rsid w:val="00891202"/>
    <w:rsid w:val="00892553"/>
    <w:rsid w:val="00892B0A"/>
    <w:rsid w:val="00892E9A"/>
    <w:rsid w:val="00892F65"/>
    <w:rsid w:val="00895867"/>
    <w:rsid w:val="00895E4A"/>
    <w:rsid w:val="00897268"/>
    <w:rsid w:val="0089752C"/>
    <w:rsid w:val="0089759A"/>
    <w:rsid w:val="008A492C"/>
    <w:rsid w:val="008A64BF"/>
    <w:rsid w:val="008A65F3"/>
    <w:rsid w:val="008A7FDD"/>
    <w:rsid w:val="008B100A"/>
    <w:rsid w:val="008B20B0"/>
    <w:rsid w:val="008B2D90"/>
    <w:rsid w:val="008B3921"/>
    <w:rsid w:val="008B43E6"/>
    <w:rsid w:val="008B49F4"/>
    <w:rsid w:val="008B5E91"/>
    <w:rsid w:val="008B62AE"/>
    <w:rsid w:val="008C1E5C"/>
    <w:rsid w:val="008C5C07"/>
    <w:rsid w:val="008C6AB6"/>
    <w:rsid w:val="008C6DC5"/>
    <w:rsid w:val="008C78FE"/>
    <w:rsid w:val="008C7BF0"/>
    <w:rsid w:val="008D0E6C"/>
    <w:rsid w:val="008D1D8D"/>
    <w:rsid w:val="008D3553"/>
    <w:rsid w:val="008D3FB5"/>
    <w:rsid w:val="008D4936"/>
    <w:rsid w:val="008D7F8B"/>
    <w:rsid w:val="008E04A1"/>
    <w:rsid w:val="008E3A23"/>
    <w:rsid w:val="008E57E6"/>
    <w:rsid w:val="008E5CF0"/>
    <w:rsid w:val="008E624C"/>
    <w:rsid w:val="008E69BE"/>
    <w:rsid w:val="008E6E8F"/>
    <w:rsid w:val="008E7731"/>
    <w:rsid w:val="008E7B6C"/>
    <w:rsid w:val="008F0AF2"/>
    <w:rsid w:val="008F0D3B"/>
    <w:rsid w:val="008F4450"/>
    <w:rsid w:val="008F66E8"/>
    <w:rsid w:val="008F74D9"/>
    <w:rsid w:val="008F779C"/>
    <w:rsid w:val="0090076B"/>
    <w:rsid w:val="009009AD"/>
    <w:rsid w:val="00900F50"/>
    <w:rsid w:val="009021CE"/>
    <w:rsid w:val="00902C60"/>
    <w:rsid w:val="009036A1"/>
    <w:rsid w:val="00906786"/>
    <w:rsid w:val="009069BE"/>
    <w:rsid w:val="00907196"/>
    <w:rsid w:val="00907882"/>
    <w:rsid w:val="00910538"/>
    <w:rsid w:val="00913A01"/>
    <w:rsid w:val="00914840"/>
    <w:rsid w:val="00915BD8"/>
    <w:rsid w:val="00916523"/>
    <w:rsid w:val="00917A38"/>
    <w:rsid w:val="00917E21"/>
    <w:rsid w:val="00920BF6"/>
    <w:rsid w:val="00922726"/>
    <w:rsid w:val="00922C28"/>
    <w:rsid w:val="00922EB3"/>
    <w:rsid w:val="00923628"/>
    <w:rsid w:val="009236D6"/>
    <w:rsid w:val="00924161"/>
    <w:rsid w:val="00926516"/>
    <w:rsid w:val="00927AF1"/>
    <w:rsid w:val="00930261"/>
    <w:rsid w:val="009317D6"/>
    <w:rsid w:val="00931D5D"/>
    <w:rsid w:val="00932A5C"/>
    <w:rsid w:val="00933B7C"/>
    <w:rsid w:val="009346C0"/>
    <w:rsid w:val="009356C8"/>
    <w:rsid w:val="009367B5"/>
    <w:rsid w:val="00936A75"/>
    <w:rsid w:val="00936AAC"/>
    <w:rsid w:val="00937949"/>
    <w:rsid w:val="00937C23"/>
    <w:rsid w:val="00937D88"/>
    <w:rsid w:val="00940A02"/>
    <w:rsid w:val="00941391"/>
    <w:rsid w:val="00941806"/>
    <w:rsid w:val="00942772"/>
    <w:rsid w:val="009441E6"/>
    <w:rsid w:val="00950D3F"/>
    <w:rsid w:val="00950DBF"/>
    <w:rsid w:val="00951B98"/>
    <w:rsid w:val="009545AC"/>
    <w:rsid w:val="00960A8D"/>
    <w:rsid w:val="00966462"/>
    <w:rsid w:val="00966542"/>
    <w:rsid w:val="00967F13"/>
    <w:rsid w:val="00970C15"/>
    <w:rsid w:val="00970D12"/>
    <w:rsid w:val="00970DFA"/>
    <w:rsid w:val="00971AE9"/>
    <w:rsid w:val="00971CA7"/>
    <w:rsid w:val="00973929"/>
    <w:rsid w:val="00974464"/>
    <w:rsid w:val="0097557E"/>
    <w:rsid w:val="00975F6A"/>
    <w:rsid w:val="00975F82"/>
    <w:rsid w:val="00976D69"/>
    <w:rsid w:val="00981C9A"/>
    <w:rsid w:val="00981D7E"/>
    <w:rsid w:val="009827F7"/>
    <w:rsid w:val="00983334"/>
    <w:rsid w:val="00984A6C"/>
    <w:rsid w:val="00985410"/>
    <w:rsid w:val="0098684A"/>
    <w:rsid w:val="00986E96"/>
    <w:rsid w:val="00987E4E"/>
    <w:rsid w:val="00987E7C"/>
    <w:rsid w:val="00990187"/>
    <w:rsid w:val="00991AB5"/>
    <w:rsid w:val="00991E45"/>
    <w:rsid w:val="009928FB"/>
    <w:rsid w:val="00992F46"/>
    <w:rsid w:val="00993BA3"/>
    <w:rsid w:val="00994124"/>
    <w:rsid w:val="0099580F"/>
    <w:rsid w:val="00995EA0"/>
    <w:rsid w:val="00996328"/>
    <w:rsid w:val="009A0351"/>
    <w:rsid w:val="009A1128"/>
    <w:rsid w:val="009A19B0"/>
    <w:rsid w:val="009A1DA0"/>
    <w:rsid w:val="009A22AA"/>
    <w:rsid w:val="009A359A"/>
    <w:rsid w:val="009A5627"/>
    <w:rsid w:val="009A7EED"/>
    <w:rsid w:val="009B114A"/>
    <w:rsid w:val="009B1FC2"/>
    <w:rsid w:val="009B4701"/>
    <w:rsid w:val="009B47FA"/>
    <w:rsid w:val="009B512D"/>
    <w:rsid w:val="009C097D"/>
    <w:rsid w:val="009C0B98"/>
    <w:rsid w:val="009C1134"/>
    <w:rsid w:val="009C13CF"/>
    <w:rsid w:val="009C1739"/>
    <w:rsid w:val="009C1CB3"/>
    <w:rsid w:val="009C26C4"/>
    <w:rsid w:val="009C2C12"/>
    <w:rsid w:val="009C37C6"/>
    <w:rsid w:val="009C493F"/>
    <w:rsid w:val="009C59ED"/>
    <w:rsid w:val="009C611C"/>
    <w:rsid w:val="009C6F04"/>
    <w:rsid w:val="009C7508"/>
    <w:rsid w:val="009C7E6F"/>
    <w:rsid w:val="009D09BA"/>
    <w:rsid w:val="009D0CEE"/>
    <w:rsid w:val="009D28F6"/>
    <w:rsid w:val="009D3B02"/>
    <w:rsid w:val="009D4220"/>
    <w:rsid w:val="009D44B9"/>
    <w:rsid w:val="009D5A1A"/>
    <w:rsid w:val="009D630C"/>
    <w:rsid w:val="009D6587"/>
    <w:rsid w:val="009D68A7"/>
    <w:rsid w:val="009D6D4E"/>
    <w:rsid w:val="009D74C0"/>
    <w:rsid w:val="009D75E2"/>
    <w:rsid w:val="009E1229"/>
    <w:rsid w:val="009E132C"/>
    <w:rsid w:val="009E3941"/>
    <w:rsid w:val="009E42FE"/>
    <w:rsid w:val="009E4544"/>
    <w:rsid w:val="009E49CD"/>
    <w:rsid w:val="009E54FA"/>
    <w:rsid w:val="009E644F"/>
    <w:rsid w:val="009E762E"/>
    <w:rsid w:val="009F0E8F"/>
    <w:rsid w:val="009F2321"/>
    <w:rsid w:val="009F23F3"/>
    <w:rsid w:val="009F26B1"/>
    <w:rsid w:val="009F2F1B"/>
    <w:rsid w:val="009F5958"/>
    <w:rsid w:val="009F5B30"/>
    <w:rsid w:val="00A00458"/>
    <w:rsid w:val="00A006EB"/>
    <w:rsid w:val="00A0267D"/>
    <w:rsid w:val="00A02DA9"/>
    <w:rsid w:val="00A042FF"/>
    <w:rsid w:val="00A045D1"/>
    <w:rsid w:val="00A05BE2"/>
    <w:rsid w:val="00A05D29"/>
    <w:rsid w:val="00A05D79"/>
    <w:rsid w:val="00A10FC3"/>
    <w:rsid w:val="00A133F2"/>
    <w:rsid w:val="00A14DF7"/>
    <w:rsid w:val="00A17A38"/>
    <w:rsid w:val="00A21BB0"/>
    <w:rsid w:val="00A2377E"/>
    <w:rsid w:val="00A264D5"/>
    <w:rsid w:val="00A26CC6"/>
    <w:rsid w:val="00A27B33"/>
    <w:rsid w:val="00A27C45"/>
    <w:rsid w:val="00A3041A"/>
    <w:rsid w:val="00A315F9"/>
    <w:rsid w:val="00A31625"/>
    <w:rsid w:val="00A32B59"/>
    <w:rsid w:val="00A32E0A"/>
    <w:rsid w:val="00A338BA"/>
    <w:rsid w:val="00A33A7E"/>
    <w:rsid w:val="00A347C9"/>
    <w:rsid w:val="00A34ACB"/>
    <w:rsid w:val="00A35903"/>
    <w:rsid w:val="00A3702D"/>
    <w:rsid w:val="00A371D1"/>
    <w:rsid w:val="00A37C86"/>
    <w:rsid w:val="00A42C29"/>
    <w:rsid w:val="00A43B07"/>
    <w:rsid w:val="00A43D83"/>
    <w:rsid w:val="00A44CA0"/>
    <w:rsid w:val="00A46259"/>
    <w:rsid w:val="00A47CCB"/>
    <w:rsid w:val="00A47D8B"/>
    <w:rsid w:val="00A5252B"/>
    <w:rsid w:val="00A52CB3"/>
    <w:rsid w:val="00A54F45"/>
    <w:rsid w:val="00A55EBA"/>
    <w:rsid w:val="00A56674"/>
    <w:rsid w:val="00A572B3"/>
    <w:rsid w:val="00A577C0"/>
    <w:rsid w:val="00A6036E"/>
    <w:rsid w:val="00A609B6"/>
    <w:rsid w:val="00A63CF8"/>
    <w:rsid w:val="00A649DE"/>
    <w:rsid w:val="00A64B83"/>
    <w:rsid w:val="00A658C3"/>
    <w:rsid w:val="00A660ED"/>
    <w:rsid w:val="00A663AA"/>
    <w:rsid w:val="00A668A9"/>
    <w:rsid w:val="00A700B8"/>
    <w:rsid w:val="00A72944"/>
    <w:rsid w:val="00A744C4"/>
    <w:rsid w:val="00A76DA1"/>
    <w:rsid w:val="00A772FE"/>
    <w:rsid w:val="00A800D7"/>
    <w:rsid w:val="00A80666"/>
    <w:rsid w:val="00A82022"/>
    <w:rsid w:val="00A82218"/>
    <w:rsid w:val="00A82EF6"/>
    <w:rsid w:val="00A83232"/>
    <w:rsid w:val="00A83A1D"/>
    <w:rsid w:val="00A844A8"/>
    <w:rsid w:val="00A85171"/>
    <w:rsid w:val="00A851B1"/>
    <w:rsid w:val="00A85840"/>
    <w:rsid w:val="00A86035"/>
    <w:rsid w:val="00A865BB"/>
    <w:rsid w:val="00A87A86"/>
    <w:rsid w:val="00A91CD0"/>
    <w:rsid w:val="00A91DBE"/>
    <w:rsid w:val="00A923BB"/>
    <w:rsid w:val="00A92A59"/>
    <w:rsid w:val="00A93158"/>
    <w:rsid w:val="00A94251"/>
    <w:rsid w:val="00A94B06"/>
    <w:rsid w:val="00A94D2D"/>
    <w:rsid w:val="00A94E1F"/>
    <w:rsid w:val="00A95F3C"/>
    <w:rsid w:val="00A96180"/>
    <w:rsid w:val="00A96CDA"/>
    <w:rsid w:val="00A978C0"/>
    <w:rsid w:val="00A978E7"/>
    <w:rsid w:val="00AA0857"/>
    <w:rsid w:val="00AA0EF1"/>
    <w:rsid w:val="00AA4067"/>
    <w:rsid w:val="00AA4356"/>
    <w:rsid w:val="00AA45DE"/>
    <w:rsid w:val="00AA49D1"/>
    <w:rsid w:val="00AA5267"/>
    <w:rsid w:val="00AA54FA"/>
    <w:rsid w:val="00AA6ED2"/>
    <w:rsid w:val="00AA7650"/>
    <w:rsid w:val="00AA7997"/>
    <w:rsid w:val="00AB09CD"/>
    <w:rsid w:val="00AB14B9"/>
    <w:rsid w:val="00AB1827"/>
    <w:rsid w:val="00AB1BD2"/>
    <w:rsid w:val="00AB3C08"/>
    <w:rsid w:val="00AB4784"/>
    <w:rsid w:val="00AB493C"/>
    <w:rsid w:val="00AB5935"/>
    <w:rsid w:val="00AB6379"/>
    <w:rsid w:val="00AB67E1"/>
    <w:rsid w:val="00AC01A1"/>
    <w:rsid w:val="00AC185E"/>
    <w:rsid w:val="00AC1C7E"/>
    <w:rsid w:val="00AC345B"/>
    <w:rsid w:val="00AC36E4"/>
    <w:rsid w:val="00AC4628"/>
    <w:rsid w:val="00AC46F5"/>
    <w:rsid w:val="00AC5992"/>
    <w:rsid w:val="00AC7517"/>
    <w:rsid w:val="00AD04B8"/>
    <w:rsid w:val="00AD0613"/>
    <w:rsid w:val="00AD16BC"/>
    <w:rsid w:val="00AD32BE"/>
    <w:rsid w:val="00AD4557"/>
    <w:rsid w:val="00AD455F"/>
    <w:rsid w:val="00AD4E3C"/>
    <w:rsid w:val="00AD5C57"/>
    <w:rsid w:val="00AD5D82"/>
    <w:rsid w:val="00AD60DE"/>
    <w:rsid w:val="00AD634E"/>
    <w:rsid w:val="00AD72D1"/>
    <w:rsid w:val="00AD72E8"/>
    <w:rsid w:val="00AD730C"/>
    <w:rsid w:val="00AE0594"/>
    <w:rsid w:val="00AE0E8B"/>
    <w:rsid w:val="00AE193A"/>
    <w:rsid w:val="00AE1A3A"/>
    <w:rsid w:val="00AE2049"/>
    <w:rsid w:val="00AE3799"/>
    <w:rsid w:val="00AE41A1"/>
    <w:rsid w:val="00AE4397"/>
    <w:rsid w:val="00AE503C"/>
    <w:rsid w:val="00AE5E22"/>
    <w:rsid w:val="00AF3438"/>
    <w:rsid w:val="00AF40AD"/>
    <w:rsid w:val="00AF4243"/>
    <w:rsid w:val="00AF51C8"/>
    <w:rsid w:val="00AF54FF"/>
    <w:rsid w:val="00AF6031"/>
    <w:rsid w:val="00AF7086"/>
    <w:rsid w:val="00B0007B"/>
    <w:rsid w:val="00B006C2"/>
    <w:rsid w:val="00B00825"/>
    <w:rsid w:val="00B00A59"/>
    <w:rsid w:val="00B0343A"/>
    <w:rsid w:val="00B04849"/>
    <w:rsid w:val="00B06466"/>
    <w:rsid w:val="00B0677A"/>
    <w:rsid w:val="00B06F12"/>
    <w:rsid w:val="00B07603"/>
    <w:rsid w:val="00B1068C"/>
    <w:rsid w:val="00B12A83"/>
    <w:rsid w:val="00B12DD6"/>
    <w:rsid w:val="00B139B9"/>
    <w:rsid w:val="00B147A6"/>
    <w:rsid w:val="00B16092"/>
    <w:rsid w:val="00B1752B"/>
    <w:rsid w:val="00B24872"/>
    <w:rsid w:val="00B24C06"/>
    <w:rsid w:val="00B2529A"/>
    <w:rsid w:val="00B255B0"/>
    <w:rsid w:val="00B25EBE"/>
    <w:rsid w:val="00B263B4"/>
    <w:rsid w:val="00B2672B"/>
    <w:rsid w:val="00B26FDC"/>
    <w:rsid w:val="00B27B62"/>
    <w:rsid w:val="00B300F6"/>
    <w:rsid w:val="00B3072B"/>
    <w:rsid w:val="00B31382"/>
    <w:rsid w:val="00B3269B"/>
    <w:rsid w:val="00B32C71"/>
    <w:rsid w:val="00B3372D"/>
    <w:rsid w:val="00B3478A"/>
    <w:rsid w:val="00B34919"/>
    <w:rsid w:val="00B34EB6"/>
    <w:rsid w:val="00B35B1E"/>
    <w:rsid w:val="00B37DB3"/>
    <w:rsid w:val="00B416DD"/>
    <w:rsid w:val="00B41EF7"/>
    <w:rsid w:val="00B4234B"/>
    <w:rsid w:val="00B42695"/>
    <w:rsid w:val="00B43078"/>
    <w:rsid w:val="00B438E4"/>
    <w:rsid w:val="00B44037"/>
    <w:rsid w:val="00B440D3"/>
    <w:rsid w:val="00B44A72"/>
    <w:rsid w:val="00B47F39"/>
    <w:rsid w:val="00B53233"/>
    <w:rsid w:val="00B537F9"/>
    <w:rsid w:val="00B540C1"/>
    <w:rsid w:val="00B548E8"/>
    <w:rsid w:val="00B559F3"/>
    <w:rsid w:val="00B55C4D"/>
    <w:rsid w:val="00B55E4F"/>
    <w:rsid w:val="00B60AAE"/>
    <w:rsid w:val="00B60B6D"/>
    <w:rsid w:val="00B61C82"/>
    <w:rsid w:val="00B624F3"/>
    <w:rsid w:val="00B624F9"/>
    <w:rsid w:val="00B63CA0"/>
    <w:rsid w:val="00B63DD2"/>
    <w:rsid w:val="00B6512D"/>
    <w:rsid w:val="00B66BD8"/>
    <w:rsid w:val="00B6730D"/>
    <w:rsid w:val="00B70DE5"/>
    <w:rsid w:val="00B74DC1"/>
    <w:rsid w:val="00B75A31"/>
    <w:rsid w:val="00B778D5"/>
    <w:rsid w:val="00B77A38"/>
    <w:rsid w:val="00B819DD"/>
    <w:rsid w:val="00B81A11"/>
    <w:rsid w:val="00B828BC"/>
    <w:rsid w:val="00B837E1"/>
    <w:rsid w:val="00B840C8"/>
    <w:rsid w:val="00B8494A"/>
    <w:rsid w:val="00B85875"/>
    <w:rsid w:val="00B86301"/>
    <w:rsid w:val="00B86939"/>
    <w:rsid w:val="00B90355"/>
    <w:rsid w:val="00B904F3"/>
    <w:rsid w:val="00B90CC0"/>
    <w:rsid w:val="00B90D4C"/>
    <w:rsid w:val="00B91F5E"/>
    <w:rsid w:val="00B923A0"/>
    <w:rsid w:val="00B957B2"/>
    <w:rsid w:val="00B96C63"/>
    <w:rsid w:val="00BA0D5B"/>
    <w:rsid w:val="00BA2841"/>
    <w:rsid w:val="00BA4586"/>
    <w:rsid w:val="00BA474C"/>
    <w:rsid w:val="00BA47FA"/>
    <w:rsid w:val="00BA48B6"/>
    <w:rsid w:val="00BA516C"/>
    <w:rsid w:val="00BA6946"/>
    <w:rsid w:val="00BA7B59"/>
    <w:rsid w:val="00BA7E56"/>
    <w:rsid w:val="00BB0E29"/>
    <w:rsid w:val="00BB1A5A"/>
    <w:rsid w:val="00BB2A85"/>
    <w:rsid w:val="00BB2FE7"/>
    <w:rsid w:val="00BB36B1"/>
    <w:rsid w:val="00BB39C9"/>
    <w:rsid w:val="00BB3A30"/>
    <w:rsid w:val="00BB5942"/>
    <w:rsid w:val="00BC0648"/>
    <w:rsid w:val="00BC1087"/>
    <w:rsid w:val="00BC12ED"/>
    <w:rsid w:val="00BC1E32"/>
    <w:rsid w:val="00BC3414"/>
    <w:rsid w:val="00BC3922"/>
    <w:rsid w:val="00BC4615"/>
    <w:rsid w:val="00BC5195"/>
    <w:rsid w:val="00BC60E8"/>
    <w:rsid w:val="00BC6858"/>
    <w:rsid w:val="00BC6E7E"/>
    <w:rsid w:val="00BC7B59"/>
    <w:rsid w:val="00BD007A"/>
    <w:rsid w:val="00BD0841"/>
    <w:rsid w:val="00BD445C"/>
    <w:rsid w:val="00BD472A"/>
    <w:rsid w:val="00BD55F0"/>
    <w:rsid w:val="00BD58B6"/>
    <w:rsid w:val="00BD5D08"/>
    <w:rsid w:val="00BD6C05"/>
    <w:rsid w:val="00BD7DF0"/>
    <w:rsid w:val="00BE02C8"/>
    <w:rsid w:val="00BE049E"/>
    <w:rsid w:val="00BE0523"/>
    <w:rsid w:val="00BE19A3"/>
    <w:rsid w:val="00BE1DE4"/>
    <w:rsid w:val="00BE1E1D"/>
    <w:rsid w:val="00BE1F8E"/>
    <w:rsid w:val="00BE22BA"/>
    <w:rsid w:val="00BE24E5"/>
    <w:rsid w:val="00BE394A"/>
    <w:rsid w:val="00BE4176"/>
    <w:rsid w:val="00BE60AD"/>
    <w:rsid w:val="00BF0225"/>
    <w:rsid w:val="00BF139A"/>
    <w:rsid w:val="00BF1666"/>
    <w:rsid w:val="00BF1685"/>
    <w:rsid w:val="00BF2E66"/>
    <w:rsid w:val="00BF41BA"/>
    <w:rsid w:val="00BF545B"/>
    <w:rsid w:val="00BF5956"/>
    <w:rsid w:val="00BF7A5E"/>
    <w:rsid w:val="00BF7F9B"/>
    <w:rsid w:val="00C00E1A"/>
    <w:rsid w:val="00C02FB4"/>
    <w:rsid w:val="00C033AE"/>
    <w:rsid w:val="00C0564D"/>
    <w:rsid w:val="00C0725D"/>
    <w:rsid w:val="00C07974"/>
    <w:rsid w:val="00C10292"/>
    <w:rsid w:val="00C10982"/>
    <w:rsid w:val="00C124BD"/>
    <w:rsid w:val="00C13772"/>
    <w:rsid w:val="00C13FFF"/>
    <w:rsid w:val="00C14682"/>
    <w:rsid w:val="00C15C65"/>
    <w:rsid w:val="00C16C72"/>
    <w:rsid w:val="00C16CDB"/>
    <w:rsid w:val="00C170A7"/>
    <w:rsid w:val="00C172DC"/>
    <w:rsid w:val="00C17479"/>
    <w:rsid w:val="00C175E3"/>
    <w:rsid w:val="00C2089F"/>
    <w:rsid w:val="00C20B10"/>
    <w:rsid w:val="00C24510"/>
    <w:rsid w:val="00C24FE9"/>
    <w:rsid w:val="00C261F8"/>
    <w:rsid w:val="00C30404"/>
    <w:rsid w:val="00C30631"/>
    <w:rsid w:val="00C30A25"/>
    <w:rsid w:val="00C30C6D"/>
    <w:rsid w:val="00C30EB9"/>
    <w:rsid w:val="00C31538"/>
    <w:rsid w:val="00C31B88"/>
    <w:rsid w:val="00C31EE1"/>
    <w:rsid w:val="00C330C4"/>
    <w:rsid w:val="00C331CB"/>
    <w:rsid w:val="00C346D8"/>
    <w:rsid w:val="00C34C14"/>
    <w:rsid w:val="00C35CA0"/>
    <w:rsid w:val="00C375DA"/>
    <w:rsid w:val="00C41850"/>
    <w:rsid w:val="00C432B7"/>
    <w:rsid w:val="00C43572"/>
    <w:rsid w:val="00C43B2B"/>
    <w:rsid w:val="00C443CA"/>
    <w:rsid w:val="00C44D1B"/>
    <w:rsid w:val="00C45374"/>
    <w:rsid w:val="00C45F1D"/>
    <w:rsid w:val="00C46B4A"/>
    <w:rsid w:val="00C470F8"/>
    <w:rsid w:val="00C47DF9"/>
    <w:rsid w:val="00C5025B"/>
    <w:rsid w:val="00C520AF"/>
    <w:rsid w:val="00C535AB"/>
    <w:rsid w:val="00C53827"/>
    <w:rsid w:val="00C53DFA"/>
    <w:rsid w:val="00C54242"/>
    <w:rsid w:val="00C5445A"/>
    <w:rsid w:val="00C551FE"/>
    <w:rsid w:val="00C57293"/>
    <w:rsid w:val="00C57994"/>
    <w:rsid w:val="00C60627"/>
    <w:rsid w:val="00C62CA1"/>
    <w:rsid w:val="00C62CC4"/>
    <w:rsid w:val="00C63148"/>
    <w:rsid w:val="00C6441F"/>
    <w:rsid w:val="00C64C14"/>
    <w:rsid w:val="00C66B8C"/>
    <w:rsid w:val="00C708BF"/>
    <w:rsid w:val="00C726BC"/>
    <w:rsid w:val="00C73783"/>
    <w:rsid w:val="00C73BB6"/>
    <w:rsid w:val="00C74024"/>
    <w:rsid w:val="00C74AE4"/>
    <w:rsid w:val="00C74DC5"/>
    <w:rsid w:val="00C76B95"/>
    <w:rsid w:val="00C76C9E"/>
    <w:rsid w:val="00C77350"/>
    <w:rsid w:val="00C77A55"/>
    <w:rsid w:val="00C77DCC"/>
    <w:rsid w:val="00C8005F"/>
    <w:rsid w:val="00C802EF"/>
    <w:rsid w:val="00C80501"/>
    <w:rsid w:val="00C80512"/>
    <w:rsid w:val="00C80733"/>
    <w:rsid w:val="00C81642"/>
    <w:rsid w:val="00C81A31"/>
    <w:rsid w:val="00C823B1"/>
    <w:rsid w:val="00C84324"/>
    <w:rsid w:val="00C84C38"/>
    <w:rsid w:val="00C8781D"/>
    <w:rsid w:val="00C87B08"/>
    <w:rsid w:val="00C87E19"/>
    <w:rsid w:val="00C90656"/>
    <w:rsid w:val="00C91633"/>
    <w:rsid w:val="00C91B6F"/>
    <w:rsid w:val="00C92A97"/>
    <w:rsid w:val="00C942A9"/>
    <w:rsid w:val="00C97A50"/>
    <w:rsid w:val="00C97B63"/>
    <w:rsid w:val="00C97B64"/>
    <w:rsid w:val="00CA0477"/>
    <w:rsid w:val="00CA04A4"/>
    <w:rsid w:val="00CA0E1A"/>
    <w:rsid w:val="00CA1FC4"/>
    <w:rsid w:val="00CA2273"/>
    <w:rsid w:val="00CA2531"/>
    <w:rsid w:val="00CA30F8"/>
    <w:rsid w:val="00CA4D27"/>
    <w:rsid w:val="00CA60B6"/>
    <w:rsid w:val="00CA7C78"/>
    <w:rsid w:val="00CB060C"/>
    <w:rsid w:val="00CB1601"/>
    <w:rsid w:val="00CB3184"/>
    <w:rsid w:val="00CB3556"/>
    <w:rsid w:val="00CB3AC2"/>
    <w:rsid w:val="00CB5910"/>
    <w:rsid w:val="00CB6A66"/>
    <w:rsid w:val="00CB6C6D"/>
    <w:rsid w:val="00CB6F62"/>
    <w:rsid w:val="00CB7D1C"/>
    <w:rsid w:val="00CB7E4E"/>
    <w:rsid w:val="00CC2613"/>
    <w:rsid w:val="00CC2968"/>
    <w:rsid w:val="00CC2C49"/>
    <w:rsid w:val="00CC4978"/>
    <w:rsid w:val="00CC4EE6"/>
    <w:rsid w:val="00CC625F"/>
    <w:rsid w:val="00CC6B8C"/>
    <w:rsid w:val="00CC72A3"/>
    <w:rsid w:val="00CD0F48"/>
    <w:rsid w:val="00CD1C54"/>
    <w:rsid w:val="00CD2077"/>
    <w:rsid w:val="00CD3F21"/>
    <w:rsid w:val="00CD45C8"/>
    <w:rsid w:val="00CD4F6B"/>
    <w:rsid w:val="00CD5DF7"/>
    <w:rsid w:val="00CD72AC"/>
    <w:rsid w:val="00CE0A73"/>
    <w:rsid w:val="00CE0EA5"/>
    <w:rsid w:val="00CE1572"/>
    <w:rsid w:val="00CE1E44"/>
    <w:rsid w:val="00CE279F"/>
    <w:rsid w:val="00CE3318"/>
    <w:rsid w:val="00CE3525"/>
    <w:rsid w:val="00CE3CE2"/>
    <w:rsid w:val="00CE3E81"/>
    <w:rsid w:val="00CE4729"/>
    <w:rsid w:val="00CE55BE"/>
    <w:rsid w:val="00CE5A74"/>
    <w:rsid w:val="00CF0D78"/>
    <w:rsid w:val="00CF10E7"/>
    <w:rsid w:val="00CF170E"/>
    <w:rsid w:val="00CF2CA1"/>
    <w:rsid w:val="00CF2D7C"/>
    <w:rsid w:val="00CF4A24"/>
    <w:rsid w:val="00CF54F6"/>
    <w:rsid w:val="00CF5F92"/>
    <w:rsid w:val="00CF68CA"/>
    <w:rsid w:val="00CF717E"/>
    <w:rsid w:val="00CF76B9"/>
    <w:rsid w:val="00CF77CF"/>
    <w:rsid w:val="00CF7EF6"/>
    <w:rsid w:val="00D007FB"/>
    <w:rsid w:val="00D020CB"/>
    <w:rsid w:val="00D026EE"/>
    <w:rsid w:val="00D029C1"/>
    <w:rsid w:val="00D031F0"/>
    <w:rsid w:val="00D03300"/>
    <w:rsid w:val="00D035E9"/>
    <w:rsid w:val="00D048FF"/>
    <w:rsid w:val="00D05CA6"/>
    <w:rsid w:val="00D06015"/>
    <w:rsid w:val="00D063E7"/>
    <w:rsid w:val="00D068FA"/>
    <w:rsid w:val="00D06CD2"/>
    <w:rsid w:val="00D07CA5"/>
    <w:rsid w:val="00D07D2B"/>
    <w:rsid w:val="00D10449"/>
    <w:rsid w:val="00D1054B"/>
    <w:rsid w:val="00D10A29"/>
    <w:rsid w:val="00D11F76"/>
    <w:rsid w:val="00D12A9C"/>
    <w:rsid w:val="00D13A90"/>
    <w:rsid w:val="00D14429"/>
    <w:rsid w:val="00D14838"/>
    <w:rsid w:val="00D17D95"/>
    <w:rsid w:val="00D1EC9C"/>
    <w:rsid w:val="00D21463"/>
    <w:rsid w:val="00D21CF2"/>
    <w:rsid w:val="00D2301A"/>
    <w:rsid w:val="00D2344A"/>
    <w:rsid w:val="00D238D0"/>
    <w:rsid w:val="00D24229"/>
    <w:rsid w:val="00D255B2"/>
    <w:rsid w:val="00D26BB0"/>
    <w:rsid w:val="00D315F2"/>
    <w:rsid w:val="00D322D7"/>
    <w:rsid w:val="00D3300B"/>
    <w:rsid w:val="00D3399A"/>
    <w:rsid w:val="00D35544"/>
    <w:rsid w:val="00D3584A"/>
    <w:rsid w:val="00D35CD3"/>
    <w:rsid w:val="00D36411"/>
    <w:rsid w:val="00D37077"/>
    <w:rsid w:val="00D378DC"/>
    <w:rsid w:val="00D4059C"/>
    <w:rsid w:val="00D42090"/>
    <w:rsid w:val="00D42BDF"/>
    <w:rsid w:val="00D43AA2"/>
    <w:rsid w:val="00D46A11"/>
    <w:rsid w:val="00D470F8"/>
    <w:rsid w:val="00D47445"/>
    <w:rsid w:val="00D502CA"/>
    <w:rsid w:val="00D514A4"/>
    <w:rsid w:val="00D51786"/>
    <w:rsid w:val="00D52F5E"/>
    <w:rsid w:val="00D54EA5"/>
    <w:rsid w:val="00D560DD"/>
    <w:rsid w:val="00D5709E"/>
    <w:rsid w:val="00D602ED"/>
    <w:rsid w:val="00D61781"/>
    <w:rsid w:val="00D61827"/>
    <w:rsid w:val="00D6318E"/>
    <w:rsid w:val="00D670C6"/>
    <w:rsid w:val="00D70EA4"/>
    <w:rsid w:val="00D724AC"/>
    <w:rsid w:val="00D72C02"/>
    <w:rsid w:val="00D73429"/>
    <w:rsid w:val="00D77CAF"/>
    <w:rsid w:val="00D8112F"/>
    <w:rsid w:val="00D812D9"/>
    <w:rsid w:val="00D83653"/>
    <w:rsid w:val="00D84D65"/>
    <w:rsid w:val="00D8564D"/>
    <w:rsid w:val="00D85C15"/>
    <w:rsid w:val="00D86C43"/>
    <w:rsid w:val="00D872D0"/>
    <w:rsid w:val="00D90109"/>
    <w:rsid w:val="00D90AB9"/>
    <w:rsid w:val="00D91177"/>
    <w:rsid w:val="00D913E2"/>
    <w:rsid w:val="00D9344B"/>
    <w:rsid w:val="00D949B1"/>
    <w:rsid w:val="00D95B20"/>
    <w:rsid w:val="00D96972"/>
    <w:rsid w:val="00D9705A"/>
    <w:rsid w:val="00D974FC"/>
    <w:rsid w:val="00D97693"/>
    <w:rsid w:val="00DA16B5"/>
    <w:rsid w:val="00DA2711"/>
    <w:rsid w:val="00DA2B27"/>
    <w:rsid w:val="00DA58EC"/>
    <w:rsid w:val="00DA5FFB"/>
    <w:rsid w:val="00DA64FE"/>
    <w:rsid w:val="00DA6593"/>
    <w:rsid w:val="00DA70B9"/>
    <w:rsid w:val="00DA7679"/>
    <w:rsid w:val="00DA7B24"/>
    <w:rsid w:val="00DB2B02"/>
    <w:rsid w:val="00DB3E5F"/>
    <w:rsid w:val="00DB507A"/>
    <w:rsid w:val="00DB54DE"/>
    <w:rsid w:val="00DB5CEB"/>
    <w:rsid w:val="00DB614C"/>
    <w:rsid w:val="00DB6813"/>
    <w:rsid w:val="00DC1B42"/>
    <w:rsid w:val="00DC2D40"/>
    <w:rsid w:val="00DC3D81"/>
    <w:rsid w:val="00DC41FC"/>
    <w:rsid w:val="00DC4665"/>
    <w:rsid w:val="00DC5424"/>
    <w:rsid w:val="00DC562D"/>
    <w:rsid w:val="00DD1005"/>
    <w:rsid w:val="00DD1B7F"/>
    <w:rsid w:val="00DD2295"/>
    <w:rsid w:val="00DD24DA"/>
    <w:rsid w:val="00DD357A"/>
    <w:rsid w:val="00DD386E"/>
    <w:rsid w:val="00DD4148"/>
    <w:rsid w:val="00DD45F4"/>
    <w:rsid w:val="00DD6FD0"/>
    <w:rsid w:val="00DD762B"/>
    <w:rsid w:val="00DE0AFA"/>
    <w:rsid w:val="00DE19DF"/>
    <w:rsid w:val="00DE5FB8"/>
    <w:rsid w:val="00DE6F21"/>
    <w:rsid w:val="00DE6F41"/>
    <w:rsid w:val="00DE7898"/>
    <w:rsid w:val="00DF02CC"/>
    <w:rsid w:val="00DF05FF"/>
    <w:rsid w:val="00DF1E42"/>
    <w:rsid w:val="00DF259F"/>
    <w:rsid w:val="00DF2673"/>
    <w:rsid w:val="00DF2B4B"/>
    <w:rsid w:val="00DF3BC5"/>
    <w:rsid w:val="00DF42F5"/>
    <w:rsid w:val="00DF4446"/>
    <w:rsid w:val="00DF50B6"/>
    <w:rsid w:val="00DF61AA"/>
    <w:rsid w:val="00DF6F05"/>
    <w:rsid w:val="00E00C57"/>
    <w:rsid w:val="00E0163F"/>
    <w:rsid w:val="00E017DA"/>
    <w:rsid w:val="00E052D7"/>
    <w:rsid w:val="00E10233"/>
    <w:rsid w:val="00E105EE"/>
    <w:rsid w:val="00E11B1A"/>
    <w:rsid w:val="00E12266"/>
    <w:rsid w:val="00E1287A"/>
    <w:rsid w:val="00E13784"/>
    <w:rsid w:val="00E13B59"/>
    <w:rsid w:val="00E144B7"/>
    <w:rsid w:val="00E15A55"/>
    <w:rsid w:val="00E17769"/>
    <w:rsid w:val="00E21A3F"/>
    <w:rsid w:val="00E223EF"/>
    <w:rsid w:val="00E240F8"/>
    <w:rsid w:val="00E24907"/>
    <w:rsid w:val="00E24ED7"/>
    <w:rsid w:val="00E25485"/>
    <w:rsid w:val="00E273FA"/>
    <w:rsid w:val="00E27ACA"/>
    <w:rsid w:val="00E27CD1"/>
    <w:rsid w:val="00E304C7"/>
    <w:rsid w:val="00E310E6"/>
    <w:rsid w:val="00E32BDD"/>
    <w:rsid w:val="00E3496D"/>
    <w:rsid w:val="00E34FA4"/>
    <w:rsid w:val="00E35351"/>
    <w:rsid w:val="00E36339"/>
    <w:rsid w:val="00E376F9"/>
    <w:rsid w:val="00E37923"/>
    <w:rsid w:val="00E379D4"/>
    <w:rsid w:val="00E37EF1"/>
    <w:rsid w:val="00E40352"/>
    <w:rsid w:val="00E403B4"/>
    <w:rsid w:val="00E40B31"/>
    <w:rsid w:val="00E40E3C"/>
    <w:rsid w:val="00E410A8"/>
    <w:rsid w:val="00E41679"/>
    <w:rsid w:val="00E41948"/>
    <w:rsid w:val="00E4275D"/>
    <w:rsid w:val="00E42EF3"/>
    <w:rsid w:val="00E42F54"/>
    <w:rsid w:val="00E4380A"/>
    <w:rsid w:val="00E44912"/>
    <w:rsid w:val="00E44EA8"/>
    <w:rsid w:val="00E46046"/>
    <w:rsid w:val="00E46401"/>
    <w:rsid w:val="00E47395"/>
    <w:rsid w:val="00E47625"/>
    <w:rsid w:val="00E47B1E"/>
    <w:rsid w:val="00E47D33"/>
    <w:rsid w:val="00E500E5"/>
    <w:rsid w:val="00E50D03"/>
    <w:rsid w:val="00E519C7"/>
    <w:rsid w:val="00E51DE8"/>
    <w:rsid w:val="00E51F76"/>
    <w:rsid w:val="00E5203F"/>
    <w:rsid w:val="00E5299C"/>
    <w:rsid w:val="00E53620"/>
    <w:rsid w:val="00E548E4"/>
    <w:rsid w:val="00E54B83"/>
    <w:rsid w:val="00E54DEF"/>
    <w:rsid w:val="00E55295"/>
    <w:rsid w:val="00E557B3"/>
    <w:rsid w:val="00E567B5"/>
    <w:rsid w:val="00E60004"/>
    <w:rsid w:val="00E603FB"/>
    <w:rsid w:val="00E60D1E"/>
    <w:rsid w:val="00E60D92"/>
    <w:rsid w:val="00E6198B"/>
    <w:rsid w:val="00E619DF"/>
    <w:rsid w:val="00E61F96"/>
    <w:rsid w:val="00E61FE7"/>
    <w:rsid w:val="00E640EC"/>
    <w:rsid w:val="00E64191"/>
    <w:rsid w:val="00E64762"/>
    <w:rsid w:val="00E64BBF"/>
    <w:rsid w:val="00E67850"/>
    <w:rsid w:val="00E67B94"/>
    <w:rsid w:val="00E7110B"/>
    <w:rsid w:val="00E71360"/>
    <w:rsid w:val="00E71369"/>
    <w:rsid w:val="00E73116"/>
    <w:rsid w:val="00E75D59"/>
    <w:rsid w:val="00E76628"/>
    <w:rsid w:val="00E76AFD"/>
    <w:rsid w:val="00E7767D"/>
    <w:rsid w:val="00E805AD"/>
    <w:rsid w:val="00E80633"/>
    <w:rsid w:val="00E818D0"/>
    <w:rsid w:val="00E81CEE"/>
    <w:rsid w:val="00E82272"/>
    <w:rsid w:val="00E8284C"/>
    <w:rsid w:val="00E83C8D"/>
    <w:rsid w:val="00E85D4A"/>
    <w:rsid w:val="00E861BD"/>
    <w:rsid w:val="00E879F8"/>
    <w:rsid w:val="00E9008C"/>
    <w:rsid w:val="00E90230"/>
    <w:rsid w:val="00E924CC"/>
    <w:rsid w:val="00E92CB7"/>
    <w:rsid w:val="00E93A04"/>
    <w:rsid w:val="00E93ECB"/>
    <w:rsid w:val="00E944A8"/>
    <w:rsid w:val="00E950D9"/>
    <w:rsid w:val="00E953C3"/>
    <w:rsid w:val="00E9631C"/>
    <w:rsid w:val="00E96E48"/>
    <w:rsid w:val="00E978BC"/>
    <w:rsid w:val="00EA284F"/>
    <w:rsid w:val="00EA3DD4"/>
    <w:rsid w:val="00EA3FEA"/>
    <w:rsid w:val="00EA427A"/>
    <w:rsid w:val="00EA668A"/>
    <w:rsid w:val="00EA7C80"/>
    <w:rsid w:val="00EA7D62"/>
    <w:rsid w:val="00EA7FA7"/>
    <w:rsid w:val="00EA7FF5"/>
    <w:rsid w:val="00EB08D5"/>
    <w:rsid w:val="00EB2650"/>
    <w:rsid w:val="00EB2ADC"/>
    <w:rsid w:val="00EB2D2C"/>
    <w:rsid w:val="00EB3EC4"/>
    <w:rsid w:val="00EB5202"/>
    <w:rsid w:val="00EB7B9F"/>
    <w:rsid w:val="00EC088C"/>
    <w:rsid w:val="00EC2349"/>
    <w:rsid w:val="00EC50BF"/>
    <w:rsid w:val="00EC6A50"/>
    <w:rsid w:val="00EC75FC"/>
    <w:rsid w:val="00ED0624"/>
    <w:rsid w:val="00ED0AD9"/>
    <w:rsid w:val="00ED2858"/>
    <w:rsid w:val="00ED2EE2"/>
    <w:rsid w:val="00ED3115"/>
    <w:rsid w:val="00ED3AF4"/>
    <w:rsid w:val="00ED3AFB"/>
    <w:rsid w:val="00ED5BCB"/>
    <w:rsid w:val="00ED5E53"/>
    <w:rsid w:val="00ED7BA4"/>
    <w:rsid w:val="00EE08C4"/>
    <w:rsid w:val="00EE18DD"/>
    <w:rsid w:val="00EE22E0"/>
    <w:rsid w:val="00EE2C2D"/>
    <w:rsid w:val="00EE374B"/>
    <w:rsid w:val="00EE4182"/>
    <w:rsid w:val="00EE41AA"/>
    <w:rsid w:val="00EE551E"/>
    <w:rsid w:val="00EE6BB5"/>
    <w:rsid w:val="00EF0F48"/>
    <w:rsid w:val="00EF0FE3"/>
    <w:rsid w:val="00EF1638"/>
    <w:rsid w:val="00EF2618"/>
    <w:rsid w:val="00EF31E1"/>
    <w:rsid w:val="00EF3D93"/>
    <w:rsid w:val="00EF46BB"/>
    <w:rsid w:val="00EF4954"/>
    <w:rsid w:val="00EF4E2D"/>
    <w:rsid w:val="00EF6BD7"/>
    <w:rsid w:val="00EF74A9"/>
    <w:rsid w:val="00F009B6"/>
    <w:rsid w:val="00F03226"/>
    <w:rsid w:val="00F03824"/>
    <w:rsid w:val="00F04671"/>
    <w:rsid w:val="00F050C3"/>
    <w:rsid w:val="00F05332"/>
    <w:rsid w:val="00F053E6"/>
    <w:rsid w:val="00F05783"/>
    <w:rsid w:val="00F06AF2"/>
    <w:rsid w:val="00F07BD0"/>
    <w:rsid w:val="00F07D7D"/>
    <w:rsid w:val="00F10DF2"/>
    <w:rsid w:val="00F11C04"/>
    <w:rsid w:val="00F12029"/>
    <w:rsid w:val="00F122F8"/>
    <w:rsid w:val="00F13D3F"/>
    <w:rsid w:val="00F1719E"/>
    <w:rsid w:val="00F1742F"/>
    <w:rsid w:val="00F179AB"/>
    <w:rsid w:val="00F224F6"/>
    <w:rsid w:val="00F244CE"/>
    <w:rsid w:val="00F24F5B"/>
    <w:rsid w:val="00F2551F"/>
    <w:rsid w:val="00F25586"/>
    <w:rsid w:val="00F25CC4"/>
    <w:rsid w:val="00F26026"/>
    <w:rsid w:val="00F26215"/>
    <w:rsid w:val="00F2774C"/>
    <w:rsid w:val="00F300B2"/>
    <w:rsid w:val="00F32C51"/>
    <w:rsid w:val="00F334F3"/>
    <w:rsid w:val="00F34E7D"/>
    <w:rsid w:val="00F35121"/>
    <w:rsid w:val="00F35F0C"/>
    <w:rsid w:val="00F42D52"/>
    <w:rsid w:val="00F4789B"/>
    <w:rsid w:val="00F47B26"/>
    <w:rsid w:val="00F502FD"/>
    <w:rsid w:val="00F51B71"/>
    <w:rsid w:val="00F529FB"/>
    <w:rsid w:val="00F5453F"/>
    <w:rsid w:val="00F550F7"/>
    <w:rsid w:val="00F5628B"/>
    <w:rsid w:val="00F569D4"/>
    <w:rsid w:val="00F56DE3"/>
    <w:rsid w:val="00F57470"/>
    <w:rsid w:val="00F57BAD"/>
    <w:rsid w:val="00F57EE4"/>
    <w:rsid w:val="00F600B4"/>
    <w:rsid w:val="00F6029A"/>
    <w:rsid w:val="00F60E1C"/>
    <w:rsid w:val="00F615FC"/>
    <w:rsid w:val="00F617F4"/>
    <w:rsid w:val="00F6276F"/>
    <w:rsid w:val="00F63758"/>
    <w:rsid w:val="00F639BC"/>
    <w:rsid w:val="00F650B5"/>
    <w:rsid w:val="00F65107"/>
    <w:rsid w:val="00F65139"/>
    <w:rsid w:val="00F65FAC"/>
    <w:rsid w:val="00F661BD"/>
    <w:rsid w:val="00F66AD3"/>
    <w:rsid w:val="00F66F42"/>
    <w:rsid w:val="00F6755B"/>
    <w:rsid w:val="00F6758D"/>
    <w:rsid w:val="00F72733"/>
    <w:rsid w:val="00F72812"/>
    <w:rsid w:val="00F72D1D"/>
    <w:rsid w:val="00F7371F"/>
    <w:rsid w:val="00F74129"/>
    <w:rsid w:val="00F74B57"/>
    <w:rsid w:val="00F74B5F"/>
    <w:rsid w:val="00F7516F"/>
    <w:rsid w:val="00F76627"/>
    <w:rsid w:val="00F76EFD"/>
    <w:rsid w:val="00F7717A"/>
    <w:rsid w:val="00F7758D"/>
    <w:rsid w:val="00F823DA"/>
    <w:rsid w:val="00F85717"/>
    <w:rsid w:val="00F86057"/>
    <w:rsid w:val="00F87056"/>
    <w:rsid w:val="00F874F1"/>
    <w:rsid w:val="00F8760A"/>
    <w:rsid w:val="00F87D67"/>
    <w:rsid w:val="00F904A5"/>
    <w:rsid w:val="00F907EF"/>
    <w:rsid w:val="00F93C46"/>
    <w:rsid w:val="00F93FD9"/>
    <w:rsid w:val="00F9614D"/>
    <w:rsid w:val="00F97B4D"/>
    <w:rsid w:val="00FA1EE6"/>
    <w:rsid w:val="00FA1F7D"/>
    <w:rsid w:val="00FA25A7"/>
    <w:rsid w:val="00FA301C"/>
    <w:rsid w:val="00FA49CB"/>
    <w:rsid w:val="00FA4FB7"/>
    <w:rsid w:val="00FA595E"/>
    <w:rsid w:val="00FA5C47"/>
    <w:rsid w:val="00FA5C49"/>
    <w:rsid w:val="00FA71B5"/>
    <w:rsid w:val="00FB05C6"/>
    <w:rsid w:val="00FB0E40"/>
    <w:rsid w:val="00FB0FD2"/>
    <w:rsid w:val="00FB1069"/>
    <w:rsid w:val="00FB2330"/>
    <w:rsid w:val="00FB3423"/>
    <w:rsid w:val="00FB470F"/>
    <w:rsid w:val="00FB6E03"/>
    <w:rsid w:val="00FC07A7"/>
    <w:rsid w:val="00FC15C0"/>
    <w:rsid w:val="00FC2A47"/>
    <w:rsid w:val="00FC317D"/>
    <w:rsid w:val="00FC362B"/>
    <w:rsid w:val="00FC4CAD"/>
    <w:rsid w:val="00FC4F0E"/>
    <w:rsid w:val="00FC560F"/>
    <w:rsid w:val="00FC7254"/>
    <w:rsid w:val="00FC7790"/>
    <w:rsid w:val="00FC799A"/>
    <w:rsid w:val="00FD1034"/>
    <w:rsid w:val="00FD1D9B"/>
    <w:rsid w:val="00FD1EC0"/>
    <w:rsid w:val="00FD2F31"/>
    <w:rsid w:val="00FD3284"/>
    <w:rsid w:val="00FD3F4C"/>
    <w:rsid w:val="00FD4540"/>
    <w:rsid w:val="00FD5710"/>
    <w:rsid w:val="00FD6780"/>
    <w:rsid w:val="00FD6E93"/>
    <w:rsid w:val="00FD75E7"/>
    <w:rsid w:val="00FD795C"/>
    <w:rsid w:val="00FD7C67"/>
    <w:rsid w:val="00FE033F"/>
    <w:rsid w:val="00FE102D"/>
    <w:rsid w:val="00FE190C"/>
    <w:rsid w:val="00FE2005"/>
    <w:rsid w:val="00FE2071"/>
    <w:rsid w:val="00FE23BC"/>
    <w:rsid w:val="00FE2BEC"/>
    <w:rsid w:val="00FE35F1"/>
    <w:rsid w:val="00FE3F49"/>
    <w:rsid w:val="00FE41C5"/>
    <w:rsid w:val="00FE4B21"/>
    <w:rsid w:val="00FE7522"/>
    <w:rsid w:val="00FF13FC"/>
    <w:rsid w:val="00FF16DC"/>
    <w:rsid w:val="00FF231B"/>
    <w:rsid w:val="00FF4C99"/>
    <w:rsid w:val="00FF5589"/>
    <w:rsid w:val="00FF603E"/>
    <w:rsid w:val="00FF6286"/>
    <w:rsid w:val="00FF7019"/>
    <w:rsid w:val="00FF78F3"/>
    <w:rsid w:val="00FF7D78"/>
    <w:rsid w:val="00FF7DA9"/>
    <w:rsid w:val="0101C794"/>
    <w:rsid w:val="010409AE"/>
    <w:rsid w:val="0108D0E8"/>
    <w:rsid w:val="01A0D3D0"/>
    <w:rsid w:val="01A567E4"/>
    <w:rsid w:val="01B81A55"/>
    <w:rsid w:val="01CC8697"/>
    <w:rsid w:val="01E92A94"/>
    <w:rsid w:val="01F8E23F"/>
    <w:rsid w:val="02B6164B"/>
    <w:rsid w:val="02B8255E"/>
    <w:rsid w:val="02BF8A04"/>
    <w:rsid w:val="02C16DED"/>
    <w:rsid w:val="03203977"/>
    <w:rsid w:val="0338231A"/>
    <w:rsid w:val="038A96EB"/>
    <w:rsid w:val="03D4F879"/>
    <w:rsid w:val="0449A55D"/>
    <w:rsid w:val="044E231F"/>
    <w:rsid w:val="04928554"/>
    <w:rsid w:val="04AFB2E0"/>
    <w:rsid w:val="04BC65A0"/>
    <w:rsid w:val="053B13B7"/>
    <w:rsid w:val="05870F3D"/>
    <w:rsid w:val="0587EA44"/>
    <w:rsid w:val="05CD1B9B"/>
    <w:rsid w:val="05E1784A"/>
    <w:rsid w:val="05F8EFBE"/>
    <w:rsid w:val="0637C40E"/>
    <w:rsid w:val="06380ADA"/>
    <w:rsid w:val="064FF452"/>
    <w:rsid w:val="0655F2E9"/>
    <w:rsid w:val="06581F4B"/>
    <w:rsid w:val="066C59B7"/>
    <w:rsid w:val="06BCFBB2"/>
    <w:rsid w:val="06BF788D"/>
    <w:rsid w:val="06F10D39"/>
    <w:rsid w:val="073D25B4"/>
    <w:rsid w:val="0759069D"/>
    <w:rsid w:val="078DFC86"/>
    <w:rsid w:val="079AB1D4"/>
    <w:rsid w:val="07BDF3B0"/>
    <w:rsid w:val="07D2ECFA"/>
    <w:rsid w:val="07F2B86B"/>
    <w:rsid w:val="08A1FD0B"/>
    <w:rsid w:val="08A709F4"/>
    <w:rsid w:val="08B1CB9B"/>
    <w:rsid w:val="08E3A4B5"/>
    <w:rsid w:val="08ECCB55"/>
    <w:rsid w:val="08F0F8CF"/>
    <w:rsid w:val="08FD0921"/>
    <w:rsid w:val="0908CF10"/>
    <w:rsid w:val="0944A2CF"/>
    <w:rsid w:val="099E1211"/>
    <w:rsid w:val="09F26A3F"/>
    <w:rsid w:val="0A32E38D"/>
    <w:rsid w:val="0A4FFF64"/>
    <w:rsid w:val="0A573CC5"/>
    <w:rsid w:val="0AC2DEDD"/>
    <w:rsid w:val="0AC82DA5"/>
    <w:rsid w:val="0ADC9087"/>
    <w:rsid w:val="0ADE54E7"/>
    <w:rsid w:val="0ADF2325"/>
    <w:rsid w:val="0B3DB7ED"/>
    <w:rsid w:val="0B60C72E"/>
    <w:rsid w:val="0B756783"/>
    <w:rsid w:val="0B950B5A"/>
    <w:rsid w:val="0BA32F27"/>
    <w:rsid w:val="0BC65FDB"/>
    <w:rsid w:val="0BCAC2CA"/>
    <w:rsid w:val="0BFB66A0"/>
    <w:rsid w:val="0C04AE60"/>
    <w:rsid w:val="0C19B5D3"/>
    <w:rsid w:val="0C2643A1"/>
    <w:rsid w:val="0C38C58D"/>
    <w:rsid w:val="0C82BCC5"/>
    <w:rsid w:val="0C957BA0"/>
    <w:rsid w:val="0C9A55FB"/>
    <w:rsid w:val="0CBA6E50"/>
    <w:rsid w:val="0CBFE062"/>
    <w:rsid w:val="0D0ECA67"/>
    <w:rsid w:val="0D209D7B"/>
    <w:rsid w:val="0D30321E"/>
    <w:rsid w:val="0D3E0CC2"/>
    <w:rsid w:val="0D4D129E"/>
    <w:rsid w:val="0D610FEF"/>
    <w:rsid w:val="0D83548E"/>
    <w:rsid w:val="0D9391F5"/>
    <w:rsid w:val="0DA04051"/>
    <w:rsid w:val="0DDDBC3A"/>
    <w:rsid w:val="0E0FC18F"/>
    <w:rsid w:val="0E17D169"/>
    <w:rsid w:val="0E8A7454"/>
    <w:rsid w:val="0EB39DAD"/>
    <w:rsid w:val="0F1EC961"/>
    <w:rsid w:val="0F2A35EE"/>
    <w:rsid w:val="0F5C074A"/>
    <w:rsid w:val="0F5E285B"/>
    <w:rsid w:val="0F683C1C"/>
    <w:rsid w:val="0F72113A"/>
    <w:rsid w:val="0F8BFEAA"/>
    <w:rsid w:val="0FD2AFDE"/>
    <w:rsid w:val="104E2A35"/>
    <w:rsid w:val="107BD151"/>
    <w:rsid w:val="10EF6FDB"/>
    <w:rsid w:val="10FD06F3"/>
    <w:rsid w:val="1131F1E3"/>
    <w:rsid w:val="11ABB410"/>
    <w:rsid w:val="11C0A99E"/>
    <w:rsid w:val="11DB0005"/>
    <w:rsid w:val="11F86ABC"/>
    <w:rsid w:val="1205CED5"/>
    <w:rsid w:val="12330198"/>
    <w:rsid w:val="12563CA2"/>
    <w:rsid w:val="12B5FA99"/>
    <w:rsid w:val="12F5CDAB"/>
    <w:rsid w:val="12F718D2"/>
    <w:rsid w:val="13108699"/>
    <w:rsid w:val="133196C3"/>
    <w:rsid w:val="13454B56"/>
    <w:rsid w:val="137BFDEB"/>
    <w:rsid w:val="13C409BC"/>
    <w:rsid w:val="13DE7D1F"/>
    <w:rsid w:val="14012677"/>
    <w:rsid w:val="14368044"/>
    <w:rsid w:val="144D172A"/>
    <w:rsid w:val="14737180"/>
    <w:rsid w:val="14840BA1"/>
    <w:rsid w:val="14F02A4C"/>
    <w:rsid w:val="15A8EE97"/>
    <w:rsid w:val="15B2F06E"/>
    <w:rsid w:val="15D0DB34"/>
    <w:rsid w:val="15E37BD1"/>
    <w:rsid w:val="1603DA6E"/>
    <w:rsid w:val="16160852"/>
    <w:rsid w:val="1618118C"/>
    <w:rsid w:val="166B23A6"/>
    <w:rsid w:val="16A20129"/>
    <w:rsid w:val="16A35907"/>
    <w:rsid w:val="1712BD33"/>
    <w:rsid w:val="17A0148B"/>
    <w:rsid w:val="184B5F7E"/>
    <w:rsid w:val="1863A86E"/>
    <w:rsid w:val="18860DFE"/>
    <w:rsid w:val="18934923"/>
    <w:rsid w:val="18F20C36"/>
    <w:rsid w:val="18FBA241"/>
    <w:rsid w:val="19035129"/>
    <w:rsid w:val="1975BD24"/>
    <w:rsid w:val="1993AC09"/>
    <w:rsid w:val="1A2207EF"/>
    <w:rsid w:val="1A2BA74F"/>
    <w:rsid w:val="1A406E12"/>
    <w:rsid w:val="1A83F49F"/>
    <w:rsid w:val="1A84A77C"/>
    <w:rsid w:val="1A894829"/>
    <w:rsid w:val="1A9AAA73"/>
    <w:rsid w:val="1AB6BF58"/>
    <w:rsid w:val="1AC92147"/>
    <w:rsid w:val="1AD28E48"/>
    <w:rsid w:val="1AE6205A"/>
    <w:rsid w:val="1AEBD88D"/>
    <w:rsid w:val="1AF5E50E"/>
    <w:rsid w:val="1B0A87C7"/>
    <w:rsid w:val="1B2EE176"/>
    <w:rsid w:val="1B335DE6"/>
    <w:rsid w:val="1B43B039"/>
    <w:rsid w:val="1B44F07C"/>
    <w:rsid w:val="1B6FBC76"/>
    <w:rsid w:val="1BA0A298"/>
    <w:rsid w:val="1BB1A697"/>
    <w:rsid w:val="1BC85EA2"/>
    <w:rsid w:val="1BCDA7BB"/>
    <w:rsid w:val="1BD37829"/>
    <w:rsid w:val="1C02312E"/>
    <w:rsid w:val="1C0F5DE9"/>
    <w:rsid w:val="1C390347"/>
    <w:rsid w:val="1CD99CD7"/>
    <w:rsid w:val="1CE6C5E1"/>
    <w:rsid w:val="1CF77C84"/>
    <w:rsid w:val="1D0CFF0C"/>
    <w:rsid w:val="1DB6B21F"/>
    <w:rsid w:val="1DBE829A"/>
    <w:rsid w:val="1DD3A2A9"/>
    <w:rsid w:val="1E3D8B61"/>
    <w:rsid w:val="1E755A3B"/>
    <w:rsid w:val="1E998014"/>
    <w:rsid w:val="1EA56B9C"/>
    <w:rsid w:val="1EC9F650"/>
    <w:rsid w:val="1EE160FC"/>
    <w:rsid w:val="1F17C919"/>
    <w:rsid w:val="1F39793E"/>
    <w:rsid w:val="1F4FF60B"/>
    <w:rsid w:val="1F6B6146"/>
    <w:rsid w:val="1F711D31"/>
    <w:rsid w:val="1F7C3C2F"/>
    <w:rsid w:val="1F80FF00"/>
    <w:rsid w:val="1F85F0C7"/>
    <w:rsid w:val="1FAE3479"/>
    <w:rsid w:val="1FE4C0BB"/>
    <w:rsid w:val="1FF69642"/>
    <w:rsid w:val="1FF9CEE6"/>
    <w:rsid w:val="201C7DBC"/>
    <w:rsid w:val="2021B3F3"/>
    <w:rsid w:val="209D3832"/>
    <w:rsid w:val="20B51893"/>
    <w:rsid w:val="20D1725D"/>
    <w:rsid w:val="20FB69F3"/>
    <w:rsid w:val="2105370D"/>
    <w:rsid w:val="214010AA"/>
    <w:rsid w:val="2143CDB8"/>
    <w:rsid w:val="215AC0A0"/>
    <w:rsid w:val="215C9235"/>
    <w:rsid w:val="216033D0"/>
    <w:rsid w:val="21851D4B"/>
    <w:rsid w:val="21AA641C"/>
    <w:rsid w:val="22118CB9"/>
    <w:rsid w:val="22130921"/>
    <w:rsid w:val="222846A9"/>
    <w:rsid w:val="22C86B0D"/>
    <w:rsid w:val="22FE8829"/>
    <w:rsid w:val="2303C944"/>
    <w:rsid w:val="232688EB"/>
    <w:rsid w:val="234E1EAB"/>
    <w:rsid w:val="2389F385"/>
    <w:rsid w:val="23970E3A"/>
    <w:rsid w:val="239944D5"/>
    <w:rsid w:val="23B7E147"/>
    <w:rsid w:val="23C2E529"/>
    <w:rsid w:val="244849A8"/>
    <w:rsid w:val="2452F0D2"/>
    <w:rsid w:val="245F5633"/>
    <w:rsid w:val="248A7AEC"/>
    <w:rsid w:val="24A00B6A"/>
    <w:rsid w:val="24A8D422"/>
    <w:rsid w:val="24DE4D65"/>
    <w:rsid w:val="254F13C7"/>
    <w:rsid w:val="25587365"/>
    <w:rsid w:val="25837A39"/>
    <w:rsid w:val="25C713CF"/>
    <w:rsid w:val="25D4DC15"/>
    <w:rsid w:val="25D8891A"/>
    <w:rsid w:val="262B1458"/>
    <w:rsid w:val="26501AB2"/>
    <w:rsid w:val="26580CA6"/>
    <w:rsid w:val="26588709"/>
    <w:rsid w:val="26724457"/>
    <w:rsid w:val="26A3A86F"/>
    <w:rsid w:val="26AF2A95"/>
    <w:rsid w:val="26DFBF5C"/>
    <w:rsid w:val="26F430F1"/>
    <w:rsid w:val="26F67610"/>
    <w:rsid w:val="271592B8"/>
    <w:rsid w:val="271B377C"/>
    <w:rsid w:val="2748A6A2"/>
    <w:rsid w:val="275513C3"/>
    <w:rsid w:val="27564B58"/>
    <w:rsid w:val="277925A8"/>
    <w:rsid w:val="2785A57E"/>
    <w:rsid w:val="278B414B"/>
    <w:rsid w:val="279C2465"/>
    <w:rsid w:val="27A9329D"/>
    <w:rsid w:val="27CD5B5B"/>
    <w:rsid w:val="27F2DE3D"/>
    <w:rsid w:val="28149295"/>
    <w:rsid w:val="2818D0BB"/>
    <w:rsid w:val="2828F754"/>
    <w:rsid w:val="284AD661"/>
    <w:rsid w:val="28907090"/>
    <w:rsid w:val="28B49C7E"/>
    <w:rsid w:val="28BB3160"/>
    <w:rsid w:val="28DFF754"/>
    <w:rsid w:val="29053CF3"/>
    <w:rsid w:val="2912C70D"/>
    <w:rsid w:val="29287735"/>
    <w:rsid w:val="2976FA45"/>
    <w:rsid w:val="298CE5AD"/>
    <w:rsid w:val="298F9C74"/>
    <w:rsid w:val="29E1ACF7"/>
    <w:rsid w:val="29EA4C12"/>
    <w:rsid w:val="2A01CA94"/>
    <w:rsid w:val="2A123543"/>
    <w:rsid w:val="2A7E0D10"/>
    <w:rsid w:val="2AB53DAE"/>
    <w:rsid w:val="2AB7E71B"/>
    <w:rsid w:val="2AC0759C"/>
    <w:rsid w:val="2AF970A4"/>
    <w:rsid w:val="2B16B04C"/>
    <w:rsid w:val="2B28278B"/>
    <w:rsid w:val="2B307CC5"/>
    <w:rsid w:val="2B6B48A2"/>
    <w:rsid w:val="2B7C0B7B"/>
    <w:rsid w:val="2B80EC07"/>
    <w:rsid w:val="2B8F959D"/>
    <w:rsid w:val="2B9A6E3A"/>
    <w:rsid w:val="2BC54FCF"/>
    <w:rsid w:val="2BFBEB99"/>
    <w:rsid w:val="2C17E51E"/>
    <w:rsid w:val="2C5E0A5A"/>
    <w:rsid w:val="2C822FF1"/>
    <w:rsid w:val="2C833AC8"/>
    <w:rsid w:val="2C9EBA9F"/>
    <w:rsid w:val="2CA66BDA"/>
    <w:rsid w:val="2CB4B2CB"/>
    <w:rsid w:val="2CB7ACDF"/>
    <w:rsid w:val="2D0C93E1"/>
    <w:rsid w:val="2D1EA116"/>
    <w:rsid w:val="2D619E61"/>
    <w:rsid w:val="2D72B82F"/>
    <w:rsid w:val="2DD4018D"/>
    <w:rsid w:val="2DDB94C0"/>
    <w:rsid w:val="2DFF8314"/>
    <w:rsid w:val="2E16AE14"/>
    <w:rsid w:val="2E355453"/>
    <w:rsid w:val="2E55A8A5"/>
    <w:rsid w:val="2E7D91D5"/>
    <w:rsid w:val="2E81F4C3"/>
    <w:rsid w:val="2EB765BF"/>
    <w:rsid w:val="2EFEA522"/>
    <w:rsid w:val="2F0E60D1"/>
    <w:rsid w:val="2F590609"/>
    <w:rsid w:val="2F69685D"/>
    <w:rsid w:val="2F6C3732"/>
    <w:rsid w:val="2FA45918"/>
    <w:rsid w:val="2FCE6EFC"/>
    <w:rsid w:val="30036E2A"/>
    <w:rsid w:val="30154FD5"/>
    <w:rsid w:val="302B50B0"/>
    <w:rsid w:val="3033FE9D"/>
    <w:rsid w:val="304F0793"/>
    <w:rsid w:val="305FA417"/>
    <w:rsid w:val="30820A0E"/>
    <w:rsid w:val="30B4F3A4"/>
    <w:rsid w:val="30C200E0"/>
    <w:rsid w:val="30CBD41C"/>
    <w:rsid w:val="30D76F2F"/>
    <w:rsid w:val="30F4C146"/>
    <w:rsid w:val="3101B317"/>
    <w:rsid w:val="312787E7"/>
    <w:rsid w:val="314921A4"/>
    <w:rsid w:val="31650A0C"/>
    <w:rsid w:val="317B01B4"/>
    <w:rsid w:val="31A32136"/>
    <w:rsid w:val="32249FC6"/>
    <w:rsid w:val="329CB5C2"/>
    <w:rsid w:val="32BB8AAF"/>
    <w:rsid w:val="32F0D3E7"/>
    <w:rsid w:val="3316AAFD"/>
    <w:rsid w:val="3338F70F"/>
    <w:rsid w:val="334E5ADA"/>
    <w:rsid w:val="3375C3C0"/>
    <w:rsid w:val="338A3969"/>
    <w:rsid w:val="33A5E63F"/>
    <w:rsid w:val="33AAFFF2"/>
    <w:rsid w:val="341C9396"/>
    <w:rsid w:val="34443105"/>
    <w:rsid w:val="34535608"/>
    <w:rsid w:val="347F0E03"/>
    <w:rsid w:val="349FC969"/>
    <w:rsid w:val="34BAC4A7"/>
    <w:rsid w:val="34C25B8E"/>
    <w:rsid w:val="34FF08E9"/>
    <w:rsid w:val="35364479"/>
    <w:rsid w:val="3553C0D0"/>
    <w:rsid w:val="358DD30A"/>
    <w:rsid w:val="35922B07"/>
    <w:rsid w:val="35B0FADC"/>
    <w:rsid w:val="35B2FE03"/>
    <w:rsid w:val="35BBA289"/>
    <w:rsid w:val="35CE3E8E"/>
    <w:rsid w:val="35D72EAA"/>
    <w:rsid w:val="35EB3632"/>
    <w:rsid w:val="361B59CD"/>
    <w:rsid w:val="36223178"/>
    <w:rsid w:val="3639C45A"/>
    <w:rsid w:val="365B6F19"/>
    <w:rsid w:val="36A2A9F3"/>
    <w:rsid w:val="36AE7FF1"/>
    <w:rsid w:val="36DB324F"/>
    <w:rsid w:val="36FDF06A"/>
    <w:rsid w:val="3705647F"/>
    <w:rsid w:val="371EB909"/>
    <w:rsid w:val="374F8C9A"/>
    <w:rsid w:val="374FA177"/>
    <w:rsid w:val="375DC2C9"/>
    <w:rsid w:val="377F5471"/>
    <w:rsid w:val="379C7A1F"/>
    <w:rsid w:val="37B327AE"/>
    <w:rsid w:val="37BB4973"/>
    <w:rsid w:val="37C41E61"/>
    <w:rsid w:val="3838DD37"/>
    <w:rsid w:val="38475E98"/>
    <w:rsid w:val="384939DB"/>
    <w:rsid w:val="385940D3"/>
    <w:rsid w:val="387C6B58"/>
    <w:rsid w:val="390A1892"/>
    <w:rsid w:val="3945F004"/>
    <w:rsid w:val="3959FFEA"/>
    <w:rsid w:val="39BF5664"/>
    <w:rsid w:val="3A1396FD"/>
    <w:rsid w:val="3A2D567E"/>
    <w:rsid w:val="3A43B320"/>
    <w:rsid w:val="3AF777B4"/>
    <w:rsid w:val="3B59AF03"/>
    <w:rsid w:val="3B5D1ED9"/>
    <w:rsid w:val="3B7B4431"/>
    <w:rsid w:val="3B8D97AE"/>
    <w:rsid w:val="3BB04573"/>
    <w:rsid w:val="3BB0A49F"/>
    <w:rsid w:val="3BC7E30F"/>
    <w:rsid w:val="3BCFF928"/>
    <w:rsid w:val="3BD5B3C7"/>
    <w:rsid w:val="3BD8E89A"/>
    <w:rsid w:val="3BECC643"/>
    <w:rsid w:val="3BF1F9A9"/>
    <w:rsid w:val="3C0A6921"/>
    <w:rsid w:val="3C3C5A17"/>
    <w:rsid w:val="3C5500E8"/>
    <w:rsid w:val="3C608F0D"/>
    <w:rsid w:val="3C8853D1"/>
    <w:rsid w:val="3CE6077F"/>
    <w:rsid w:val="3D23A827"/>
    <w:rsid w:val="3D256E91"/>
    <w:rsid w:val="3D308AAA"/>
    <w:rsid w:val="3D539218"/>
    <w:rsid w:val="3D56F6F7"/>
    <w:rsid w:val="3D628FC6"/>
    <w:rsid w:val="3DAD427F"/>
    <w:rsid w:val="3DCA0A18"/>
    <w:rsid w:val="3E25D9FF"/>
    <w:rsid w:val="3E573112"/>
    <w:rsid w:val="3E62D5B3"/>
    <w:rsid w:val="3E939B29"/>
    <w:rsid w:val="3EC1338C"/>
    <w:rsid w:val="3ED01DFE"/>
    <w:rsid w:val="3EE5A4A0"/>
    <w:rsid w:val="3EF01123"/>
    <w:rsid w:val="3F20B431"/>
    <w:rsid w:val="3F7DD1A6"/>
    <w:rsid w:val="3FBC285F"/>
    <w:rsid w:val="3FBCCF2E"/>
    <w:rsid w:val="3FC2F972"/>
    <w:rsid w:val="3FCC8717"/>
    <w:rsid w:val="3FDB0D40"/>
    <w:rsid w:val="3FE32E0C"/>
    <w:rsid w:val="3FF7AE46"/>
    <w:rsid w:val="40069A29"/>
    <w:rsid w:val="400B048D"/>
    <w:rsid w:val="40291274"/>
    <w:rsid w:val="407080D5"/>
    <w:rsid w:val="4092C6CB"/>
    <w:rsid w:val="40ACE76F"/>
    <w:rsid w:val="41207A0C"/>
    <w:rsid w:val="415136D7"/>
    <w:rsid w:val="41832803"/>
    <w:rsid w:val="419362F3"/>
    <w:rsid w:val="41B8A591"/>
    <w:rsid w:val="41C6D79C"/>
    <w:rsid w:val="41DAA3F8"/>
    <w:rsid w:val="41EBBC5F"/>
    <w:rsid w:val="4264280C"/>
    <w:rsid w:val="427AD092"/>
    <w:rsid w:val="427E055A"/>
    <w:rsid w:val="428A4251"/>
    <w:rsid w:val="428BB794"/>
    <w:rsid w:val="42C4DF26"/>
    <w:rsid w:val="42D7609C"/>
    <w:rsid w:val="42DB4458"/>
    <w:rsid w:val="42EF2292"/>
    <w:rsid w:val="43207307"/>
    <w:rsid w:val="4377BDAB"/>
    <w:rsid w:val="438BFEAC"/>
    <w:rsid w:val="43929B35"/>
    <w:rsid w:val="44200900"/>
    <w:rsid w:val="44282C7C"/>
    <w:rsid w:val="4473DE16"/>
    <w:rsid w:val="4477E404"/>
    <w:rsid w:val="44806FD5"/>
    <w:rsid w:val="4481AF07"/>
    <w:rsid w:val="450700BC"/>
    <w:rsid w:val="450A7D51"/>
    <w:rsid w:val="450B9226"/>
    <w:rsid w:val="45249F1C"/>
    <w:rsid w:val="4534D559"/>
    <w:rsid w:val="45501158"/>
    <w:rsid w:val="45697188"/>
    <w:rsid w:val="458F287C"/>
    <w:rsid w:val="45BAA1ED"/>
    <w:rsid w:val="45CCBD53"/>
    <w:rsid w:val="45F29883"/>
    <w:rsid w:val="45FB4811"/>
    <w:rsid w:val="46083621"/>
    <w:rsid w:val="46097D6D"/>
    <w:rsid w:val="4621F6BA"/>
    <w:rsid w:val="46285FE1"/>
    <w:rsid w:val="465CBD0F"/>
    <w:rsid w:val="46BF32FC"/>
    <w:rsid w:val="46CBD141"/>
    <w:rsid w:val="46DF9E3E"/>
    <w:rsid w:val="46E60ABA"/>
    <w:rsid w:val="470384D8"/>
    <w:rsid w:val="4708D768"/>
    <w:rsid w:val="470E0FD3"/>
    <w:rsid w:val="470FB2C4"/>
    <w:rsid w:val="4711B84F"/>
    <w:rsid w:val="47301F73"/>
    <w:rsid w:val="4777CDB4"/>
    <w:rsid w:val="479D85F1"/>
    <w:rsid w:val="47B1A55F"/>
    <w:rsid w:val="47B8F4F1"/>
    <w:rsid w:val="4804F9B3"/>
    <w:rsid w:val="48067E64"/>
    <w:rsid w:val="48233AC9"/>
    <w:rsid w:val="4859E328"/>
    <w:rsid w:val="487503F5"/>
    <w:rsid w:val="48B997E0"/>
    <w:rsid w:val="48CDCA71"/>
    <w:rsid w:val="48EA4AE0"/>
    <w:rsid w:val="48F39CC0"/>
    <w:rsid w:val="490DD142"/>
    <w:rsid w:val="492BD915"/>
    <w:rsid w:val="49872C06"/>
    <w:rsid w:val="49D63B89"/>
    <w:rsid w:val="49FB6668"/>
    <w:rsid w:val="4A453D17"/>
    <w:rsid w:val="4AC2E30A"/>
    <w:rsid w:val="4AD43116"/>
    <w:rsid w:val="4B11546F"/>
    <w:rsid w:val="4B1ADB8E"/>
    <w:rsid w:val="4B38B43D"/>
    <w:rsid w:val="4B40CC8C"/>
    <w:rsid w:val="4B6A15DD"/>
    <w:rsid w:val="4BA1DFA9"/>
    <w:rsid w:val="4C119A32"/>
    <w:rsid w:val="4C47EE1B"/>
    <w:rsid w:val="4C531B2E"/>
    <w:rsid w:val="4C5816A9"/>
    <w:rsid w:val="4C5AA265"/>
    <w:rsid w:val="4CE7FF07"/>
    <w:rsid w:val="4CF92051"/>
    <w:rsid w:val="4D0BA50F"/>
    <w:rsid w:val="4D1A856B"/>
    <w:rsid w:val="4D724B84"/>
    <w:rsid w:val="4D72DC7B"/>
    <w:rsid w:val="4D897322"/>
    <w:rsid w:val="4DA37B47"/>
    <w:rsid w:val="4DBD243A"/>
    <w:rsid w:val="4DD9CE7F"/>
    <w:rsid w:val="4DE7BF5D"/>
    <w:rsid w:val="4E202497"/>
    <w:rsid w:val="4E2D0DBE"/>
    <w:rsid w:val="4E399BEA"/>
    <w:rsid w:val="4E3D37AB"/>
    <w:rsid w:val="4E89B5C3"/>
    <w:rsid w:val="4ED7B924"/>
    <w:rsid w:val="4EEAA65B"/>
    <w:rsid w:val="4EF6C9A0"/>
    <w:rsid w:val="4F5B5FEA"/>
    <w:rsid w:val="4F73B306"/>
    <w:rsid w:val="4F9E2AAB"/>
    <w:rsid w:val="4FC0B9B9"/>
    <w:rsid w:val="5000EB98"/>
    <w:rsid w:val="500171EF"/>
    <w:rsid w:val="502B3789"/>
    <w:rsid w:val="50CB4F6D"/>
    <w:rsid w:val="5115DE4D"/>
    <w:rsid w:val="511B7E4F"/>
    <w:rsid w:val="51841244"/>
    <w:rsid w:val="51A307B0"/>
    <w:rsid w:val="51B53632"/>
    <w:rsid w:val="51BB3F33"/>
    <w:rsid w:val="5219ACC3"/>
    <w:rsid w:val="521F477C"/>
    <w:rsid w:val="523AE19B"/>
    <w:rsid w:val="5250DE65"/>
    <w:rsid w:val="525553E4"/>
    <w:rsid w:val="5266E819"/>
    <w:rsid w:val="52702886"/>
    <w:rsid w:val="52DFD76D"/>
    <w:rsid w:val="530ADF59"/>
    <w:rsid w:val="53147428"/>
    <w:rsid w:val="532939B4"/>
    <w:rsid w:val="533C373F"/>
    <w:rsid w:val="5343A7FD"/>
    <w:rsid w:val="537334D1"/>
    <w:rsid w:val="538C07BE"/>
    <w:rsid w:val="53A92285"/>
    <w:rsid w:val="53C00F17"/>
    <w:rsid w:val="53CD85F9"/>
    <w:rsid w:val="5407784A"/>
    <w:rsid w:val="54129021"/>
    <w:rsid w:val="5414A45B"/>
    <w:rsid w:val="54454E74"/>
    <w:rsid w:val="5471E486"/>
    <w:rsid w:val="54D721A7"/>
    <w:rsid w:val="550B8098"/>
    <w:rsid w:val="554A711B"/>
    <w:rsid w:val="555C3A23"/>
    <w:rsid w:val="556C0807"/>
    <w:rsid w:val="55861678"/>
    <w:rsid w:val="55879423"/>
    <w:rsid w:val="55911610"/>
    <w:rsid w:val="55AF719C"/>
    <w:rsid w:val="55BD8D42"/>
    <w:rsid w:val="55D20E5A"/>
    <w:rsid w:val="55E1E119"/>
    <w:rsid w:val="55E65A45"/>
    <w:rsid w:val="56092CFC"/>
    <w:rsid w:val="5628D76D"/>
    <w:rsid w:val="565ECA98"/>
    <w:rsid w:val="5681E0B7"/>
    <w:rsid w:val="569AFC72"/>
    <w:rsid w:val="56A723FC"/>
    <w:rsid w:val="56ED559E"/>
    <w:rsid w:val="574B62BA"/>
    <w:rsid w:val="5760F8E1"/>
    <w:rsid w:val="579C25CE"/>
    <w:rsid w:val="57A8A858"/>
    <w:rsid w:val="57AA1203"/>
    <w:rsid w:val="57ABB7F5"/>
    <w:rsid w:val="57CA2567"/>
    <w:rsid w:val="57D824F9"/>
    <w:rsid w:val="57E838A0"/>
    <w:rsid w:val="5817FF31"/>
    <w:rsid w:val="588D7D8C"/>
    <w:rsid w:val="58910F3D"/>
    <w:rsid w:val="59E90870"/>
    <w:rsid w:val="59EF03A4"/>
    <w:rsid w:val="5A88BCE7"/>
    <w:rsid w:val="5A8F30FF"/>
    <w:rsid w:val="5ABB7C4E"/>
    <w:rsid w:val="5AC7A5B1"/>
    <w:rsid w:val="5AF29E74"/>
    <w:rsid w:val="5AFC3FE9"/>
    <w:rsid w:val="5B0128CB"/>
    <w:rsid w:val="5B25EBBE"/>
    <w:rsid w:val="5B5947AD"/>
    <w:rsid w:val="5B996144"/>
    <w:rsid w:val="5BAA2871"/>
    <w:rsid w:val="5BFDF735"/>
    <w:rsid w:val="5C0FBF6C"/>
    <w:rsid w:val="5C6FEE9C"/>
    <w:rsid w:val="5C86AF76"/>
    <w:rsid w:val="5D0BBE56"/>
    <w:rsid w:val="5D16939D"/>
    <w:rsid w:val="5D80FB4B"/>
    <w:rsid w:val="5DB9DC07"/>
    <w:rsid w:val="5DEC6C50"/>
    <w:rsid w:val="5DFCEEDC"/>
    <w:rsid w:val="5E3BD141"/>
    <w:rsid w:val="5E87A15C"/>
    <w:rsid w:val="5EBD49A2"/>
    <w:rsid w:val="5ECC8C24"/>
    <w:rsid w:val="5EE49F1D"/>
    <w:rsid w:val="5EF93B7A"/>
    <w:rsid w:val="5F21E9DC"/>
    <w:rsid w:val="5F3654C1"/>
    <w:rsid w:val="5F6B86F0"/>
    <w:rsid w:val="5FBC010E"/>
    <w:rsid w:val="5FBD02FC"/>
    <w:rsid w:val="5FD9D9EB"/>
    <w:rsid w:val="5FDA4AB4"/>
    <w:rsid w:val="5FF93933"/>
    <w:rsid w:val="600D8BD0"/>
    <w:rsid w:val="6019C884"/>
    <w:rsid w:val="60352FA9"/>
    <w:rsid w:val="606CCCBB"/>
    <w:rsid w:val="60773919"/>
    <w:rsid w:val="60889E6E"/>
    <w:rsid w:val="608DB90A"/>
    <w:rsid w:val="60B5EA10"/>
    <w:rsid w:val="60FA4D05"/>
    <w:rsid w:val="612ACB61"/>
    <w:rsid w:val="6135D471"/>
    <w:rsid w:val="61473C45"/>
    <w:rsid w:val="61889663"/>
    <w:rsid w:val="61B8F674"/>
    <w:rsid w:val="61D6F91E"/>
    <w:rsid w:val="61DBBD21"/>
    <w:rsid w:val="61DFAF67"/>
    <w:rsid w:val="61EBA632"/>
    <w:rsid w:val="6221FAD0"/>
    <w:rsid w:val="622E299D"/>
    <w:rsid w:val="624584AC"/>
    <w:rsid w:val="628458F8"/>
    <w:rsid w:val="6285359C"/>
    <w:rsid w:val="62AC957C"/>
    <w:rsid w:val="62D80563"/>
    <w:rsid w:val="62D8B846"/>
    <w:rsid w:val="632937DF"/>
    <w:rsid w:val="632F8982"/>
    <w:rsid w:val="633F7F94"/>
    <w:rsid w:val="635F7012"/>
    <w:rsid w:val="63E048CE"/>
    <w:rsid w:val="63ECBD60"/>
    <w:rsid w:val="63EEBDC4"/>
    <w:rsid w:val="63FE49CE"/>
    <w:rsid w:val="64114A3E"/>
    <w:rsid w:val="641DB6B7"/>
    <w:rsid w:val="6433AF44"/>
    <w:rsid w:val="643EC8AD"/>
    <w:rsid w:val="644805AB"/>
    <w:rsid w:val="6465F5C5"/>
    <w:rsid w:val="646B2DD4"/>
    <w:rsid w:val="646F0CDC"/>
    <w:rsid w:val="64724609"/>
    <w:rsid w:val="65079CF8"/>
    <w:rsid w:val="6539CA38"/>
    <w:rsid w:val="653E7EF7"/>
    <w:rsid w:val="65647E00"/>
    <w:rsid w:val="656F6185"/>
    <w:rsid w:val="65956CA1"/>
    <w:rsid w:val="65A06A50"/>
    <w:rsid w:val="65CBE0BB"/>
    <w:rsid w:val="65EB60D7"/>
    <w:rsid w:val="661A0DAA"/>
    <w:rsid w:val="6641B318"/>
    <w:rsid w:val="66463BDF"/>
    <w:rsid w:val="6668A101"/>
    <w:rsid w:val="66745B5B"/>
    <w:rsid w:val="668C7737"/>
    <w:rsid w:val="66AB186B"/>
    <w:rsid w:val="66ABCCDE"/>
    <w:rsid w:val="66B24653"/>
    <w:rsid w:val="66C058BC"/>
    <w:rsid w:val="66FE98E4"/>
    <w:rsid w:val="67027EAB"/>
    <w:rsid w:val="6728F904"/>
    <w:rsid w:val="673F9170"/>
    <w:rsid w:val="6766FD62"/>
    <w:rsid w:val="683A8EF2"/>
    <w:rsid w:val="684D2613"/>
    <w:rsid w:val="686D41B0"/>
    <w:rsid w:val="687124FD"/>
    <w:rsid w:val="6872F81B"/>
    <w:rsid w:val="688B624D"/>
    <w:rsid w:val="68B00C75"/>
    <w:rsid w:val="68BE3EE7"/>
    <w:rsid w:val="68F28FDA"/>
    <w:rsid w:val="693E8D44"/>
    <w:rsid w:val="6980401F"/>
    <w:rsid w:val="698AA771"/>
    <w:rsid w:val="6A06F8F8"/>
    <w:rsid w:val="6A749FC4"/>
    <w:rsid w:val="6A74F829"/>
    <w:rsid w:val="6A81AB30"/>
    <w:rsid w:val="6A96A1CB"/>
    <w:rsid w:val="6AB10E33"/>
    <w:rsid w:val="6ACE87C5"/>
    <w:rsid w:val="6B16F5E0"/>
    <w:rsid w:val="6B1FB2FC"/>
    <w:rsid w:val="6B28E4D3"/>
    <w:rsid w:val="6B3E15BF"/>
    <w:rsid w:val="6B5BC6B1"/>
    <w:rsid w:val="6B6FAD40"/>
    <w:rsid w:val="6B706476"/>
    <w:rsid w:val="6B7DB961"/>
    <w:rsid w:val="6B80D000"/>
    <w:rsid w:val="6B819606"/>
    <w:rsid w:val="6BA7FFFD"/>
    <w:rsid w:val="6BE65230"/>
    <w:rsid w:val="6BF18EE1"/>
    <w:rsid w:val="6BF5BFFB"/>
    <w:rsid w:val="6BF698ED"/>
    <w:rsid w:val="6C56FB33"/>
    <w:rsid w:val="6C69CB77"/>
    <w:rsid w:val="6C93B6A6"/>
    <w:rsid w:val="6C9AB445"/>
    <w:rsid w:val="6CCFE23E"/>
    <w:rsid w:val="6CFABAE4"/>
    <w:rsid w:val="6D017DFA"/>
    <w:rsid w:val="6D0F4B2F"/>
    <w:rsid w:val="6D1B5F72"/>
    <w:rsid w:val="6D2E66A0"/>
    <w:rsid w:val="6D5C46C0"/>
    <w:rsid w:val="6D8BDFCB"/>
    <w:rsid w:val="6DAB9EA2"/>
    <w:rsid w:val="6DC07DC4"/>
    <w:rsid w:val="6DD5F648"/>
    <w:rsid w:val="6E70D934"/>
    <w:rsid w:val="6E72346B"/>
    <w:rsid w:val="6E7A01EF"/>
    <w:rsid w:val="6E879EF6"/>
    <w:rsid w:val="6E89B859"/>
    <w:rsid w:val="6E9EB487"/>
    <w:rsid w:val="6ED7C3E0"/>
    <w:rsid w:val="6F74FA7A"/>
    <w:rsid w:val="6FC3EAA5"/>
    <w:rsid w:val="700087B6"/>
    <w:rsid w:val="7040F56C"/>
    <w:rsid w:val="706629BE"/>
    <w:rsid w:val="7070C264"/>
    <w:rsid w:val="70867263"/>
    <w:rsid w:val="7095F774"/>
    <w:rsid w:val="70A144BF"/>
    <w:rsid w:val="70B3CFFC"/>
    <w:rsid w:val="70CFDD92"/>
    <w:rsid w:val="70E89401"/>
    <w:rsid w:val="70F0E87F"/>
    <w:rsid w:val="70F90EFA"/>
    <w:rsid w:val="70FF5785"/>
    <w:rsid w:val="713F9B8D"/>
    <w:rsid w:val="718844BA"/>
    <w:rsid w:val="71F5C76E"/>
    <w:rsid w:val="71F9B1C8"/>
    <w:rsid w:val="71FE3ECC"/>
    <w:rsid w:val="72411068"/>
    <w:rsid w:val="724251F7"/>
    <w:rsid w:val="726EB745"/>
    <w:rsid w:val="72869E1C"/>
    <w:rsid w:val="72C6062D"/>
    <w:rsid w:val="72F7AC36"/>
    <w:rsid w:val="73024F98"/>
    <w:rsid w:val="7312B936"/>
    <w:rsid w:val="73237D2A"/>
    <w:rsid w:val="73250E3A"/>
    <w:rsid w:val="736573C0"/>
    <w:rsid w:val="736D9D63"/>
    <w:rsid w:val="7381D80C"/>
    <w:rsid w:val="73876838"/>
    <w:rsid w:val="739FA722"/>
    <w:rsid w:val="73A3E4B4"/>
    <w:rsid w:val="73EC1F81"/>
    <w:rsid w:val="73F351B1"/>
    <w:rsid w:val="73FDA8CF"/>
    <w:rsid w:val="7469359A"/>
    <w:rsid w:val="7475058A"/>
    <w:rsid w:val="7485499A"/>
    <w:rsid w:val="7496C51D"/>
    <w:rsid w:val="74B92B8B"/>
    <w:rsid w:val="74D6396E"/>
    <w:rsid w:val="75134879"/>
    <w:rsid w:val="75A2DF2E"/>
    <w:rsid w:val="75FD20F5"/>
    <w:rsid w:val="7602CE53"/>
    <w:rsid w:val="76129D71"/>
    <w:rsid w:val="76217BD8"/>
    <w:rsid w:val="763DE4D8"/>
    <w:rsid w:val="7645A24D"/>
    <w:rsid w:val="765DF518"/>
    <w:rsid w:val="7692C9F6"/>
    <w:rsid w:val="76C36C97"/>
    <w:rsid w:val="76F20184"/>
    <w:rsid w:val="76F929C0"/>
    <w:rsid w:val="771BB6D4"/>
    <w:rsid w:val="772F4E31"/>
    <w:rsid w:val="77640A03"/>
    <w:rsid w:val="77691345"/>
    <w:rsid w:val="7769BB8F"/>
    <w:rsid w:val="77702583"/>
    <w:rsid w:val="777239CC"/>
    <w:rsid w:val="7774FC5C"/>
    <w:rsid w:val="77C9267C"/>
    <w:rsid w:val="78028A04"/>
    <w:rsid w:val="78306554"/>
    <w:rsid w:val="78483EF3"/>
    <w:rsid w:val="78624BDC"/>
    <w:rsid w:val="78629683"/>
    <w:rsid w:val="786454FE"/>
    <w:rsid w:val="78687EBC"/>
    <w:rsid w:val="788FFFB9"/>
    <w:rsid w:val="78C679D5"/>
    <w:rsid w:val="78D544CF"/>
    <w:rsid w:val="78DF28D0"/>
    <w:rsid w:val="78EF3716"/>
    <w:rsid w:val="790F4673"/>
    <w:rsid w:val="7921B34C"/>
    <w:rsid w:val="792A4B9F"/>
    <w:rsid w:val="792D1BB0"/>
    <w:rsid w:val="7959DFED"/>
    <w:rsid w:val="795C1D69"/>
    <w:rsid w:val="7965D73D"/>
    <w:rsid w:val="7993CD92"/>
    <w:rsid w:val="7993D568"/>
    <w:rsid w:val="79ACF19F"/>
    <w:rsid w:val="79B920EC"/>
    <w:rsid w:val="7A384D2C"/>
    <w:rsid w:val="7A545830"/>
    <w:rsid w:val="7AB01D37"/>
    <w:rsid w:val="7ACC0680"/>
    <w:rsid w:val="7AFCF1E2"/>
    <w:rsid w:val="7B1975F5"/>
    <w:rsid w:val="7B37878D"/>
    <w:rsid w:val="7B40D1A4"/>
    <w:rsid w:val="7B7D493B"/>
    <w:rsid w:val="7B9EA199"/>
    <w:rsid w:val="7BEB2C3F"/>
    <w:rsid w:val="7BFDE8A8"/>
    <w:rsid w:val="7C60A084"/>
    <w:rsid w:val="7C6EB7DB"/>
    <w:rsid w:val="7CD9A12B"/>
    <w:rsid w:val="7D1BEC59"/>
    <w:rsid w:val="7D42C64D"/>
    <w:rsid w:val="7D4A905A"/>
    <w:rsid w:val="7D62A3ED"/>
    <w:rsid w:val="7DD7E5DD"/>
    <w:rsid w:val="7DEAAC67"/>
    <w:rsid w:val="7E05C644"/>
    <w:rsid w:val="7E1999ED"/>
    <w:rsid w:val="7E43171B"/>
    <w:rsid w:val="7E508AE6"/>
    <w:rsid w:val="7E6BE808"/>
    <w:rsid w:val="7EC20801"/>
    <w:rsid w:val="7EC73A29"/>
    <w:rsid w:val="7EF238F3"/>
    <w:rsid w:val="7EFCA355"/>
    <w:rsid w:val="7F06E5BE"/>
    <w:rsid w:val="7F0B4AFC"/>
    <w:rsid w:val="7F76E752"/>
    <w:rsid w:val="7F8E3A21"/>
    <w:rsid w:val="7F999C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658C4"/>
  <w15:docId w15:val="{D36B5A0C-3CE0-4368-AB74-4419411F6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GB"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523"/>
  </w:style>
  <w:style w:type="paragraph" w:styleId="Heading1">
    <w:name w:val="heading 1"/>
    <w:basedOn w:val="Normal"/>
    <w:next w:val="Normal"/>
    <w:link w:val="Heading1Char"/>
    <w:uiPriority w:val="9"/>
    <w:qFormat/>
    <w:rsid w:val="00916523"/>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916523"/>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916523"/>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916523"/>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916523"/>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916523"/>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916523"/>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916523"/>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916523"/>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16523"/>
    <w:pPr>
      <w:spacing w:after="0" w:line="240" w:lineRule="auto"/>
      <w:contextualSpacing/>
    </w:pPr>
    <w:rPr>
      <w:rFonts w:asciiTheme="majorHAnsi" w:eastAsiaTheme="majorEastAsia" w:hAnsiTheme="majorHAnsi" w:cstheme="majorBidi"/>
      <w:color w:val="156082" w:themeColor="accent1"/>
      <w:spacing w:val="-10"/>
      <w:sz w:val="56"/>
      <w:szCs w:val="56"/>
    </w:rPr>
  </w:style>
  <w:style w:type="paragraph" w:customStyle="1" w:styleId="Strong1">
    <w:name w:val="Strong1"/>
    <w:rPr>
      <w:b/>
      <w:bCs/>
    </w:rPr>
  </w:style>
  <w:style w:type="paragraph" w:styleId="ListParagraph">
    <w:name w:val="List Paragraph"/>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style>
  <w:style w:type="paragraph" w:styleId="Header">
    <w:name w:val="header"/>
    <w:basedOn w:val="Normal"/>
    <w:link w:val="HeaderChar"/>
    <w:uiPriority w:val="99"/>
    <w:unhideWhenUsed/>
    <w:rsid w:val="00B624F3"/>
    <w:pPr>
      <w:tabs>
        <w:tab w:val="center" w:pos="4513"/>
        <w:tab w:val="right" w:pos="9026"/>
      </w:tabs>
    </w:pPr>
  </w:style>
  <w:style w:type="character" w:customStyle="1" w:styleId="HeaderChar">
    <w:name w:val="Header Char"/>
    <w:basedOn w:val="DefaultParagraphFont"/>
    <w:link w:val="Header"/>
    <w:uiPriority w:val="99"/>
    <w:rsid w:val="00B624F3"/>
  </w:style>
  <w:style w:type="paragraph" w:styleId="Footer">
    <w:name w:val="footer"/>
    <w:basedOn w:val="Normal"/>
    <w:link w:val="FooterChar"/>
    <w:uiPriority w:val="99"/>
    <w:unhideWhenUsed/>
    <w:rsid w:val="00B624F3"/>
    <w:pPr>
      <w:tabs>
        <w:tab w:val="center" w:pos="4513"/>
        <w:tab w:val="right" w:pos="9026"/>
      </w:tabs>
    </w:pPr>
  </w:style>
  <w:style w:type="character" w:customStyle="1" w:styleId="FooterChar">
    <w:name w:val="Footer Char"/>
    <w:basedOn w:val="DefaultParagraphFont"/>
    <w:link w:val="Footer"/>
    <w:uiPriority w:val="99"/>
    <w:rsid w:val="00B624F3"/>
  </w:style>
  <w:style w:type="character" w:customStyle="1" w:styleId="Heading1Char">
    <w:name w:val="Heading 1 Char"/>
    <w:basedOn w:val="DefaultParagraphFont"/>
    <w:link w:val="Heading1"/>
    <w:uiPriority w:val="9"/>
    <w:rsid w:val="00916523"/>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916523"/>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916523"/>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916523"/>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916523"/>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916523"/>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916523"/>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916523"/>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916523"/>
    <w:rPr>
      <w:rFonts w:asciiTheme="majorHAnsi" w:eastAsiaTheme="majorEastAsia" w:hAnsiTheme="majorHAnsi" w:cstheme="majorBidi"/>
      <w:b/>
      <w:bCs/>
      <w:i/>
      <w:iCs/>
      <w:color w:val="0E2841" w:themeColor="text2"/>
    </w:rPr>
  </w:style>
  <w:style w:type="paragraph" w:styleId="Caption">
    <w:name w:val="caption"/>
    <w:basedOn w:val="Normal"/>
    <w:next w:val="Normal"/>
    <w:uiPriority w:val="35"/>
    <w:semiHidden/>
    <w:unhideWhenUsed/>
    <w:qFormat/>
    <w:rsid w:val="00916523"/>
    <w:pPr>
      <w:spacing w:line="240" w:lineRule="auto"/>
    </w:pPr>
    <w:rPr>
      <w:b/>
      <w:bCs/>
      <w:smallCaps/>
      <w:color w:val="595959" w:themeColor="text1" w:themeTint="A6"/>
      <w:spacing w:val="6"/>
    </w:rPr>
  </w:style>
  <w:style w:type="character" w:customStyle="1" w:styleId="TitleChar">
    <w:name w:val="Title Char"/>
    <w:basedOn w:val="DefaultParagraphFont"/>
    <w:link w:val="Title"/>
    <w:uiPriority w:val="10"/>
    <w:rsid w:val="00916523"/>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916523"/>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16523"/>
    <w:rPr>
      <w:rFonts w:asciiTheme="majorHAnsi" w:eastAsiaTheme="majorEastAsia" w:hAnsiTheme="majorHAnsi" w:cstheme="majorBidi"/>
      <w:sz w:val="24"/>
      <w:szCs w:val="24"/>
    </w:rPr>
  </w:style>
  <w:style w:type="character" w:styleId="Strong">
    <w:name w:val="Strong"/>
    <w:basedOn w:val="DefaultParagraphFont"/>
    <w:uiPriority w:val="22"/>
    <w:qFormat/>
    <w:rsid w:val="00916523"/>
    <w:rPr>
      <w:b/>
      <w:bCs/>
    </w:rPr>
  </w:style>
  <w:style w:type="character" w:styleId="Emphasis">
    <w:name w:val="Emphasis"/>
    <w:basedOn w:val="DefaultParagraphFont"/>
    <w:uiPriority w:val="20"/>
    <w:qFormat/>
    <w:rsid w:val="00916523"/>
    <w:rPr>
      <w:i/>
      <w:iCs/>
    </w:rPr>
  </w:style>
  <w:style w:type="paragraph" w:styleId="NoSpacing">
    <w:name w:val="No Spacing"/>
    <w:uiPriority w:val="1"/>
    <w:qFormat/>
    <w:rsid w:val="00916523"/>
    <w:pPr>
      <w:spacing w:after="0" w:line="240" w:lineRule="auto"/>
    </w:pPr>
  </w:style>
  <w:style w:type="paragraph" w:styleId="Quote">
    <w:name w:val="Quote"/>
    <w:basedOn w:val="Normal"/>
    <w:next w:val="Normal"/>
    <w:link w:val="QuoteChar"/>
    <w:uiPriority w:val="29"/>
    <w:qFormat/>
    <w:rsid w:val="00916523"/>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916523"/>
    <w:rPr>
      <w:i/>
      <w:iCs/>
      <w:color w:val="404040" w:themeColor="text1" w:themeTint="BF"/>
    </w:rPr>
  </w:style>
  <w:style w:type="paragraph" w:styleId="IntenseQuote">
    <w:name w:val="Intense Quote"/>
    <w:basedOn w:val="Normal"/>
    <w:next w:val="Normal"/>
    <w:link w:val="IntenseQuoteChar"/>
    <w:uiPriority w:val="30"/>
    <w:qFormat/>
    <w:rsid w:val="00916523"/>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916523"/>
    <w:rPr>
      <w:rFonts w:asciiTheme="majorHAnsi" w:eastAsiaTheme="majorEastAsia" w:hAnsiTheme="majorHAnsi" w:cstheme="majorBidi"/>
      <w:color w:val="156082" w:themeColor="accent1"/>
      <w:sz w:val="28"/>
      <w:szCs w:val="28"/>
    </w:rPr>
  </w:style>
  <w:style w:type="character" w:styleId="SubtleEmphasis">
    <w:name w:val="Subtle Emphasis"/>
    <w:basedOn w:val="DefaultParagraphFont"/>
    <w:uiPriority w:val="19"/>
    <w:qFormat/>
    <w:rsid w:val="00916523"/>
    <w:rPr>
      <w:i/>
      <w:iCs/>
      <w:color w:val="404040" w:themeColor="text1" w:themeTint="BF"/>
    </w:rPr>
  </w:style>
  <w:style w:type="character" w:styleId="IntenseEmphasis">
    <w:name w:val="Intense Emphasis"/>
    <w:basedOn w:val="DefaultParagraphFont"/>
    <w:uiPriority w:val="21"/>
    <w:qFormat/>
    <w:rsid w:val="00916523"/>
    <w:rPr>
      <w:b/>
      <w:bCs/>
      <w:i/>
      <w:iCs/>
    </w:rPr>
  </w:style>
  <w:style w:type="character" w:styleId="SubtleReference">
    <w:name w:val="Subtle Reference"/>
    <w:basedOn w:val="DefaultParagraphFont"/>
    <w:uiPriority w:val="31"/>
    <w:qFormat/>
    <w:rsid w:val="0091652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16523"/>
    <w:rPr>
      <w:b/>
      <w:bCs/>
      <w:smallCaps/>
      <w:spacing w:val="5"/>
      <w:u w:val="single"/>
    </w:rPr>
  </w:style>
  <w:style w:type="character" w:styleId="BookTitle">
    <w:name w:val="Book Title"/>
    <w:basedOn w:val="DefaultParagraphFont"/>
    <w:uiPriority w:val="33"/>
    <w:qFormat/>
    <w:rsid w:val="00916523"/>
    <w:rPr>
      <w:b/>
      <w:bCs/>
      <w:smallCaps/>
    </w:rPr>
  </w:style>
  <w:style w:type="paragraph" w:styleId="TOCHeading">
    <w:name w:val="TOC Heading"/>
    <w:basedOn w:val="Heading1"/>
    <w:next w:val="Normal"/>
    <w:uiPriority w:val="39"/>
    <w:semiHidden/>
    <w:unhideWhenUsed/>
    <w:qFormat/>
    <w:rsid w:val="00916523"/>
    <w:pPr>
      <w:outlineLvl w:val="9"/>
    </w:pPr>
  </w:style>
  <w:style w:type="paragraph" w:styleId="Revision">
    <w:name w:val="Revision"/>
    <w:hidden/>
    <w:uiPriority w:val="99"/>
    <w:semiHidden/>
    <w:rsid w:val="00A05D29"/>
    <w:pPr>
      <w:spacing w:after="0" w:line="240" w:lineRule="auto"/>
    </w:pPr>
  </w:style>
  <w:style w:type="character" w:styleId="UnresolvedMention">
    <w:name w:val="Unresolved Mention"/>
    <w:basedOn w:val="DefaultParagraphFont"/>
    <w:uiPriority w:val="99"/>
    <w:semiHidden/>
    <w:unhideWhenUsed/>
    <w:rsid w:val="00D9705A"/>
    <w:rPr>
      <w:color w:val="605E5C"/>
      <w:shd w:val="clear" w:color="auto" w:fill="E1DFDD"/>
    </w:rPr>
  </w:style>
  <w:style w:type="character" w:styleId="FollowedHyperlink">
    <w:name w:val="FollowedHyperlink"/>
    <w:basedOn w:val="DefaultParagraphFont"/>
    <w:uiPriority w:val="99"/>
    <w:semiHidden/>
    <w:unhideWhenUsed/>
    <w:rsid w:val="005E0366"/>
    <w:rPr>
      <w:color w:val="96607D" w:themeColor="followedHyperlink"/>
      <w:u w:val="single"/>
    </w:rPr>
  </w:style>
  <w:style w:type="character" w:styleId="CommentReference">
    <w:name w:val="annotation reference"/>
    <w:basedOn w:val="DefaultParagraphFont"/>
    <w:uiPriority w:val="99"/>
    <w:semiHidden/>
    <w:unhideWhenUsed/>
    <w:rsid w:val="00BA4586"/>
    <w:rPr>
      <w:sz w:val="16"/>
      <w:szCs w:val="16"/>
    </w:rPr>
  </w:style>
  <w:style w:type="paragraph" w:styleId="CommentText">
    <w:name w:val="annotation text"/>
    <w:basedOn w:val="Normal"/>
    <w:link w:val="CommentTextChar"/>
    <w:uiPriority w:val="99"/>
    <w:unhideWhenUsed/>
    <w:rsid w:val="00BA4586"/>
    <w:pPr>
      <w:spacing w:line="240" w:lineRule="auto"/>
    </w:pPr>
  </w:style>
  <w:style w:type="character" w:customStyle="1" w:styleId="CommentTextChar">
    <w:name w:val="Comment Text Char"/>
    <w:basedOn w:val="DefaultParagraphFont"/>
    <w:link w:val="CommentText"/>
    <w:uiPriority w:val="99"/>
    <w:rsid w:val="00BA4586"/>
  </w:style>
  <w:style w:type="paragraph" w:styleId="CommentSubject">
    <w:name w:val="annotation subject"/>
    <w:basedOn w:val="CommentText"/>
    <w:next w:val="CommentText"/>
    <w:link w:val="CommentSubjectChar"/>
    <w:uiPriority w:val="99"/>
    <w:semiHidden/>
    <w:unhideWhenUsed/>
    <w:rsid w:val="00BA4586"/>
    <w:rPr>
      <w:b/>
      <w:bCs/>
    </w:rPr>
  </w:style>
  <w:style w:type="character" w:customStyle="1" w:styleId="CommentSubjectChar">
    <w:name w:val="Comment Subject Char"/>
    <w:basedOn w:val="CommentTextChar"/>
    <w:link w:val="CommentSubject"/>
    <w:uiPriority w:val="99"/>
    <w:semiHidden/>
    <w:rsid w:val="00BA4586"/>
    <w:rPr>
      <w:b/>
      <w:bCs/>
    </w:rPr>
  </w:style>
  <w:style w:type="character" w:styleId="Mention">
    <w:name w:val="Mention"/>
    <w:basedOn w:val="DefaultParagraphFont"/>
    <w:uiPriority w:val="99"/>
    <w:unhideWhenUsed/>
    <w:rsid w:val="003C446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documenttasks/documenttasks1.xml><?xml version="1.0" encoding="utf-8"?>
<t:Tasks xmlns:t="http://schemas.microsoft.com/office/tasks/2019/documenttasks" xmlns:oel="http://schemas.microsoft.com/office/2019/extlst">
  <t:Task id="{5A01C74B-B484-467C-96C3-524F761ECA3E}">
    <t:Anchor>
      <t:Comment id="1840695849"/>
    </t:Anchor>
    <t:History>
      <t:Event id="{BF287BFB-FEB9-430C-A1D0-53597EC4A274}" time="2026-07-10T12:50:08.938Z">
        <t:Attribution userId="S::rhys.thomas12@nhs.net::f6569016-ff30-430d-8d7c-cb242ee6a791" userProvider="AD" userName="THOMAS, Rhys (COVID19 RESPONSE TEAM)"/>
        <t:Anchor>
          <t:Comment id="1840695849"/>
        </t:Anchor>
        <t:Create/>
      </t:Event>
      <t:Event id="{549886A8-F723-4394-9A12-BC4B21F768D5}" time="2026-07-10T12:50:08.938Z">
        <t:Attribution userId="S::rhys.thomas12@nhs.net::f6569016-ff30-430d-8d7c-cb242ee6a791" userProvider="AD" userName="THOMAS, Rhys (COVID19 RESPONSE TEAM)"/>
        <t:Anchor>
          <t:Comment id="1840695849"/>
        </t:Anchor>
        <t:Assign userId="S::jacqui.jedrzejewski@nhs.net::3c722f89-9369-4c75-aa3c-74449bdb21bc" userProvider="AD" userName="JEDRZEJEWSKI, Jacqui (NHS ENGLAND)"/>
      </t:Event>
      <t:Event id="{799D4790-B04F-4F66-9046-66BB88743B2E}" time="2026-07-10T12:50:08.938Z">
        <t:Attribution userId="S::rhys.thomas12@nhs.net::f6569016-ff30-430d-8d7c-cb242ee6a791" userProvider="AD" userName="THOMAS, Rhys (COVID19 RESPONSE TEAM)"/>
        <t:Anchor>
          <t:Comment id="1840695849"/>
        </t:Anchor>
        <t:SetTitle title="@JEDRZEJEWSKI, Jacqui (NHS ENGLAND) to confirm happy with this statement"/>
      </t:Event>
    </t:History>
  </t:Task>
  <t:Task id="{769709D5-F2FF-4005-92B7-33574F12668F}">
    <t:Anchor>
      <t:Comment id="1153183741"/>
    </t:Anchor>
    <t:History>
      <t:Event id="{F6901702-6F58-49B3-A239-766F7C2FF214}" time="2026-07-10T12:58:16.295Z">
        <t:Attribution userId="S::rhys.thomas12@nhs.net::f6569016-ff30-430d-8d7c-cb242ee6a791" userProvider="AD" userName="THOMAS, Rhys (COVID19 RESPONSE TEAM)"/>
        <t:Anchor>
          <t:Comment id="1153183741"/>
        </t:Anchor>
        <t:Create/>
      </t:Event>
      <t:Event id="{0206779B-7335-46F5-B0FA-9BE65A5A04A3}" time="2026-07-10T12:58:16.295Z">
        <t:Attribution userId="S::rhys.thomas12@nhs.net::f6569016-ff30-430d-8d7c-cb242ee6a791" userProvider="AD" userName="THOMAS, Rhys (COVID19 RESPONSE TEAM)"/>
        <t:Anchor>
          <t:Comment id="1153183741"/>
        </t:Anchor>
        <t:Assign userId="S::jacqui.jedrzejewski@nhs.net::3c722f89-9369-4c75-aa3c-74449bdb21bc" userProvider="AD" userName="JEDRZEJEWSKI, Jacqui (NHS ENGLAND)"/>
      </t:Event>
      <t:Event id="{D02CF754-2D91-4562-BFB1-904F9DFAFDE7}" time="2026-07-10T12:58:16.295Z">
        <t:Attribution userId="S::rhys.thomas12@nhs.net::f6569016-ff30-430d-8d7c-cb242ee6a791" userProvider="AD" userName="THOMAS, Rhys (COVID19 RESPONSE TEAM)"/>
        <t:Anchor>
          <t:Comment id="1153183741"/>
        </t:Anchor>
        <t:SetTitle title="@JEDRZEJEWSKI, Jacqui (NHS ENGLAND) - are you happy to sponsor the paper?"/>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44153E68544A24184FB113EC4C296EB" ma:contentTypeVersion="3" ma:contentTypeDescription="Create a new document." ma:contentTypeScope="" ma:versionID="23fef6b9bbcef0b00d6c0305f61518cd">
  <xsd:schema xmlns:xsd="http://www.w3.org/2001/XMLSchema" xmlns:xs="http://www.w3.org/2001/XMLSchema" xmlns:p="http://schemas.microsoft.com/office/2006/metadata/properties" xmlns:ns2="3fa599da-7a92-4a05-b8b3-d7f2bced92ad" targetNamespace="http://schemas.microsoft.com/office/2006/metadata/properties" ma:root="true" ma:fieldsID="2419cbb50ee785d04e4ba52c64ba99f7" ns2:_="">
    <xsd:import namespace="3fa599da-7a92-4a05-b8b3-d7f2bced92a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a599da-7a92-4a05-b8b3-d7f2bced92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DDED73-E6E5-441F-BEFE-D7AE323E50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DACDF49-9185-4F72-8A3F-B999BCECC437}">
  <ds:schemaRefs>
    <ds:schemaRef ds:uri="http://schemas.microsoft.com/sharepoint/v3/contenttype/forms"/>
  </ds:schemaRefs>
</ds:datastoreItem>
</file>

<file path=customXml/itemProps3.xml><?xml version="1.0" encoding="utf-8"?>
<ds:datastoreItem xmlns:ds="http://schemas.openxmlformats.org/officeDocument/2006/customXml" ds:itemID="{DA75BD66-4B92-4BC0-8451-9F2EACCF369E}">
  <ds:schemaRefs>
    <ds:schemaRef ds:uri="http://schemas.openxmlformats.org/officeDocument/2006/bibliography"/>
  </ds:schemaRefs>
</ds:datastoreItem>
</file>

<file path=customXml/itemProps4.xml><?xml version="1.0" encoding="utf-8"?>
<ds:datastoreItem xmlns:ds="http://schemas.openxmlformats.org/officeDocument/2006/customXml" ds:itemID="{5BA73A90-2860-44A7-9DE2-56E910A84B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a599da-7a92-4a05-b8b3-d7f2bced92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2143</Words>
  <Characters>12217</Characters>
  <Application>Microsoft Office Word</Application>
  <DocSecurity>4</DocSecurity>
  <Lines>101</Lines>
  <Paragraphs>28</Paragraphs>
  <ScaleCrop>false</ScaleCrop>
  <Company/>
  <LinksUpToDate>false</LinksUpToDate>
  <CharactersWithSpaces>14332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HADGU, Goitom (NHS ENGLAND)</cp:lastModifiedBy>
  <cp:revision>689</cp:revision>
  <dcterms:created xsi:type="dcterms:W3CDTF">2026-07-03T10:25:00Z</dcterms:created>
  <dcterms:modified xsi:type="dcterms:W3CDTF">2026-07-13T08:51:00Z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0x010100A44153E68544A24184FB113EC4C296EB</vt:lpwstr>
  </property>
  <property fmtid="{D5CDD505-2E9C-101B-9397-08002B2CF9AE}" pid="3" name="MediaServiceImageTags">
    <vt:lpwstr/>
  </property>
</Properties>
</file>