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D11292">
      <w:pPr>
        <w:widowControl/>
        <w:spacing w:before="312" w:beforeLines="100" w:after="312" w:afterLines="100"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bookmarkStart w:id="231" w:name="_GoBack"/>
      <w:bookmarkEnd w:id="231"/>
    </w:p>
    <w:p w14:paraId="762ECB09">
      <w:pPr>
        <w:widowControl/>
        <w:spacing w:before="312" w:beforeLines="100" w:after="312" w:afterLines="100"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4CB9876B">
      <w:pPr>
        <w:widowControl/>
        <w:spacing w:before="312" w:beforeLines="100" w:after="312" w:afterLines="100" w:line="560" w:lineRule="exact"/>
        <w:jc w:val="center"/>
        <w:rPr>
          <w:rFonts w:ascii="Times New Roman Regular" w:hAnsi="Times New Roman Regular" w:eastAsia="方正公文小标宋" w:cs="Times New Roman Regular"/>
          <w:color w:val="000000" w:themeColor="text1"/>
          <w:sz w:val="44"/>
          <w:szCs w:val="44"/>
          <w14:textFill>
            <w14:solidFill>
              <w14:schemeClr w14:val="tx1"/>
            </w14:solidFill>
          </w14:textFill>
        </w:rPr>
      </w:pPr>
      <w:r>
        <w:rPr>
          <w:rFonts w:ascii="Times New Roman Regular" w:hAnsi="Times New Roman Regular" w:eastAsia="方正公文小标宋" w:cs="Times New Roman Regular"/>
          <w:color w:val="000000" w:themeColor="text1"/>
          <w:sz w:val="44"/>
          <w:szCs w:val="44"/>
          <w14:textFill>
            <w14:solidFill>
              <w14:schemeClr w14:val="tx1"/>
            </w14:solidFill>
          </w14:textFill>
        </w:rPr>
        <w:t>中化能源</w:t>
      </w:r>
      <w:r>
        <w:rPr>
          <w:rFonts w:hint="eastAsia" w:ascii="Times New Roman Regular" w:hAnsi="Times New Roman Regular" w:eastAsia="方正公文小标宋" w:cs="Times New Roman Regular"/>
          <w:color w:val="000000" w:themeColor="text1"/>
          <w:sz w:val="44"/>
          <w:szCs w:val="44"/>
          <w14:textFill>
            <w14:solidFill>
              <w14:schemeClr w14:val="tx1"/>
            </w14:solidFill>
          </w14:textFill>
        </w:rPr>
        <w:t>“</w:t>
      </w:r>
      <w:r>
        <w:rPr>
          <w:rFonts w:ascii="Times New Roman Regular" w:hAnsi="Times New Roman Regular" w:eastAsia="方正公文小标宋" w:cs="Times New Roman Regular"/>
          <w:color w:val="000000" w:themeColor="text1"/>
          <w:sz w:val="44"/>
          <w:szCs w:val="44"/>
          <w14:textFill>
            <w14:solidFill>
              <w14:schemeClr w14:val="tx1"/>
            </w14:solidFill>
          </w14:textFill>
        </w:rPr>
        <w:t>十五五</w:t>
      </w:r>
      <w:r>
        <w:rPr>
          <w:rFonts w:hint="eastAsia" w:ascii="Times New Roman Regular" w:hAnsi="Times New Roman Regular" w:eastAsia="方正公文小标宋" w:cs="Times New Roman Regular"/>
          <w:color w:val="000000" w:themeColor="text1"/>
          <w:sz w:val="44"/>
          <w:szCs w:val="44"/>
          <w14:textFill>
            <w14:solidFill>
              <w14:schemeClr w14:val="tx1"/>
            </w14:solidFill>
          </w14:textFill>
        </w:rPr>
        <w:t>”（2026-2030年）</w:t>
      </w:r>
    </w:p>
    <w:p w14:paraId="4A8868FF">
      <w:pPr>
        <w:widowControl/>
        <w:spacing w:before="312" w:beforeLines="100" w:after="312" w:afterLines="100" w:line="560" w:lineRule="exact"/>
        <w:jc w:val="center"/>
        <w:outlineLvl w:val="0"/>
        <w:rPr>
          <w:rFonts w:ascii="Times New Roman Regular" w:hAnsi="Times New Roman Regular" w:eastAsia="方正公文小标宋" w:cs="Times New Roman Regular"/>
          <w:color w:val="000000" w:themeColor="text1"/>
          <w:sz w:val="44"/>
          <w:szCs w:val="44"/>
          <w14:textFill>
            <w14:solidFill>
              <w14:schemeClr w14:val="tx1"/>
            </w14:solidFill>
          </w14:textFill>
        </w:rPr>
      </w:pPr>
      <w:bookmarkStart w:id="0" w:name="_Toc665062643"/>
      <w:bookmarkStart w:id="1" w:name="_Toc1575991214"/>
      <w:bookmarkStart w:id="2" w:name="_Toc11884"/>
      <w:bookmarkStart w:id="3" w:name="_Toc1119494156"/>
      <w:bookmarkStart w:id="4" w:name="_Toc1037951801"/>
      <w:r>
        <w:rPr>
          <w:rFonts w:ascii="Times New Roman Regular" w:hAnsi="Times New Roman Regular" w:eastAsia="方正公文小标宋" w:cs="Times New Roman Regular"/>
          <w:color w:val="000000" w:themeColor="text1"/>
          <w:sz w:val="44"/>
          <w:szCs w:val="44"/>
          <w14:textFill>
            <w14:solidFill>
              <w14:schemeClr w14:val="tx1"/>
            </w14:solidFill>
          </w14:textFill>
        </w:rPr>
        <w:t>低碳发展规划与实施方案</w:t>
      </w:r>
      <w:bookmarkEnd w:id="0"/>
      <w:bookmarkEnd w:id="1"/>
      <w:bookmarkEnd w:id="2"/>
      <w:bookmarkEnd w:id="3"/>
      <w:bookmarkEnd w:id="4"/>
    </w:p>
    <w:p w14:paraId="6EF514B6">
      <w:pPr>
        <w:widowControl/>
        <w:spacing w:before="312" w:beforeLines="100" w:after="312" w:afterLines="100" w:line="560" w:lineRule="exact"/>
        <w:jc w:val="center"/>
        <w:rPr>
          <w:rFonts w:ascii="Times New Roman Regular" w:hAnsi="Times New Roman Regular" w:eastAsia="方正公文小标宋" w:cs="Times New Roman Regular"/>
          <w:color w:val="000000" w:themeColor="text1"/>
          <w:sz w:val="44"/>
          <w:szCs w:val="44"/>
          <w14:textFill>
            <w14:solidFill>
              <w14:schemeClr w14:val="tx1"/>
            </w14:solidFill>
          </w14:textFill>
        </w:rPr>
      </w:pPr>
      <w:r>
        <w:rPr>
          <w:rFonts w:ascii="Times New Roman Regular" w:hAnsi="Times New Roman Regular" w:eastAsia="方正公文小标宋" w:cs="Times New Roman Regular"/>
          <w:color w:val="000000" w:themeColor="text1"/>
          <w:sz w:val="44"/>
          <w:szCs w:val="44"/>
          <w14:textFill>
            <w14:solidFill>
              <w14:schemeClr w14:val="tx1"/>
            </w14:solidFill>
          </w14:textFill>
        </w:rPr>
        <w:t>（</w:t>
      </w:r>
      <w:r>
        <w:rPr>
          <w:rFonts w:hint="eastAsia" w:ascii="Times New Roman Regular" w:hAnsi="Times New Roman Regular" w:eastAsia="方正公文小标宋" w:cs="Times New Roman Regular"/>
          <w:color w:val="000000" w:themeColor="text1"/>
          <w:sz w:val="44"/>
          <w:szCs w:val="44"/>
          <w14:textFill>
            <w14:solidFill>
              <w14:schemeClr w14:val="tx1"/>
            </w14:solidFill>
          </w14:textFill>
        </w:rPr>
        <w:t>正式版</w:t>
      </w:r>
      <w:r>
        <w:rPr>
          <w:rFonts w:ascii="Times New Roman Regular" w:hAnsi="Times New Roman Regular" w:eastAsia="方正公文小标宋" w:cs="Times New Roman Regular"/>
          <w:color w:val="000000" w:themeColor="text1"/>
          <w:sz w:val="44"/>
          <w:szCs w:val="44"/>
          <w14:textFill>
            <w14:solidFill>
              <w14:schemeClr w14:val="tx1"/>
            </w14:solidFill>
          </w14:textFill>
        </w:rPr>
        <w:t>）</w:t>
      </w:r>
    </w:p>
    <w:p w14:paraId="01B360A1">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1300C269">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4D5E9BFC">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55445A12">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06FEDE38">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5A202C55">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4A9F4DF0">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1AAB766C">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4455EBF5">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4C737A43">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507ADAF6">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14F1EA90">
      <w:pPr>
        <w:widowControl/>
        <w:spacing w:line="560" w:lineRule="exact"/>
        <w:rPr>
          <w:rFonts w:ascii="Times New Roman Regular" w:hAnsi="Times New Roman Regular" w:eastAsia="方正公文小标宋" w:cs="Times New Roman Regular"/>
          <w:color w:val="000000" w:themeColor="text1"/>
          <w:sz w:val="40"/>
          <w:szCs w:val="40"/>
          <w14:textFill>
            <w14:solidFill>
              <w14:schemeClr w14:val="tx1"/>
            </w14:solidFill>
          </w14:textFill>
        </w:rPr>
      </w:pPr>
    </w:p>
    <w:p w14:paraId="25093F7E">
      <w:pPr>
        <w:widowControl/>
        <w:spacing w:line="560" w:lineRule="exact"/>
        <w:jc w:val="center"/>
        <w:outlineLvl w:val="0"/>
        <w:rPr>
          <w:rFonts w:ascii="Times New Roman Regular" w:hAnsi="Times New Roman Regular" w:eastAsia="方正公文小标宋" w:cs="Times New Roman Regular"/>
          <w:color w:val="000000" w:themeColor="text1"/>
          <w:sz w:val="28"/>
          <w:szCs w:val="28"/>
          <w14:textFill>
            <w14:solidFill>
              <w14:schemeClr w14:val="tx1"/>
            </w14:solidFill>
          </w14:textFill>
        </w:rPr>
      </w:pPr>
      <w:bookmarkStart w:id="5" w:name="_Toc31470"/>
      <w:bookmarkStart w:id="6" w:name="_Toc55458266"/>
      <w:bookmarkStart w:id="7" w:name="_Toc621031600"/>
      <w:bookmarkStart w:id="8" w:name="_Toc846254826"/>
      <w:bookmarkStart w:id="9" w:name="_Toc1501150192"/>
      <w:bookmarkStart w:id="10" w:name="_Toc1234048525"/>
      <w:r>
        <w:rPr>
          <w:rFonts w:ascii="Times New Roman Regular" w:hAnsi="Times New Roman Regular" w:eastAsia="方正公文小标宋" w:cs="Times New Roman Regular"/>
          <w:color w:val="000000" w:themeColor="text1"/>
          <w:sz w:val="28"/>
          <w:szCs w:val="28"/>
          <w14:textFill>
            <w14:solidFill>
              <w14:schemeClr w14:val="tx1"/>
            </w14:solidFill>
          </w14:textFill>
        </w:rPr>
        <w:t>中化能源股份有限公司</w:t>
      </w:r>
      <w:bookmarkEnd w:id="5"/>
      <w:bookmarkEnd w:id="6"/>
      <w:bookmarkEnd w:id="7"/>
      <w:bookmarkEnd w:id="8"/>
      <w:bookmarkEnd w:id="9"/>
      <w:bookmarkEnd w:id="10"/>
    </w:p>
    <w:p w14:paraId="313C107E">
      <w:pPr>
        <w:widowControl/>
        <w:spacing w:line="560" w:lineRule="exact"/>
        <w:jc w:val="center"/>
        <w:rPr>
          <w:rFonts w:ascii="Times New Roman Regular" w:hAnsi="Times New Roman Regular" w:eastAsia="黑体" w:cs="Times New Roman Regular"/>
          <w:color w:val="000000" w:themeColor="text1"/>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8"/>
          <w:szCs w:val="28"/>
          <w:lang w:bidi="ar"/>
          <w14:textFill>
            <w14:solidFill>
              <w14:schemeClr w14:val="tx1"/>
            </w14:solidFill>
          </w14:textFill>
        </w:rPr>
        <w:t>二〇二五年</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七</w:t>
      </w:r>
      <w:r>
        <w:rPr>
          <w:rFonts w:ascii="Times New Roman Regular" w:hAnsi="Times New Roman Regular" w:eastAsia="黑体" w:cs="Times New Roman Regular"/>
          <w:color w:val="000000" w:themeColor="text1"/>
          <w:sz w:val="28"/>
          <w:szCs w:val="28"/>
          <w:lang w:bidi="ar"/>
          <w14:textFill>
            <w14:solidFill>
              <w14:schemeClr w14:val="tx1"/>
            </w14:solidFill>
          </w14:textFill>
        </w:rPr>
        <w:t>月</w:t>
      </w:r>
    </w:p>
    <w:p w14:paraId="15FC7A12">
      <w:pPr>
        <w:widowControl/>
        <w:spacing w:line="560" w:lineRule="exact"/>
        <w:rPr>
          <w:rFonts w:ascii="Times New Roman Regular" w:hAnsi="Times New Roman Regular" w:eastAsia="黑体" w:cs="Times New Roman Regular"/>
          <w:color w:val="000000" w:themeColor="text1"/>
          <w:sz w:val="28"/>
          <w:szCs w:val="28"/>
          <w:lang w:bidi="ar"/>
          <w14:textFill>
            <w14:solidFill>
              <w14:schemeClr w14:val="tx1"/>
            </w14:solidFill>
          </w14:textFill>
        </w:rPr>
      </w:pPr>
    </w:p>
    <w:p w14:paraId="365278B5">
      <w:pPr>
        <w:widowControl/>
        <w:spacing w:line="560" w:lineRule="exact"/>
        <w:rPr>
          <w:rFonts w:ascii="Times New Roman Regular" w:hAnsi="Times New Roman Regular" w:eastAsia="黑体" w:cs="Times New Roman Regular"/>
          <w:color w:val="000000" w:themeColor="text1"/>
          <w:sz w:val="28"/>
          <w:szCs w:val="28"/>
          <w:lang w:bidi="ar"/>
          <w14:textFill>
            <w14:solidFill>
              <w14:schemeClr w14:val="tx1"/>
            </w14:solidFill>
          </w14:textFill>
        </w:rPr>
      </w:pPr>
    </w:p>
    <w:sdt>
      <w:sdtPr>
        <w:rPr>
          <w:rFonts w:hint="eastAsia" w:ascii="宋体" w:hAnsi="宋体" w:eastAsia="宋体" w:cs="宋体"/>
          <w:sz w:val="24"/>
        </w:rPr>
        <w:id w:val="30560116"/>
        <w15:color w:val="DBDBDB"/>
        <w:docPartObj>
          <w:docPartGallery w:val="Table of Contents"/>
          <w:docPartUnique/>
        </w:docPartObj>
      </w:sdtPr>
      <w:sdtEndPr>
        <w:rPr>
          <w:rFonts w:hint="default" w:ascii="Times New Roman Regular" w:hAnsi="Times New Roman Regular" w:eastAsia="黑体" w:cs="Times New Roman Regular"/>
          <w:b/>
          <w:color w:val="000000" w:themeColor="text1"/>
          <w:sz w:val="21"/>
          <w:szCs w:val="28"/>
          <w:lang w:bidi="ar"/>
          <w14:textFill>
            <w14:solidFill>
              <w14:schemeClr w14:val="tx1"/>
            </w14:solidFill>
          </w14:textFill>
        </w:rPr>
      </w:sdtEndPr>
      <w:sdtContent>
        <w:p w14:paraId="12E79B03">
          <w:pPr>
            <w:rPr>
              <w:rFonts w:ascii="Times New Roman Regular" w:hAnsi="Times New Roman Regular" w:eastAsia="宋体" w:cs="Times New Roman Regular"/>
              <w:sz w:val="36"/>
              <w:szCs w:val="36"/>
            </w:rPr>
          </w:pPr>
          <w:r>
            <w:rPr>
              <w:rFonts w:ascii="Times New Roman Regular" w:hAnsi="Times New Roman Regular" w:eastAsia="宋体" w:cs="Times New Roman Regular"/>
              <w:sz w:val="36"/>
              <w:szCs w:val="36"/>
            </w:rPr>
            <w:t>目录</w:t>
          </w:r>
        </w:p>
        <w:p w14:paraId="55293F3B">
          <w:pPr>
            <w:pStyle w:val="11"/>
            <w:tabs>
              <w:tab w:val="right" w:leader="dot" w:pos="8306"/>
            </w:tabs>
          </w:pPr>
          <w:r>
            <w:rPr>
              <w:rFonts w:ascii="Times New Roman Regular" w:hAnsi="Times New Roman Regular" w:eastAsia="宋体" w:cs="Times New Roman Regular"/>
              <w:color w:val="000000" w:themeColor="text1"/>
              <w:sz w:val="24"/>
              <w:lang w:bidi="ar"/>
              <w14:textFill>
                <w14:solidFill>
                  <w14:schemeClr w14:val="tx1"/>
                </w14:solidFill>
              </w14:textFill>
            </w:rPr>
            <w:fldChar w:fldCharType="begin"/>
          </w:r>
          <w:r>
            <w:rPr>
              <w:rFonts w:ascii="Times New Roman Regular" w:hAnsi="Times New Roman Regular" w:eastAsia="宋体" w:cs="Times New Roman Regular"/>
              <w:color w:val="000000" w:themeColor="text1"/>
              <w:sz w:val="24"/>
              <w:lang w:bidi="ar"/>
              <w14:textFill>
                <w14:solidFill>
                  <w14:schemeClr w14:val="tx1"/>
                </w14:solidFill>
              </w14:textFill>
            </w:rPr>
            <w:instrText xml:space="preserve">TOC \o "1-2" \h \u </w:instrText>
          </w:r>
          <w:r>
            <w:rPr>
              <w:rFonts w:ascii="Times New Roman Regular" w:hAnsi="Times New Roman Regular" w:eastAsia="宋体" w:cs="Times New Roman Regular"/>
              <w:color w:val="000000" w:themeColor="text1"/>
              <w:sz w:val="24"/>
              <w:lang w:bidi="ar"/>
              <w14:textFill>
                <w14:solidFill>
                  <w14:schemeClr w14:val="tx1"/>
                </w14:solidFill>
              </w14:textFill>
            </w:rPr>
            <w:fldChar w:fldCharType="separate"/>
          </w:r>
          <w:r>
            <w:fldChar w:fldCharType="begin"/>
          </w:r>
          <w:r>
            <w:instrText xml:space="preserve"> HYPERLINK \l "_Toc1037951801" </w:instrText>
          </w:r>
          <w:r>
            <w:fldChar w:fldCharType="separate"/>
          </w:r>
          <w:r>
            <w:rPr>
              <w:rFonts w:ascii="Times New Roman Regular" w:hAnsi="Times New Roman Regular" w:eastAsia="方正公文小标宋" w:cs="Times New Roman Regular"/>
              <w:szCs w:val="44"/>
            </w:rPr>
            <w:t>低碳发展规划与实施方案</w:t>
          </w:r>
          <w:r>
            <w:tab/>
          </w:r>
          <w:r>
            <w:fldChar w:fldCharType="begin"/>
          </w:r>
          <w:r>
            <w:instrText xml:space="preserve"> PAGEREF _Toc1037951801 \h </w:instrText>
          </w:r>
          <w:r>
            <w:fldChar w:fldCharType="separate"/>
          </w:r>
          <w:r>
            <w:t>- 1 -</w:t>
          </w:r>
          <w:r>
            <w:fldChar w:fldCharType="end"/>
          </w:r>
          <w:r>
            <w:fldChar w:fldCharType="end"/>
          </w:r>
        </w:p>
        <w:p w14:paraId="79E6E5AA">
          <w:pPr>
            <w:pStyle w:val="11"/>
            <w:tabs>
              <w:tab w:val="right" w:leader="dot" w:pos="8306"/>
            </w:tabs>
          </w:pPr>
          <w:r>
            <w:fldChar w:fldCharType="begin"/>
          </w:r>
          <w:r>
            <w:instrText xml:space="preserve"> HYPERLINK \l "_Toc846254826" </w:instrText>
          </w:r>
          <w:r>
            <w:fldChar w:fldCharType="separate"/>
          </w:r>
          <w:r>
            <w:rPr>
              <w:rFonts w:ascii="Times New Roman Regular" w:hAnsi="Times New Roman Regular" w:eastAsia="方正公文小标宋" w:cs="Times New Roman Regular"/>
              <w:szCs w:val="28"/>
            </w:rPr>
            <w:t>中化能源股份有限公司</w:t>
          </w:r>
          <w:r>
            <w:tab/>
          </w:r>
          <w:r>
            <w:fldChar w:fldCharType="begin"/>
          </w:r>
          <w:r>
            <w:instrText xml:space="preserve"> PAGEREF _Toc846254826 \h </w:instrText>
          </w:r>
          <w:r>
            <w:fldChar w:fldCharType="separate"/>
          </w:r>
          <w:r>
            <w:t>- 1 -</w:t>
          </w:r>
          <w:r>
            <w:fldChar w:fldCharType="end"/>
          </w:r>
          <w:r>
            <w:fldChar w:fldCharType="end"/>
          </w:r>
        </w:p>
        <w:p w14:paraId="693F5588">
          <w:pPr>
            <w:pStyle w:val="11"/>
            <w:tabs>
              <w:tab w:val="right" w:leader="dot" w:pos="8306"/>
            </w:tabs>
          </w:pPr>
          <w:r>
            <w:fldChar w:fldCharType="begin"/>
          </w:r>
          <w:r>
            <w:instrText xml:space="preserve"> HYPERLINK \l "_Toc220666501" </w:instrText>
          </w:r>
          <w:r>
            <w:fldChar w:fldCharType="separate"/>
          </w:r>
          <w:r>
            <w:rPr>
              <w:rFonts w:ascii="Times New Roman Regular" w:hAnsi="Times New Roman Regular" w:eastAsia="方正公文小标宋" w:cs="Times New Roman Regular"/>
              <w:szCs w:val="28"/>
            </w:rPr>
            <w:t>一、整体情况及业务简述</w:t>
          </w:r>
          <w:r>
            <w:tab/>
          </w:r>
          <w:r>
            <w:fldChar w:fldCharType="begin"/>
          </w:r>
          <w:r>
            <w:instrText xml:space="preserve"> PAGEREF _Toc220666501 \h </w:instrText>
          </w:r>
          <w:r>
            <w:fldChar w:fldCharType="separate"/>
          </w:r>
          <w:r>
            <w:t>- 1 -</w:t>
          </w:r>
          <w:r>
            <w:fldChar w:fldCharType="end"/>
          </w:r>
          <w:r>
            <w:fldChar w:fldCharType="end"/>
          </w:r>
        </w:p>
        <w:p w14:paraId="32103CC0">
          <w:pPr>
            <w:pStyle w:val="13"/>
            <w:tabs>
              <w:tab w:val="right" w:leader="dot" w:pos="8306"/>
            </w:tabs>
          </w:pPr>
          <w:r>
            <w:fldChar w:fldCharType="begin"/>
          </w:r>
          <w:r>
            <w:instrText xml:space="preserve"> HYPERLINK \l "_Toc37623938" </w:instrText>
          </w:r>
          <w:r>
            <w:fldChar w:fldCharType="separate"/>
          </w:r>
          <w:r>
            <w:rPr>
              <w:rFonts w:ascii="Times New Roman Regular" w:hAnsi="Times New Roman Regular" w:eastAsia="黑体" w:cs="Times New Roman Regular"/>
              <w:szCs w:val="28"/>
            </w:rPr>
            <w:t>1.1 企业介绍</w:t>
          </w:r>
          <w:r>
            <w:tab/>
          </w:r>
          <w:r>
            <w:fldChar w:fldCharType="begin"/>
          </w:r>
          <w:r>
            <w:instrText xml:space="preserve"> PAGEREF _Toc37623938 \h </w:instrText>
          </w:r>
          <w:r>
            <w:fldChar w:fldCharType="separate"/>
          </w:r>
          <w:r>
            <w:t>- 1 -</w:t>
          </w:r>
          <w:r>
            <w:fldChar w:fldCharType="end"/>
          </w:r>
          <w:r>
            <w:fldChar w:fldCharType="end"/>
          </w:r>
        </w:p>
        <w:p w14:paraId="68AEAB72">
          <w:pPr>
            <w:pStyle w:val="13"/>
            <w:tabs>
              <w:tab w:val="right" w:leader="dot" w:pos="8306"/>
            </w:tabs>
          </w:pPr>
          <w:r>
            <w:fldChar w:fldCharType="begin"/>
          </w:r>
          <w:r>
            <w:instrText xml:space="preserve"> HYPERLINK \l "_Toc985333748" </w:instrText>
          </w:r>
          <w:r>
            <w:fldChar w:fldCharType="separate"/>
          </w:r>
          <w:r>
            <w:rPr>
              <w:rFonts w:ascii="Times New Roman Regular" w:hAnsi="Times New Roman Regular" w:eastAsia="黑体" w:cs="Times New Roman Regular"/>
              <w:szCs w:val="28"/>
            </w:rPr>
            <w:t>1.2 下属企业及重点排放耗能装置介绍</w:t>
          </w:r>
          <w:r>
            <w:tab/>
          </w:r>
          <w:r>
            <w:fldChar w:fldCharType="begin"/>
          </w:r>
          <w:r>
            <w:instrText xml:space="preserve"> PAGEREF _Toc985333748 \h </w:instrText>
          </w:r>
          <w:r>
            <w:fldChar w:fldCharType="separate"/>
          </w:r>
          <w:r>
            <w:t>- 2 -</w:t>
          </w:r>
          <w:r>
            <w:fldChar w:fldCharType="end"/>
          </w:r>
          <w:r>
            <w:fldChar w:fldCharType="end"/>
          </w:r>
        </w:p>
        <w:p w14:paraId="1FF79ADE">
          <w:pPr>
            <w:pStyle w:val="13"/>
            <w:tabs>
              <w:tab w:val="right" w:leader="dot" w:pos="8306"/>
            </w:tabs>
          </w:pPr>
          <w:r>
            <w:fldChar w:fldCharType="begin"/>
          </w:r>
          <w:r>
            <w:instrText xml:space="preserve"> HYPERLINK \l "_Toc1257900619" </w:instrText>
          </w:r>
          <w:r>
            <w:fldChar w:fldCharType="separate"/>
          </w:r>
          <w:r>
            <w:rPr>
              <w:rFonts w:ascii="Times New Roman Regular" w:hAnsi="Times New Roman Regular" w:eastAsia="黑体" w:cs="Times New Roman Regular"/>
              <w:szCs w:val="28"/>
              <w:lang w:bidi="ar"/>
            </w:rPr>
            <w:t>1.3 编制依据</w:t>
          </w:r>
          <w:r>
            <w:tab/>
          </w:r>
          <w:r>
            <w:fldChar w:fldCharType="begin"/>
          </w:r>
          <w:r>
            <w:instrText xml:space="preserve"> PAGEREF _Toc1257900619 \h </w:instrText>
          </w:r>
          <w:r>
            <w:fldChar w:fldCharType="separate"/>
          </w:r>
          <w:r>
            <w:t>- 5 -</w:t>
          </w:r>
          <w:r>
            <w:fldChar w:fldCharType="end"/>
          </w:r>
          <w:r>
            <w:fldChar w:fldCharType="end"/>
          </w:r>
        </w:p>
        <w:p w14:paraId="7BF621D5">
          <w:pPr>
            <w:pStyle w:val="13"/>
            <w:tabs>
              <w:tab w:val="right" w:leader="dot" w:pos="8306"/>
            </w:tabs>
          </w:pPr>
          <w:r>
            <w:fldChar w:fldCharType="begin"/>
          </w:r>
          <w:r>
            <w:instrText xml:space="preserve"> HYPERLINK \l "_Toc1706682465" </w:instrText>
          </w:r>
          <w:r>
            <w:fldChar w:fldCharType="separate"/>
          </w:r>
          <w:r>
            <w:rPr>
              <w:rFonts w:ascii="Times New Roman Regular" w:hAnsi="Times New Roman Regular" w:eastAsia="黑体" w:cs="Times New Roman Regular"/>
              <w:szCs w:val="28"/>
              <w:lang w:bidi="ar"/>
            </w:rPr>
            <w:t>1.4 编制范围</w:t>
          </w:r>
          <w:r>
            <w:tab/>
          </w:r>
          <w:r>
            <w:fldChar w:fldCharType="begin"/>
          </w:r>
          <w:r>
            <w:instrText xml:space="preserve"> PAGEREF _Toc1706682465 \h </w:instrText>
          </w:r>
          <w:r>
            <w:fldChar w:fldCharType="separate"/>
          </w:r>
          <w:r>
            <w:t>- 6 -</w:t>
          </w:r>
          <w:r>
            <w:fldChar w:fldCharType="end"/>
          </w:r>
          <w:r>
            <w:fldChar w:fldCharType="end"/>
          </w:r>
        </w:p>
        <w:p w14:paraId="7C29780C">
          <w:pPr>
            <w:pStyle w:val="11"/>
            <w:tabs>
              <w:tab w:val="right" w:leader="dot" w:pos="8306"/>
            </w:tabs>
          </w:pPr>
          <w:r>
            <w:fldChar w:fldCharType="begin"/>
          </w:r>
          <w:r>
            <w:instrText xml:space="preserve"> HYPERLINK \l "_Toc273116276" </w:instrText>
          </w:r>
          <w:r>
            <w:fldChar w:fldCharType="separate"/>
          </w:r>
          <w:r>
            <w:rPr>
              <w:rFonts w:ascii="Times New Roman Regular" w:hAnsi="Times New Roman Regular" w:eastAsia="方正公文小标宋" w:cs="Times New Roman Regular"/>
              <w:szCs w:val="28"/>
            </w:rPr>
            <w:t>二、“十四五”低碳重点工作回顾</w:t>
          </w:r>
          <w:r>
            <w:tab/>
          </w:r>
          <w:r>
            <w:fldChar w:fldCharType="begin"/>
          </w:r>
          <w:r>
            <w:instrText xml:space="preserve"> PAGEREF _Toc273116276 \h </w:instrText>
          </w:r>
          <w:r>
            <w:fldChar w:fldCharType="separate"/>
          </w:r>
          <w:r>
            <w:t>- 8 -</w:t>
          </w:r>
          <w:r>
            <w:fldChar w:fldCharType="end"/>
          </w:r>
          <w:r>
            <w:fldChar w:fldCharType="end"/>
          </w:r>
        </w:p>
        <w:p w14:paraId="704D93DA">
          <w:pPr>
            <w:pStyle w:val="13"/>
            <w:tabs>
              <w:tab w:val="right" w:leader="dot" w:pos="8306"/>
            </w:tabs>
          </w:pPr>
          <w:r>
            <w:fldChar w:fldCharType="begin"/>
          </w:r>
          <w:r>
            <w:instrText xml:space="preserve"> HYPERLINK \l "_Toc1092697093" </w:instrText>
          </w:r>
          <w:r>
            <w:fldChar w:fldCharType="separate"/>
          </w:r>
          <w:r>
            <w:rPr>
              <w:rFonts w:ascii="Times New Roman Regular" w:hAnsi="Times New Roman Regular" w:eastAsia="黑体" w:cs="Times New Roman Regular"/>
              <w:szCs w:val="28"/>
            </w:rPr>
            <w:t>2.1 能耗及碳排放现状</w:t>
          </w:r>
          <w:r>
            <w:tab/>
          </w:r>
          <w:r>
            <w:fldChar w:fldCharType="begin"/>
          </w:r>
          <w:r>
            <w:instrText xml:space="preserve"> PAGEREF _Toc1092697093 \h </w:instrText>
          </w:r>
          <w:r>
            <w:fldChar w:fldCharType="separate"/>
          </w:r>
          <w:r>
            <w:t>- 8 -</w:t>
          </w:r>
          <w:r>
            <w:fldChar w:fldCharType="end"/>
          </w:r>
          <w:r>
            <w:fldChar w:fldCharType="end"/>
          </w:r>
        </w:p>
        <w:p w14:paraId="3E1C2530">
          <w:pPr>
            <w:pStyle w:val="13"/>
            <w:tabs>
              <w:tab w:val="right" w:leader="dot" w:pos="8306"/>
            </w:tabs>
          </w:pPr>
          <w:r>
            <w:fldChar w:fldCharType="begin"/>
          </w:r>
          <w:r>
            <w:instrText xml:space="preserve"> HYPERLINK \l "_Toc1827376554" </w:instrText>
          </w:r>
          <w:r>
            <w:fldChar w:fldCharType="separate"/>
          </w:r>
          <w:r>
            <w:rPr>
              <w:rFonts w:ascii="Times New Roman Regular" w:hAnsi="Times New Roman Regular" w:eastAsia="黑体" w:cs="Times New Roman Regular"/>
              <w:szCs w:val="28"/>
              <w:lang w:bidi="ar"/>
            </w:rPr>
            <w:t>2.2 重点节能降碳举措回顾</w:t>
          </w:r>
          <w:r>
            <w:tab/>
          </w:r>
          <w:r>
            <w:fldChar w:fldCharType="begin"/>
          </w:r>
          <w:r>
            <w:instrText xml:space="preserve"> PAGEREF _Toc1827376554 \h </w:instrText>
          </w:r>
          <w:r>
            <w:fldChar w:fldCharType="separate"/>
          </w:r>
          <w:r>
            <w:t>- 20 -</w:t>
          </w:r>
          <w:r>
            <w:fldChar w:fldCharType="end"/>
          </w:r>
          <w:r>
            <w:fldChar w:fldCharType="end"/>
          </w:r>
        </w:p>
        <w:p w14:paraId="749A478C">
          <w:pPr>
            <w:pStyle w:val="13"/>
            <w:tabs>
              <w:tab w:val="right" w:leader="dot" w:pos="8306"/>
            </w:tabs>
          </w:pPr>
          <w:r>
            <w:fldChar w:fldCharType="begin"/>
          </w:r>
          <w:r>
            <w:instrText xml:space="preserve"> HYPERLINK \l "_Toc1554107331" </w:instrText>
          </w:r>
          <w:r>
            <w:fldChar w:fldCharType="separate"/>
          </w:r>
          <w:r>
            <w:rPr>
              <w:rFonts w:hint="eastAsia" w:ascii="Times New Roman Regular" w:hAnsi="Times New Roman Regular" w:eastAsia="黑体" w:cs="Times New Roman Regular"/>
              <w:szCs w:val="28"/>
            </w:rPr>
            <w:t>2.3 十四五低碳规划落实情况回顾</w:t>
          </w:r>
          <w:r>
            <w:tab/>
          </w:r>
          <w:r>
            <w:fldChar w:fldCharType="begin"/>
          </w:r>
          <w:r>
            <w:instrText xml:space="preserve"> PAGEREF _Toc1554107331 \h </w:instrText>
          </w:r>
          <w:r>
            <w:fldChar w:fldCharType="separate"/>
          </w:r>
          <w:r>
            <w:t>- 39 -</w:t>
          </w:r>
          <w:r>
            <w:fldChar w:fldCharType="end"/>
          </w:r>
          <w:r>
            <w:fldChar w:fldCharType="end"/>
          </w:r>
        </w:p>
        <w:p w14:paraId="47F06FEC">
          <w:pPr>
            <w:pStyle w:val="13"/>
            <w:tabs>
              <w:tab w:val="right" w:leader="dot" w:pos="8306"/>
            </w:tabs>
          </w:pPr>
          <w:r>
            <w:fldChar w:fldCharType="begin"/>
          </w:r>
          <w:r>
            <w:instrText xml:space="preserve"> HYPERLINK \l "_Toc38313656" </w:instrText>
          </w:r>
          <w:r>
            <w:fldChar w:fldCharType="separate"/>
          </w:r>
          <w:r>
            <w:rPr>
              <w:rFonts w:ascii="Times New Roman Regular" w:hAnsi="Times New Roman Regular" w:eastAsia="黑体" w:cs="Times New Roman Regular"/>
              <w:szCs w:val="28"/>
            </w:rPr>
            <w:t>2.</w:t>
          </w:r>
          <w:r>
            <w:rPr>
              <w:rFonts w:hint="eastAsia" w:ascii="Times New Roman Regular" w:hAnsi="Times New Roman Regular" w:eastAsia="黑体" w:cs="Times New Roman Regular"/>
              <w:szCs w:val="28"/>
            </w:rPr>
            <w:t>4</w:t>
          </w:r>
          <w:r>
            <w:rPr>
              <w:rFonts w:ascii="Times New Roman Regular" w:hAnsi="Times New Roman Regular" w:eastAsia="黑体" w:cs="Times New Roman Regular"/>
              <w:szCs w:val="28"/>
            </w:rPr>
            <w:t>小结</w:t>
          </w:r>
          <w:r>
            <w:tab/>
          </w:r>
          <w:r>
            <w:fldChar w:fldCharType="begin"/>
          </w:r>
          <w:r>
            <w:instrText xml:space="preserve"> PAGEREF _Toc38313656 \h </w:instrText>
          </w:r>
          <w:r>
            <w:fldChar w:fldCharType="separate"/>
          </w:r>
          <w:r>
            <w:t>- 47 -</w:t>
          </w:r>
          <w:r>
            <w:fldChar w:fldCharType="end"/>
          </w:r>
          <w:r>
            <w:fldChar w:fldCharType="end"/>
          </w:r>
        </w:p>
        <w:p w14:paraId="50647714">
          <w:pPr>
            <w:pStyle w:val="11"/>
            <w:tabs>
              <w:tab w:val="right" w:leader="dot" w:pos="8306"/>
            </w:tabs>
          </w:pPr>
          <w:r>
            <w:fldChar w:fldCharType="begin"/>
          </w:r>
          <w:r>
            <w:instrText xml:space="preserve"> HYPERLINK \l "_Toc1840005939" </w:instrText>
          </w:r>
          <w:r>
            <w:fldChar w:fldCharType="separate"/>
          </w:r>
          <w:r>
            <w:rPr>
              <w:rFonts w:ascii="Times New Roman Regular" w:hAnsi="Times New Roman Regular" w:eastAsia="方正公文小标宋" w:cs="Times New Roman Regular"/>
              <w:szCs w:val="28"/>
            </w:rPr>
            <w:t>三、发展环境分析（2025</w:t>
          </w:r>
          <w:r>
            <w:rPr>
              <w:rFonts w:hint="eastAsia" w:ascii="Times New Roman Regular" w:hAnsi="Times New Roman Regular" w:eastAsia="方正公文小标宋" w:cs="Times New Roman Regular"/>
              <w:szCs w:val="28"/>
            </w:rPr>
            <w:t>—</w:t>
          </w:r>
          <w:r>
            <w:rPr>
              <w:rFonts w:ascii="Times New Roman Regular" w:hAnsi="Times New Roman Regular" w:eastAsia="方正公文小标宋" w:cs="Times New Roman Regular"/>
              <w:szCs w:val="28"/>
            </w:rPr>
            <w:t>2030年）</w:t>
          </w:r>
          <w:r>
            <w:tab/>
          </w:r>
          <w:r>
            <w:fldChar w:fldCharType="begin"/>
          </w:r>
          <w:r>
            <w:instrText xml:space="preserve"> PAGEREF _Toc1840005939 \h </w:instrText>
          </w:r>
          <w:r>
            <w:fldChar w:fldCharType="separate"/>
          </w:r>
          <w:r>
            <w:t>- 51 -</w:t>
          </w:r>
          <w:r>
            <w:fldChar w:fldCharType="end"/>
          </w:r>
          <w:r>
            <w:fldChar w:fldCharType="end"/>
          </w:r>
        </w:p>
        <w:p w14:paraId="73B17AB0">
          <w:pPr>
            <w:pStyle w:val="13"/>
            <w:tabs>
              <w:tab w:val="right" w:leader="dot" w:pos="8306"/>
            </w:tabs>
          </w:pPr>
          <w:r>
            <w:fldChar w:fldCharType="begin"/>
          </w:r>
          <w:r>
            <w:instrText xml:space="preserve"> HYPERLINK \l "_Toc1215299973" </w:instrText>
          </w:r>
          <w:r>
            <w:fldChar w:fldCharType="separate"/>
          </w:r>
          <w:r>
            <w:rPr>
              <w:rFonts w:ascii="Times New Roman Regular" w:hAnsi="Times New Roman Regular" w:eastAsia="黑体" w:cs="Times New Roman Regular"/>
              <w:szCs w:val="28"/>
            </w:rPr>
            <w:t>3.1 国内“双碳</w:t>
          </w:r>
          <w:r>
            <w:rPr>
              <w:rFonts w:hint="eastAsia" w:ascii="Times New Roman Regular" w:hAnsi="Times New Roman Regular" w:eastAsia="黑体" w:cs="Times New Roman Regular"/>
              <w:szCs w:val="28"/>
            </w:rPr>
            <w:t>”“</w:t>
          </w:r>
          <w:r>
            <w:rPr>
              <w:rFonts w:ascii="Times New Roman Regular" w:hAnsi="Times New Roman Regular" w:eastAsia="黑体" w:cs="Times New Roman Regular"/>
              <w:szCs w:val="28"/>
            </w:rPr>
            <w:t>两高”等政策要求</w:t>
          </w:r>
          <w:r>
            <w:rPr>
              <w:rFonts w:ascii="Times New Roman Regular" w:hAnsi="Times New Roman Regular" w:eastAsia="黑体" w:cs="Times New Roman Regular"/>
              <w:szCs w:val="28"/>
              <w:lang w:bidi="ar"/>
            </w:rPr>
            <w:t>对公司低碳发展的影响</w:t>
          </w:r>
          <w:r>
            <w:tab/>
          </w:r>
          <w:r>
            <w:fldChar w:fldCharType="begin"/>
          </w:r>
          <w:r>
            <w:instrText xml:space="preserve"> PAGEREF _Toc1215299973 \h </w:instrText>
          </w:r>
          <w:r>
            <w:fldChar w:fldCharType="separate"/>
          </w:r>
          <w:r>
            <w:t>- 51 -</w:t>
          </w:r>
          <w:r>
            <w:fldChar w:fldCharType="end"/>
          </w:r>
          <w:r>
            <w:fldChar w:fldCharType="end"/>
          </w:r>
        </w:p>
        <w:p w14:paraId="7DCA9DB1">
          <w:pPr>
            <w:pStyle w:val="13"/>
            <w:tabs>
              <w:tab w:val="right" w:leader="dot" w:pos="8306"/>
            </w:tabs>
          </w:pPr>
          <w:r>
            <w:fldChar w:fldCharType="begin"/>
          </w:r>
          <w:r>
            <w:instrText xml:space="preserve"> HYPERLINK \l "_Toc829679594" </w:instrText>
          </w:r>
          <w:r>
            <w:fldChar w:fldCharType="separate"/>
          </w:r>
          <w:r>
            <w:rPr>
              <w:rFonts w:ascii="Times New Roman Regular" w:hAnsi="Times New Roman Regular" w:eastAsia="黑体" w:cs="Times New Roman Regular"/>
              <w:szCs w:val="28"/>
            </w:rPr>
            <w:t>3.2 地方“双碳</w:t>
          </w:r>
          <w:r>
            <w:rPr>
              <w:rFonts w:hint="eastAsia" w:ascii="Times New Roman Regular" w:hAnsi="Times New Roman Regular" w:eastAsia="黑体" w:cs="Times New Roman Regular"/>
              <w:szCs w:val="28"/>
            </w:rPr>
            <w:t>”“</w:t>
          </w:r>
          <w:r>
            <w:rPr>
              <w:rFonts w:ascii="Times New Roman Regular" w:hAnsi="Times New Roman Regular" w:eastAsia="黑体" w:cs="Times New Roman Regular"/>
              <w:szCs w:val="28"/>
            </w:rPr>
            <w:t>两高”政策要求</w:t>
          </w:r>
          <w:r>
            <w:tab/>
          </w:r>
          <w:r>
            <w:fldChar w:fldCharType="begin"/>
          </w:r>
          <w:r>
            <w:instrText xml:space="preserve"> PAGEREF _Toc829679594 \h </w:instrText>
          </w:r>
          <w:r>
            <w:fldChar w:fldCharType="separate"/>
          </w:r>
          <w:r>
            <w:t>- 59 -</w:t>
          </w:r>
          <w:r>
            <w:fldChar w:fldCharType="end"/>
          </w:r>
          <w:r>
            <w:fldChar w:fldCharType="end"/>
          </w:r>
        </w:p>
        <w:p w14:paraId="365FF91E">
          <w:pPr>
            <w:pStyle w:val="13"/>
            <w:tabs>
              <w:tab w:val="right" w:leader="dot" w:pos="8306"/>
            </w:tabs>
          </w:pPr>
          <w:r>
            <w:fldChar w:fldCharType="begin"/>
          </w:r>
          <w:r>
            <w:instrText xml:space="preserve"> HYPERLINK \l "_Toc813616387" </w:instrText>
          </w:r>
          <w:r>
            <w:fldChar w:fldCharType="separate"/>
          </w:r>
          <w:r>
            <w:rPr>
              <w:rFonts w:ascii="Times New Roman Regular" w:hAnsi="Times New Roman Regular" w:eastAsia="黑体" w:cs="Times New Roman Regular"/>
              <w:szCs w:val="28"/>
            </w:rPr>
            <w:t>3.3 产业相关低碳技术趋势与创新方向</w:t>
          </w:r>
          <w:r>
            <w:tab/>
          </w:r>
          <w:r>
            <w:fldChar w:fldCharType="begin"/>
          </w:r>
          <w:r>
            <w:instrText xml:space="preserve"> PAGEREF _Toc813616387 \h </w:instrText>
          </w:r>
          <w:r>
            <w:fldChar w:fldCharType="separate"/>
          </w:r>
          <w:r>
            <w:t>- 64 -</w:t>
          </w:r>
          <w:r>
            <w:fldChar w:fldCharType="end"/>
          </w:r>
          <w:r>
            <w:fldChar w:fldCharType="end"/>
          </w:r>
        </w:p>
        <w:p w14:paraId="24408724">
          <w:pPr>
            <w:pStyle w:val="13"/>
            <w:tabs>
              <w:tab w:val="right" w:leader="dot" w:pos="8306"/>
            </w:tabs>
          </w:pPr>
          <w:r>
            <w:fldChar w:fldCharType="begin"/>
          </w:r>
          <w:r>
            <w:instrText xml:space="preserve"> HYPERLINK \l "_Toc1422235860" </w:instrText>
          </w:r>
          <w:r>
            <w:fldChar w:fldCharType="separate"/>
          </w:r>
          <w:r>
            <w:rPr>
              <w:rFonts w:ascii="Times New Roman Regular" w:hAnsi="Times New Roman Regular" w:eastAsia="黑体" w:cs="Times New Roman Regular"/>
              <w:szCs w:val="28"/>
            </w:rPr>
            <w:t>3.</w:t>
          </w:r>
          <w:r>
            <w:rPr>
              <w:rFonts w:hint="eastAsia" w:ascii="Times New Roman Regular" w:hAnsi="Times New Roman Regular" w:eastAsia="黑体" w:cs="Times New Roman Regular"/>
              <w:szCs w:val="28"/>
            </w:rPr>
            <w:t>4</w:t>
          </w:r>
          <w:r>
            <w:rPr>
              <w:rFonts w:ascii="Times New Roman Regular" w:hAnsi="Times New Roman Regular" w:eastAsia="黑体" w:cs="Times New Roman Regular"/>
              <w:szCs w:val="28"/>
            </w:rPr>
            <w:t xml:space="preserve"> 政策对公司产业未来发展的影响分析</w:t>
          </w:r>
          <w:r>
            <w:tab/>
          </w:r>
          <w:r>
            <w:fldChar w:fldCharType="begin"/>
          </w:r>
          <w:r>
            <w:instrText xml:space="preserve"> PAGEREF _Toc1422235860 \h </w:instrText>
          </w:r>
          <w:r>
            <w:fldChar w:fldCharType="separate"/>
          </w:r>
          <w:r>
            <w:t>- 69 -</w:t>
          </w:r>
          <w:r>
            <w:fldChar w:fldCharType="end"/>
          </w:r>
          <w:r>
            <w:fldChar w:fldCharType="end"/>
          </w:r>
        </w:p>
        <w:p w14:paraId="38F6AEA8">
          <w:pPr>
            <w:pStyle w:val="13"/>
            <w:tabs>
              <w:tab w:val="right" w:leader="dot" w:pos="8306"/>
            </w:tabs>
          </w:pPr>
          <w:r>
            <w:fldChar w:fldCharType="begin"/>
          </w:r>
          <w:r>
            <w:instrText xml:space="preserve"> HYPERLINK \l "_Toc2025107910" </w:instrText>
          </w:r>
          <w:r>
            <w:fldChar w:fldCharType="separate"/>
          </w:r>
          <w:r>
            <w:rPr>
              <w:rFonts w:hint="eastAsia" w:ascii="Times New Roman Regular" w:hAnsi="Times New Roman Regular" w:eastAsia="黑体" w:cs="Times New Roman Regular"/>
              <w:szCs w:val="28"/>
              <w:lang w:bidi="ar"/>
            </w:rPr>
            <w:t>3.5</w:t>
          </w:r>
          <w:r>
            <w:rPr>
              <w:rFonts w:ascii="Times New Roman Regular" w:hAnsi="Times New Roman Regular" w:eastAsia="黑体" w:cs="Times New Roman Regular"/>
              <w:szCs w:val="28"/>
              <w:lang w:bidi="ar"/>
            </w:rPr>
            <w:t xml:space="preserve"> </w:t>
          </w:r>
          <w:r>
            <w:rPr>
              <w:rFonts w:hint="eastAsia" w:ascii="Times New Roman Regular" w:hAnsi="Times New Roman Regular" w:eastAsia="黑体" w:cs="Times New Roman Regular"/>
              <w:szCs w:val="28"/>
              <w:lang w:bidi="ar"/>
            </w:rPr>
            <w:t>绿色电力可行性分析</w:t>
          </w:r>
          <w:r>
            <w:tab/>
          </w:r>
          <w:r>
            <w:fldChar w:fldCharType="begin"/>
          </w:r>
          <w:r>
            <w:instrText xml:space="preserve"> PAGEREF _Toc2025107910 \h </w:instrText>
          </w:r>
          <w:r>
            <w:fldChar w:fldCharType="separate"/>
          </w:r>
          <w:r>
            <w:t>- 72 -</w:t>
          </w:r>
          <w:r>
            <w:fldChar w:fldCharType="end"/>
          </w:r>
          <w:r>
            <w:fldChar w:fldCharType="end"/>
          </w:r>
        </w:p>
        <w:p w14:paraId="7ACC41B8">
          <w:pPr>
            <w:pStyle w:val="13"/>
            <w:tabs>
              <w:tab w:val="right" w:leader="dot" w:pos="8306"/>
            </w:tabs>
          </w:pPr>
          <w:r>
            <w:fldChar w:fldCharType="begin"/>
          </w:r>
          <w:r>
            <w:instrText xml:space="preserve"> HYPERLINK \l "_Toc520322067" </w:instrText>
          </w:r>
          <w:r>
            <w:fldChar w:fldCharType="separate"/>
          </w:r>
          <w:r>
            <w:rPr>
              <w:rFonts w:ascii="Times New Roman Regular" w:hAnsi="Times New Roman Regular" w:eastAsia="黑体" w:cs="Times New Roman Regular"/>
              <w:szCs w:val="28"/>
            </w:rPr>
            <w:t>3</w:t>
          </w:r>
          <w:r>
            <w:rPr>
              <w:rFonts w:hint="eastAsia" w:ascii="Times New Roman Regular" w:hAnsi="Times New Roman Regular" w:eastAsia="黑体" w:cs="Times New Roman Regular"/>
              <w:szCs w:val="28"/>
            </w:rPr>
            <w:t>.6</w:t>
          </w:r>
          <w:r>
            <w:rPr>
              <w:rFonts w:ascii="Times New Roman Regular" w:hAnsi="Times New Roman Regular" w:eastAsia="黑体" w:cs="Times New Roman Regular"/>
              <w:szCs w:val="28"/>
            </w:rPr>
            <w:t>小结</w:t>
          </w:r>
          <w:r>
            <w:tab/>
          </w:r>
          <w:r>
            <w:fldChar w:fldCharType="begin"/>
          </w:r>
          <w:r>
            <w:instrText xml:space="preserve"> PAGEREF _Toc520322067 \h </w:instrText>
          </w:r>
          <w:r>
            <w:fldChar w:fldCharType="separate"/>
          </w:r>
          <w:r>
            <w:t>- 79 -</w:t>
          </w:r>
          <w:r>
            <w:fldChar w:fldCharType="end"/>
          </w:r>
          <w:r>
            <w:fldChar w:fldCharType="end"/>
          </w:r>
        </w:p>
        <w:p w14:paraId="28901035">
          <w:pPr>
            <w:pStyle w:val="11"/>
            <w:tabs>
              <w:tab w:val="right" w:leader="dot" w:pos="8306"/>
            </w:tabs>
          </w:pPr>
          <w:r>
            <w:fldChar w:fldCharType="begin"/>
          </w:r>
          <w:r>
            <w:instrText xml:space="preserve"> HYPERLINK \l "_Toc499569485" </w:instrText>
          </w:r>
          <w:r>
            <w:fldChar w:fldCharType="separate"/>
          </w:r>
          <w:r>
            <w:rPr>
              <w:rFonts w:ascii="Times New Roman Regular" w:hAnsi="Times New Roman Regular" w:eastAsia="方正公文小标宋" w:cs="Times New Roman Regular"/>
              <w:szCs w:val="28"/>
            </w:rPr>
            <w:t>四、标杆对标（2020</w:t>
          </w:r>
          <w:r>
            <w:rPr>
              <w:rFonts w:hint="eastAsia" w:ascii="Times New Roman Regular" w:hAnsi="Times New Roman Regular" w:eastAsia="方正公文小标宋" w:cs="Times New Roman Regular"/>
              <w:szCs w:val="28"/>
            </w:rPr>
            <w:t>—</w:t>
          </w:r>
          <w:r>
            <w:rPr>
              <w:rFonts w:ascii="Times New Roman Regular" w:hAnsi="Times New Roman Regular" w:eastAsia="方正公文小标宋" w:cs="Times New Roman Regular"/>
              <w:szCs w:val="28"/>
            </w:rPr>
            <w:t>2030年）</w:t>
          </w:r>
          <w:r>
            <w:tab/>
          </w:r>
          <w:r>
            <w:fldChar w:fldCharType="begin"/>
          </w:r>
          <w:r>
            <w:instrText xml:space="preserve"> PAGEREF _Toc499569485 \h </w:instrText>
          </w:r>
          <w:r>
            <w:fldChar w:fldCharType="separate"/>
          </w:r>
          <w:r>
            <w:t>- 80 -</w:t>
          </w:r>
          <w:r>
            <w:fldChar w:fldCharType="end"/>
          </w:r>
          <w:r>
            <w:fldChar w:fldCharType="end"/>
          </w:r>
        </w:p>
        <w:p w14:paraId="264EEC67">
          <w:pPr>
            <w:pStyle w:val="13"/>
            <w:tabs>
              <w:tab w:val="right" w:leader="dot" w:pos="8306"/>
            </w:tabs>
          </w:pPr>
          <w:r>
            <w:fldChar w:fldCharType="begin"/>
          </w:r>
          <w:r>
            <w:instrText xml:space="preserve"> HYPERLINK \l "_Toc1750758272" </w:instrText>
          </w:r>
          <w:r>
            <w:fldChar w:fldCharType="separate"/>
          </w:r>
          <w:r>
            <w:rPr>
              <w:rFonts w:ascii="Times New Roman Regular" w:hAnsi="Times New Roman Regular" w:eastAsia="黑体" w:cs="Times New Roman Regular"/>
              <w:szCs w:val="28"/>
            </w:rPr>
            <w:t>4.1 对标企业选取</w:t>
          </w:r>
          <w:r>
            <w:tab/>
          </w:r>
          <w:r>
            <w:fldChar w:fldCharType="begin"/>
          </w:r>
          <w:r>
            <w:instrText xml:space="preserve"> PAGEREF _Toc1750758272 \h </w:instrText>
          </w:r>
          <w:r>
            <w:fldChar w:fldCharType="separate"/>
          </w:r>
          <w:r>
            <w:t>- 80 -</w:t>
          </w:r>
          <w:r>
            <w:fldChar w:fldCharType="end"/>
          </w:r>
          <w:r>
            <w:fldChar w:fldCharType="end"/>
          </w:r>
        </w:p>
        <w:p w14:paraId="63062A4E">
          <w:pPr>
            <w:pStyle w:val="13"/>
            <w:tabs>
              <w:tab w:val="right" w:leader="dot" w:pos="8306"/>
            </w:tabs>
          </w:pPr>
          <w:r>
            <w:fldChar w:fldCharType="begin"/>
          </w:r>
          <w:r>
            <w:instrText xml:space="preserve"> HYPERLINK \l "_Toc173346310" </w:instrText>
          </w:r>
          <w:r>
            <w:fldChar w:fldCharType="separate"/>
          </w:r>
          <w:r>
            <w:rPr>
              <w:rFonts w:ascii="Times New Roman Regular" w:hAnsi="Times New Roman Regular" w:eastAsia="黑体" w:cs="Times New Roman Regular"/>
              <w:szCs w:val="28"/>
            </w:rPr>
            <w:t>4.2 标杆企业对标</w:t>
          </w:r>
          <w:r>
            <w:tab/>
          </w:r>
          <w:r>
            <w:fldChar w:fldCharType="begin"/>
          </w:r>
          <w:r>
            <w:instrText xml:space="preserve"> PAGEREF _Toc173346310 \h </w:instrText>
          </w:r>
          <w:r>
            <w:fldChar w:fldCharType="separate"/>
          </w:r>
          <w:r>
            <w:t>- 81 -</w:t>
          </w:r>
          <w:r>
            <w:fldChar w:fldCharType="end"/>
          </w:r>
          <w:r>
            <w:fldChar w:fldCharType="end"/>
          </w:r>
        </w:p>
        <w:p w14:paraId="606EC2DA">
          <w:pPr>
            <w:pStyle w:val="13"/>
            <w:tabs>
              <w:tab w:val="right" w:leader="dot" w:pos="8306"/>
            </w:tabs>
          </w:pPr>
          <w:r>
            <w:fldChar w:fldCharType="begin"/>
          </w:r>
          <w:r>
            <w:instrText xml:space="preserve"> HYPERLINK \l "_Toc1443606838" </w:instrText>
          </w:r>
          <w:r>
            <w:fldChar w:fldCharType="separate"/>
          </w:r>
          <w:r>
            <w:rPr>
              <w:rFonts w:ascii="Times New Roman Regular" w:hAnsi="Times New Roman Regular" w:eastAsia="黑体" w:cs="Times New Roman Regular"/>
              <w:szCs w:val="28"/>
            </w:rPr>
            <w:t>4.</w:t>
          </w:r>
          <w:r>
            <w:rPr>
              <w:rFonts w:hint="eastAsia" w:ascii="Times New Roman Regular" w:hAnsi="Times New Roman Regular" w:eastAsia="黑体" w:cs="Times New Roman Regular"/>
              <w:szCs w:val="28"/>
            </w:rPr>
            <w:t>3</w:t>
          </w:r>
          <w:r>
            <w:rPr>
              <w:rFonts w:ascii="Times New Roman Regular" w:hAnsi="Times New Roman Regular" w:eastAsia="黑体" w:cs="Times New Roman Regular"/>
              <w:szCs w:val="28"/>
            </w:rPr>
            <w:t xml:space="preserve"> </w:t>
          </w:r>
          <w:r>
            <w:rPr>
              <w:rFonts w:hint="eastAsia" w:ascii="Times New Roman Regular" w:hAnsi="Times New Roman Regular" w:eastAsia="黑体" w:cs="Times New Roman Regular"/>
              <w:szCs w:val="28"/>
            </w:rPr>
            <w:t>炼油行业节能降碳先进技术对标借鉴</w:t>
          </w:r>
          <w:r>
            <w:tab/>
          </w:r>
          <w:r>
            <w:fldChar w:fldCharType="begin"/>
          </w:r>
          <w:r>
            <w:instrText xml:space="preserve"> PAGEREF _Toc1443606838 \h </w:instrText>
          </w:r>
          <w:r>
            <w:fldChar w:fldCharType="separate"/>
          </w:r>
          <w:r>
            <w:t>- 97 -</w:t>
          </w:r>
          <w:r>
            <w:fldChar w:fldCharType="end"/>
          </w:r>
          <w:r>
            <w:fldChar w:fldCharType="end"/>
          </w:r>
        </w:p>
        <w:p w14:paraId="2C5C22F5">
          <w:pPr>
            <w:pStyle w:val="13"/>
            <w:tabs>
              <w:tab w:val="right" w:leader="dot" w:pos="8306"/>
            </w:tabs>
          </w:pPr>
          <w:r>
            <w:fldChar w:fldCharType="begin"/>
          </w:r>
          <w:r>
            <w:instrText xml:space="preserve"> HYPERLINK \l "_Toc429882460" </w:instrText>
          </w:r>
          <w:r>
            <w:fldChar w:fldCharType="separate"/>
          </w:r>
          <w:r>
            <w:rPr>
              <w:rFonts w:hint="eastAsia" w:ascii="Times New Roman Regular" w:hAnsi="Times New Roman Regular" w:eastAsia="黑体" w:cs="Times New Roman Regular"/>
              <w:szCs w:val="28"/>
            </w:rPr>
            <w:t>4.4 加热炉热效率对标</w:t>
          </w:r>
          <w:r>
            <w:tab/>
          </w:r>
          <w:r>
            <w:fldChar w:fldCharType="begin"/>
          </w:r>
          <w:r>
            <w:instrText xml:space="preserve"> PAGEREF _Toc429882460 \h </w:instrText>
          </w:r>
          <w:r>
            <w:fldChar w:fldCharType="separate"/>
          </w:r>
          <w:r>
            <w:t>- 103 -</w:t>
          </w:r>
          <w:r>
            <w:fldChar w:fldCharType="end"/>
          </w:r>
          <w:r>
            <w:fldChar w:fldCharType="end"/>
          </w:r>
        </w:p>
        <w:p w14:paraId="3A573448">
          <w:pPr>
            <w:pStyle w:val="11"/>
            <w:tabs>
              <w:tab w:val="right" w:leader="dot" w:pos="8306"/>
            </w:tabs>
          </w:pPr>
          <w:r>
            <w:fldChar w:fldCharType="begin"/>
          </w:r>
          <w:r>
            <w:instrText xml:space="preserve"> HYPERLINK \l "_Toc899516712" </w:instrText>
          </w:r>
          <w:r>
            <w:fldChar w:fldCharType="separate"/>
          </w:r>
          <w:r>
            <w:rPr>
              <w:rFonts w:ascii="Times New Roman Regular" w:hAnsi="Times New Roman Regular" w:eastAsia="方正公文小标宋" w:cs="Times New Roman Regular"/>
              <w:szCs w:val="28"/>
            </w:rPr>
            <w:t>五、低碳发展目标（2025</w:t>
          </w:r>
          <w:r>
            <w:rPr>
              <w:rFonts w:hint="eastAsia" w:ascii="Times New Roman Regular" w:hAnsi="Times New Roman Regular" w:eastAsia="方正公文小标宋" w:cs="Times New Roman Regular"/>
              <w:szCs w:val="28"/>
            </w:rPr>
            <w:t>—</w:t>
          </w:r>
          <w:r>
            <w:rPr>
              <w:rFonts w:ascii="Times New Roman Regular" w:hAnsi="Times New Roman Regular" w:eastAsia="方正公文小标宋" w:cs="Times New Roman Regular"/>
              <w:szCs w:val="28"/>
            </w:rPr>
            <w:t>2030年）</w:t>
          </w:r>
          <w:r>
            <w:tab/>
          </w:r>
          <w:r>
            <w:fldChar w:fldCharType="begin"/>
          </w:r>
          <w:r>
            <w:instrText xml:space="preserve"> PAGEREF _Toc899516712 \h </w:instrText>
          </w:r>
          <w:r>
            <w:fldChar w:fldCharType="separate"/>
          </w:r>
          <w:r>
            <w:t>- 106 -</w:t>
          </w:r>
          <w:r>
            <w:fldChar w:fldCharType="end"/>
          </w:r>
          <w:r>
            <w:fldChar w:fldCharType="end"/>
          </w:r>
        </w:p>
        <w:p w14:paraId="3F84655A">
          <w:pPr>
            <w:pStyle w:val="13"/>
            <w:tabs>
              <w:tab w:val="right" w:leader="dot" w:pos="8306"/>
            </w:tabs>
          </w:pPr>
          <w:r>
            <w:fldChar w:fldCharType="begin"/>
          </w:r>
          <w:r>
            <w:instrText xml:space="preserve"> HYPERLINK \l "_Toc2039987351" </w:instrText>
          </w:r>
          <w:r>
            <w:fldChar w:fldCharType="separate"/>
          </w:r>
          <w:r>
            <w:rPr>
              <w:rFonts w:ascii="Times New Roman Regular" w:hAnsi="Times New Roman Regular" w:eastAsia="黑体" w:cs="Times New Roman Regular"/>
              <w:szCs w:val="28"/>
              <w:lang w:bidi="ar"/>
            </w:rPr>
            <w:t>5.1 指导思想</w:t>
          </w:r>
          <w:r>
            <w:tab/>
          </w:r>
          <w:r>
            <w:fldChar w:fldCharType="begin"/>
          </w:r>
          <w:r>
            <w:instrText xml:space="preserve"> PAGEREF _Toc2039987351 \h </w:instrText>
          </w:r>
          <w:r>
            <w:fldChar w:fldCharType="separate"/>
          </w:r>
          <w:r>
            <w:t>- 106 -</w:t>
          </w:r>
          <w:r>
            <w:fldChar w:fldCharType="end"/>
          </w:r>
          <w:r>
            <w:fldChar w:fldCharType="end"/>
          </w:r>
        </w:p>
        <w:p w14:paraId="57852397">
          <w:pPr>
            <w:pStyle w:val="13"/>
            <w:tabs>
              <w:tab w:val="right" w:leader="dot" w:pos="8306"/>
            </w:tabs>
          </w:pPr>
          <w:r>
            <w:fldChar w:fldCharType="begin"/>
          </w:r>
          <w:r>
            <w:instrText xml:space="preserve"> HYPERLINK \l "_Toc1490983902" </w:instrText>
          </w:r>
          <w:r>
            <w:fldChar w:fldCharType="separate"/>
          </w:r>
          <w:r>
            <w:rPr>
              <w:rFonts w:ascii="Times New Roman Regular" w:hAnsi="Times New Roman Regular" w:eastAsia="黑体" w:cs="Times New Roman Regular"/>
              <w:szCs w:val="28"/>
              <w:lang w:bidi="ar"/>
            </w:rPr>
            <w:t>5.2 发展原则</w:t>
          </w:r>
          <w:r>
            <w:tab/>
          </w:r>
          <w:r>
            <w:fldChar w:fldCharType="begin"/>
          </w:r>
          <w:r>
            <w:instrText xml:space="preserve"> PAGEREF _Toc1490983902 \h </w:instrText>
          </w:r>
          <w:r>
            <w:fldChar w:fldCharType="separate"/>
          </w:r>
          <w:r>
            <w:t>- 106 -</w:t>
          </w:r>
          <w:r>
            <w:fldChar w:fldCharType="end"/>
          </w:r>
          <w:r>
            <w:fldChar w:fldCharType="end"/>
          </w:r>
        </w:p>
        <w:p w14:paraId="41778E1F">
          <w:pPr>
            <w:pStyle w:val="13"/>
            <w:tabs>
              <w:tab w:val="right" w:leader="dot" w:pos="8306"/>
            </w:tabs>
          </w:pPr>
          <w:r>
            <w:fldChar w:fldCharType="begin"/>
          </w:r>
          <w:r>
            <w:instrText xml:space="preserve"> HYPERLINK \l "_Toc2127247718" </w:instrText>
          </w:r>
          <w:r>
            <w:fldChar w:fldCharType="separate"/>
          </w:r>
          <w:r>
            <w:rPr>
              <w:rFonts w:ascii="Times New Roman Regular" w:hAnsi="Times New Roman Regular" w:eastAsia="黑体" w:cs="Times New Roman Regular"/>
              <w:szCs w:val="28"/>
              <w:lang w:bidi="ar"/>
            </w:rPr>
            <w:t>5.3 规划目标</w:t>
          </w:r>
          <w:r>
            <w:tab/>
          </w:r>
          <w:r>
            <w:fldChar w:fldCharType="begin"/>
          </w:r>
          <w:r>
            <w:instrText xml:space="preserve"> PAGEREF _Toc2127247718 \h </w:instrText>
          </w:r>
          <w:r>
            <w:fldChar w:fldCharType="separate"/>
          </w:r>
          <w:r>
            <w:t>- 107 -</w:t>
          </w:r>
          <w:r>
            <w:fldChar w:fldCharType="end"/>
          </w:r>
          <w:r>
            <w:fldChar w:fldCharType="end"/>
          </w:r>
        </w:p>
        <w:p w14:paraId="3B61587F">
          <w:pPr>
            <w:pStyle w:val="11"/>
            <w:tabs>
              <w:tab w:val="right" w:leader="dot" w:pos="8306"/>
            </w:tabs>
          </w:pPr>
          <w:r>
            <w:fldChar w:fldCharType="begin"/>
          </w:r>
          <w:r>
            <w:instrText xml:space="preserve"> HYPERLINK \l "_Toc1344641170" </w:instrText>
          </w:r>
          <w:r>
            <w:fldChar w:fldCharType="separate"/>
          </w:r>
          <w:r>
            <w:rPr>
              <w:rFonts w:ascii="Times New Roman Regular" w:hAnsi="Times New Roman Regular" w:eastAsia="方正公文小标宋" w:cs="Times New Roman Regular"/>
              <w:szCs w:val="28"/>
            </w:rPr>
            <w:t>六、低碳发展实施路径</w:t>
          </w:r>
          <w:r>
            <w:tab/>
          </w:r>
          <w:r>
            <w:fldChar w:fldCharType="begin"/>
          </w:r>
          <w:r>
            <w:instrText xml:space="preserve"> PAGEREF _Toc1344641170 \h </w:instrText>
          </w:r>
          <w:r>
            <w:fldChar w:fldCharType="separate"/>
          </w:r>
          <w:r>
            <w:t>- 108 -</w:t>
          </w:r>
          <w:r>
            <w:fldChar w:fldCharType="end"/>
          </w:r>
          <w:r>
            <w:fldChar w:fldCharType="end"/>
          </w:r>
        </w:p>
        <w:p w14:paraId="5C74923F">
          <w:pPr>
            <w:pStyle w:val="13"/>
            <w:tabs>
              <w:tab w:val="right" w:leader="dot" w:pos="8306"/>
            </w:tabs>
          </w:pPr>
          <w:r>
            <w:fldChar w:fldCharType="begin"/>
          </w:r>
          <w:r>
            <w:instrText xml:space="preserve"> HYPERLINK \l "_Toc1413726809" </w:instrText>
          </w:r>
          <w:r>
            <w:fldChar w:fldCharType="separate"/>
          </w:r>
          <w:r>
            <w:rPr>
              <w:rFonts w:ascii="Times New Roman Regular" w:hAnsi="Times New Roman Regular" w:eastAsia="黑体" w:cs="Times New Roman Regular"/>
              <w:szCs w:val="28"/>
              <w:lang w:bidi="ar"/>
            </w:rPr>
            <w:t>6.1 低碳业务总体实施路径</w:t>
          </w:r>
          <w:r>
            <w:tab/>
          </w:r>
          <w:r>
            <w:fldChar w:fldCharType="begin"/>
          </w:r>
          <w:r>
            <w:instrText xml:space="preserve"> PAGEREF _Toc1413726809 \h </w:instrText>
          </w:r>
          <w:r>
            <w:fldChar w:fldCharType="separate"/>
          </w:r>
          <w:r>
            <w:t>- 108 -</w:t>
          </w:r>
          <w:r>
            <w:fldChar w:fldCharType="end"/>
          </w:r>
          <w:r>
            <w:fldChar w:fldCharType="end"/>
          </w:r>
        </w:p>
        <w:p w14:paraId="6C76B268">
          <w:pPr>
            <w:pStyle w:val="13"/>
            <w:tabs>
              <w:tab w:val="right" w:leader="dot" w:pos="8306"/>
            </w:tabs>
          </w:pPr>
          <w:r>
            <w:fldChar w:fldCharType="begin"/>
          </w:r>
          <w:r>
            <w:instrText xml:space="preserve"> HYPERLINK \l "_Toc747408455" </w:instrText>
          </w:r>
          <w:r>
            <w:fldChar w:fldCharType="separate"/>
          </w:r>
          <w:r>
            <w:rPr>
              <w:rFonts w:ascii="Times New Roman Regular" w:hAnsi="Times New Roman Regular" w:eastAsia="黑体" w:cs="Times New Roman Regular"/>
              <w:szCs w:val="28"/>
              <w:lang w:bidi="ar"/>
            </w:rPr>
            <w:t>6.2 绿色低碳产业规划</w:t>
          </w:r>
          <w:r>
            <w:tab/>
          </w:r>
          <w:r>
            <w:fldChar w:fldCharType="begin"/>
          </w:r>
          <w:r>
            <w:instrText xml:space="preserve"> PAGEREF _Toc747408455 \h </w:instrText>
          </w:r>
          <w:r>
            <w:fldChar w:fldCharType="separate"/>
          </w:r>
          <w:r>
            <w:t>- 113 -</w:t>
          </w:r>
          <w:r>
            <w:fldChar w:fldCharType="end"/>
          </w:r>
          <w:r>
            <w:fldChar w:fldCharType="end"/>
          </w:r>
        </w:p>
        <w:p w14:paraId="490CF5A8">
          <w:pPr>
            <w:pStyle w:val="13"/>
            <w:tabs>
              <w:tab w:val="right" w:leader="dot" w:pos="8306"/>
            </w:tabs>
          </w:pPr>
          <w:r>
            <w:fldChar w:fldCharType="begin"/>
          </w:r>
          <w:r>
            <w:instrText xml:space="preserve"> HYPERLINK \l "_Toc1062051882" </w:instrText>
          </w:r>
          <w:r>
            <w:fldChar w:fldCharType="separate"/>
          </w:r>
          <w:r>
            <w:rPr>
              <w:rFonts w:ascii="Times New Roman Regular" w:hAnsi="Times New Roman Regular" w:eastAsia="黑体" w:cs="Times New Roman Regular"/>
              <w:szCs w:val="28"/>
              <w:lang w:bidi="ar"/>
            </w:rPr>
            <w:t>6.</w:t>
          </w:r>
          <w:r>
            <w:rPr>
              <w:rFonts w:hint="eastAsia" w:ascii="Times New Roman Regular" w:hAnsi="Times New Roman Regular" w:eastAsia="黑体" w:cs="Times New Roman Regular"/>
              <w:szCs w:val="28"/>
              <w:lang w:bidi="ar"/>
            </w:rPr>
            <w:t>3</w:t>
          </w:r>
          <w:r>
            <w:rPr>
              <w:rFonts w:ascii="Times New Roman Regular" w:hAnsi="Times New Roman Regular" w:eastAsia="黑体" w:cs="Times New Roman Regular"/>
              <w:szCs w:val="28"/>
              <w:lang w:bidi="ar"/>
            </w:rPr>
            <w:t xml:space="preserve"> </w:t>
          </w:r>
          <w:r>
            <w:rPr>
              <w:rFonts w:hint="eastAsia" w:ascii="Times New Roman Regular" w:hAnsi="Times New Roman Regular" w:eastAsia="黑体" w:cs="Times New Roman Regular"/>
              <w:szCs w:val="28"/>
              <w:lang w:bidi="ar"/>
            </w:rPr>
            <w:t>前沿低碳节能技术储备</w:t>
          </w:r>
          <w:r>
            <w:tab/>
          </w:r>
          <w:r>
            <w:fldChar w:fldCharType="begin"/>
          </w:r>
          <w:r>
            <w:instrText xml:space="preserve"> PAGEREF _Toc1062051882 \h </w:instrText>
          </w:r>
          <w:r>
            <w:fldChar w:fldCharType="separate"/>
          </w:r>
          <w:r>
            <w:t>- 121 -</w:t>
          </w:r>
          <w:r>
            <w:fldChar w:fldCharType="end"/>
          </w:r>
          <w:r>
            <w:fldChar w:fldCharType="end"/>
          </w:r>
        </w:p>
        <w:p w14:paraId="18D08391">
          <w:pPr>
            <w:pStyle w:val="11"/>
            <w:tabs>
              <w:tab w:val="right" w:leader="dot" w:pos="8306"/>
            </w:tabs>
          </w:pPr>
          <w:r>
            <w:fldChar w:fldCharType="begin"/>
          </w:r>
          <w:r>
            <w:instrText xml:space="preserve"> HYPERLINK \l "_Toc21906910" </w:instrText>
          </w:r>
          <w:r>
            <w:fldChar w:fldCharType="separate"/>
          </w:r>
          <w:r>
            <w:rPr>
              <w:rFonts w:ascii="Times New Roman Regular" w:hAnsi="Times New Roman Regular" w:eastAsia="方正公文小标宋" w:cs="Times New Roman Regular"/>
              <w:szCs w:val="28"/>
            </w:rPr>
            <w:t>七、实施效果分析</w:t>
          </w:r>
          <w:r>
            <w:tab/>
          </w:r>
          <w:r>
            <w:fldChar w:fldCharType="begin"/>
          </w:r>
          <w:r>
            <w:instrText xml:space="preserve"> PAGEREF _Toc21906910 \h </w:instrText>
          </w:r>
          <w:r>
            <w:fldChar w:fldCharType="separate"/>
          </w:r>
          <w:r>
            <w:t>- 128 -</w:t>
          </w:r>
          <w:r>
            <w:fldChar w:fldCharType="end"/>
          </w:r>
          <w:r>
            <w:fldChar w:fldCharType="end"/>
          </w:r>
        </w:p>
        <w:p w14:paraId="319E4F99">
          <w:pPr>
            <w:pStyle w:val="13"/>
            <w:tabs>
              <w:tab w:val="right" w:leader="dot" w:pos="8306"/>
            </w:tabs>
          </w:pPr>
          <w:r>
            <w:fldChar w:fldCharType="begin"/>
          </w:r>
          <w:r>
            <w:instrText xml:space="preserve"> HYPERLINK \l "_Toc969732733" </w:instrText>
          </w:r>
          <w:r>
            <w:fldChar w:fldCharType="separate"/>
          </w:r>
          <w:r>
            <w:rPr>
              <w:rFonts w:ascii="Times New Roman Regular" w:hAnsi="Times New Roman Regular" w:eastAsia="黑体" w:cs="Times New Roman Regular"/>
              <w:szCs w:val="28"/>
              <w:lang w:bidi="ar"/>
            </w:rPr>
            <w:t>7.</w:t>
          </w:r>
          <w:r>
            <w:rPr>
              <w:rFonts w:hint="eastAsia" w:ascii="Times New Roman Regular" w:hAnsi="Times New Roman Regular" w:eastAsia="黑体" w:cs="Times New Roman Regular"/>
              <w:szCs w:val="28"/>
              <w:lang w:bidi="ar"/>
            </w:rPr>
            <w:t>1</w:t>
          </w:r>
          <w:r>
            <w:rPr>
              <w:rFonts w:ascii="Times New Roman Regular" w:hAnsi="Times New Roman Regular" w:eastAsia="黑体" w:cs="Times New Roman Regular"/>
              <w:szCs w:val="28"/>
              <w:lang w:bidi="ar"/>
            </w:rPr>
            <w:t xml:space="preserve"> 碳达峰情景预测</w:t>
          </w:r>
          <w:r>
            <w:tab/>
          </w:r>
          <w:r>
            <w:fldChar w:fldCharType="begin"/>
          </w:r>
          <w:r>
            <w:instrText xml:space="preserve"> PAGEREF _Toc969732733 \h </w:instrText>
          </w:r>
          <w:r>
            <w:fldChar w:fldCharType="separate"/>
          </w:r>
          <w:r>
            <w:t>- 128 -</w:t>
          </w:r>
          <w:r>
            <w:fldChar w:fldCharType="end"/>
          </w:r>
          <w:r>
            <w:fldChar w:fldCharType="end"/>
          </w:r>
        </w:p>
        <w:p w14:paraId="15EABFF3">
          <w:pPr>
            <w:pStyle w:val="13"/>
            <w:tabs>
              <w:tab w:val="right" w:leader="dot" w:pos="8306"/>
            </w:tabs>
          </w:pPr>
          <w:r>
            <w:fldChar w:fldCharType="begin"/>
          </w:r>
          <w:r>
            <w:instrText xml:space="preserve"> HYPERLINK \l "_Toc1044646448" </w:instrText>
          </w:r>
          <w:r>
            <w:fldChar w:fldCharType="separate"/>
          </w:r>
          <w:r>
            <w:rPr>
              <w:rFonts w:ascii="Times New Roman Regular" w:hAnsi="Times New Roman Regular" w:eastAsia="黑体" w:cs="Times New Roman Regular"/>
              <w:szCs w:val="28"/>
              <w:lang w:bidi="ar"/>
            </w:rPr>
            <w:t>7.</w:t>
          </w:r>
          <w:r>
            <w:rPr>
              <w:rFonts w:hint="eastAsia" w:ascii="Times New Roman Regular" w:hAnsi="Times New Roman Regular" w:eastAsia="黑体" w:cs="Times New Roman Regular"/>
              <w:szCs w:val="28"/>
              <w:lang w:bidi="ar"/>
            </w:rPr>
            <w:t>2</w:t>
          </w:r>
          <w:r>
            <w:rPr>
              <w:rFonts w:ascii="Times New Roman Regular" w:hAnsi="Times New Roman Regular" w:eastAsia="黑体" w:cs="Times New Roman Regular"/>
              <w:szCs w:val="28"/>
              <w:lang w:bidi="ar"/>
            </w:rPr>
            <w:t xml:space="preserve"> </w:t>
          </w:r>
          <w:r>
            <w:rPr>
              <w:rFonts w:hint="eastAsia" w:ascii="Times New Roman Regular" w:hAnsi="Times New Roman Regular" w:eastAsia="黑体" w:cs="Times New Roman Regular"/>
              <w:szCs w:val="28"/>
              <w:lang w:bidi="ar"/>
            </w:rPr>
            <w:t>“十五五”低碳发展预测效果（模型结果）</w:t>
          </w:r>
          <w:r>
            <w:tab/>
          </w:r>
          <w:r>
            <w:fldChar w:fldCharType="begin"/>
          </w:r>
          <w:r>
            <w:instrText xml:space="preserve"> PAGEREF _Toc1044646448 \h </w:instrText>
          </w:r>
          <w:r>
            <w:fldChar w:fldCharType="separate"/>
          </w:r>
          <w:r>
            <w:t>- 134 -</w:t>
          </w:r>
          <w:r>
            <w:fldChar w:fldCharType="end"/>
          </w:r>
          <w:r>
            <w:fldChar w:fldCharType="end"/>
          </w:r>
        </w:p>
        <w:p w14:paraId="5AA217E1">
          <w:pPr>
            <w:pStyle w:val="13"/>
            <w:tabs>
              <w:tab w:val="right" w:leader="dot" w:pos="8306"/>
            </w:tabs>
          </w:pPr>
          <w:r>
            <w:fldChar w:fldCharType="begin"/>
          </w:r>
          <w:r>
            <w:instrText xml:space="preserve"> HYPERLINK \l "_Toc1694037311" </w:instrText>
          </w:r>
          <w:r>
            <w:fldChar w:fldCharType="separate"/>
          </w:r>
          <w:r>
            <w:rPr>
              <w:rFonts w:ascii="Times New Roman Regular" w:hAnsi="Times New Roman Regular" w:eastAsia="黑体" w:cs="Times New Roman Regular"/>
              <w:szCs w:val="28"/>
              <w:lang w:bidi="ar"/>
            </w:rPr>
            <w:t>7.</w:t>
          </w:r>
          <w:r>
            <w:rPr>
              <w:rFonts w:hint="eastAsia" w:ascii="Times New Roman Regular" w:hAnsi="Times New Roman Regular" w:eastAsia="黑体" w:cs="Times New Roman Regular"/>
              <w:szCs w:val="28"/>
              <w:lang w:bidi="ar"/>
            </w:rPr>
            <w:t>3</w:t>
          </w:r>
          <w:r>
            <w:rPr>
              <w:rFonts w:ascii="Times New Roman Regular" w:hAnsi="Times New Roman Regular" w:eastAsia="黑体" w:cs="Times New Roman Regular"/>
              <w:szCs w:val="28"/>
              <w:lang w:bidi="ar"/>
            </w:rPr>
            <w:t xml:space="preserve"> </w:t>
          </w:r>
          <w:r>
            <w:rPr>
              <w:rFonts w:hint="eastAsia" w:ascii="Times New Roman Regular" w:hAnsi="Times New Roman Regular" w:eastAsia="黑体" w:cs="Times New Roman Regular"/>
              <w:szCs w:val="28"/>
              <w:lang w:bidi="ar"/>
            </w:rPr>
            <w:t>“十五五”低碳发展预测效果（芳烃延后情况下）</w:t>
          </w:r>
          <w:r>
            <w:tab/>
          </w:r>
          <w:r>
            <w:fldChar w:fldCharType="begin"/>
          </w:r>
          <w:r>
            <w:instrText xml:space="preserve"> PAGEREF _Toc1694037311 \h </w:instrText>
          </w:r>
          <w:r>
            <w:fldChar w:fldCharType="separate"/>
          </w:r>
          <w:r>
            <w:t>- 138 -</w:t>
          </w:r>
          <w:r>
            <w:fldChar w:fldCharType="end"/>
          </w:r>
          <w:r>
            <w:fldChar w:fldCharType="end"/>
          </w:r>
        </w:p>
        <w:p w14:paraId="515BB46E">
          <w:pPr>
            <w:pStyle w:val="13"/>
            <w:tabs>
              <w:tab w:val="right" w:leader="dot" w:pos="8306"/>
            </w:tabs>
          </w:pPr>
          <w:r>
            <w:fldChar w:fldCharType="begin"/>
          </w:r>
          <w:r>
            <w:instrText xml:space="preserve"> HYPERLINK \l "_Toc346894051" </w:instrText>
          </w:r>
          <w:r>
            <w:fldChar w:fldCharType="separate"/>
          </w:r>
          <w:r>
            <w:rPr>
              <w:rFonts w:ascii="Times New Roman Regular" w:hAnsi="Times New Roman Regular" w:eastAsia="黑体" w:cs="Times New Roman Regular"/>
              <w:szCs w:val="28"/>
              <w:lang w:bidi="ar"/>
            </w:rPr>
            <w:t>7.</w:t>
          </w:r>
          <w:r>
            <w:rPr>
              <w:rFonts w:hint="eastAsia" w:ascii="Times New Roman Regular" w:hAnsi="Times New Roman Regular" w:eastAsia="黑体" w:cs="Times New Roman Regular"/>
              <w:szCs w:val="28"/>
              <w:lang w:bidi="ar"/>
            </w:rPr>
            <w:t>4</w:t>
          </w:r>
          <w:r>
            <w:rPr>
              <w:rFonts w:ascii="Times New Roman Regular" w:hAnsi="Times New Roman Regular" w:eastAsia="黑体" w:cs="Times New Roman Regular"/>
              <w:szCs w:val="28"/>
              <w:lang w:bidi="ar"/>
            </w:rPr>
            <w:t xml:space="preserve"> 碳中和情景展望</w:t>
          </w:r>
          <w:r>
            <w:tab/>
          </w:r>
          <w:r>
            <w:fldChar w:fldCharType="begin"/>
          </w:r>
          <w:r>
            <w:instrText xml:space="preserve"> PAGEREF _Toc346894051 \h </w:instrText>
          </w:r>
          <w:r>
            <w:fldChar w:fldCharType="separate"/>
          </w:r>
          <w:r>
            <w:t>- 140 -</w:t>
          </w:r>
          <w:r>
            <w:fldChar w:fldCharType="end"/>
          </w:r>
          <w:r>
            <w:fldChar w:fldCharType="end"/>
          </w:r>
        </w:p>
        <w:p w14:paraId="24F7A4E4">
          <w:pPr>
            <w:pStyle w:val="11"/>
            <w:tabs>
              <w:tab w:val="right" w:leader="dot" w:pos="8306"/>
            </w:tabs>
          </w:pPr>
          <w:r>
            <w:fldChar w:fldCharType="begin"/>
          </w:r>
          <w:r>
            <w:instrText xml:space="preserve"> HYPERLINK \l "_Toc1977697199" </w:instrText>
          </w:r>
          <w:r>
            <w:fldChar w:fldCharType="separate"/>
          </w:r>
          <w:r>
            <w:rPr>
              <w:rFonts w:ascii="Times New Roman Regular" w:hAnsi="Times New Roman Regular" w:eastAsia="方正公文小标宋" w:cs="Times New Roman Regular"/>
              <w:szCs w:val="28"/>
            </w:rPr>
            <w:t>八、保障措施及建议</w:t>
          </w:r>
          <w:r>
            <w:tab/>
          </w:r>
          <w:r>
            <w:fldChar w:fldCharType="begin"/>
          </w:r>
          <w:r>
            <w:instrText xml:space="preserve"> PAGEREF _Toc1977697199 \h </w:instrText>
          </w:r>
          <w:r>
            <w:fldChar w:fldCharType="separate"/>
          </w:r>
          <w:r>
            <w:t>- 142 -</w:t>
          </w:r>
          <w:r>
            <w:fldChar w:fldCharType="end"/>
          </w:r>
          <w:r>
            <w:fldChar w:fldCharType="end"/>
          </w:r>
        </w:p>
        <w:p w14:paraId="58A3C7F4">
          <w:pPr>
            <w:pStyle w:val="13"/>
            <w:tabs>
              <w:tab w:val="right" w:leader="dot" w:pos="8306"/>
            </w:tabs>
          </w:pPr>
          <w:r>
            <w:fldChar w:fldCharType="begin"/>
          </w:r>
          <w:r>
            <w:instrText xml:space="preserve"> HYPERLINK \l "_Toc404935327" </w:instrText>
          </w:r>
          <w:r>
            <w:fldChar w:fldCharType="separate"/>
          </w:r>
          <w:r>
            <w:rPr>
              <w:rFonts w:ascii="Times New Roman Regular" w:hAnsi="Times New Roman Regular" w:eastAsia="仿宋_GB2312" w:cs="Times New Roman Regular"/>
              <w:szCs w:val="28"/>
            </w:rPr>
            <w:t>8.1 加强组织领导与协调</w:t>
          </w:r>
          <w:r>
            <w:tab/>
          </w:r>
          <w:r>
            <w:fldChar w:fldCharType="begin"/>
          </w:r>
          <w:r>
            <w:instrText xml:space="preserve"> PAGEREF _Toc404935327 \h </w:instrText>
          </w:r>
          <w:r>
            <w:fldChar w:fldCharType="separate"/>
          </w:r>
          <w:r>
            <w:t>- 142 -</w:t>
          </w:r>
          <w:r>
            <w:fldChar w:fldCharType="end"/>
          </w:r>
          <w:r>
            <w:fldChar w:fldCharType="end"/>
          </w:r>
        </w:p>
        <w:p w14:paraId="59340EBD">
          <w:pPr>
            <w:pStyle w:val="13"/>
            <w:tabs>
              <w:tab w:val="right" w:leader="dot" w:pos="8306"/>
            </w:tabs>
          </w:pPr>
          <w:r>
            <w:fldChar w:fldCharType="begin"/>
          </w:r>
          <w:r>
            <w:instrText xml:space="preserve"> HYPERLINK \l "_Toc372363546" </w:instrText>
          </w:r>
          <w:r>
            <w:fldChar w:fldCharType="separate"/>
          </w:r>
          <w:r>
            <w:rPr>
              <w:rFonts w:ascii="Times New Roman Regular" w:hAnsi="Times New Roman Regular" w:eastAsia="仿宋_GB2312" w:cs="Times New Roman Regular"/>
              <w:szCs w:val="28"/>
            </w:rPr>
            <w:t>8.2 完善制度体系与政策支持</w:t>
          </w:r>
          <w:r>
            <w:tab/>
          </w:r>
          <w:r>
            <w:fldChar w:fldCharType="begin"/>
          </w:r>
          <w:r>
            <w:instrText xml:space="preserve"> PAGEREF _Toc372363546 \h </w:instrText>
          </w:r>
          <w:r>
            <w:fldChar w:fldCharType="separate"/>
          </w:r>
          <w:r>
            <w:t>- 142 -</w:t>
          </w:r>
          <w:r>
            <w:fldChar w:fldCharType="end"/>
          </w:r>
          <w:r>
            <w:fldChar w:fldCharType="end"/>
          </w:r>
        </w:p>
        <w:p w14:paraId="7E69C128">
          <w:pPr>
            <w:pStyle w:val="13"/>
            <w:tabs>
              <w:tab w:val="right" w:leader="dot" w:pos="8306"/>
            </w:tabs>
          </w:pPr>
          <w:r>
            <w:fldChar w:fldCharType="begin"/>
          </w:r>
          <w:r>
            <w:instrText xml:space="preserve"> HYPERLINK \l "_Toc546770264" </w:instrText>
          </w:r>
          <w:r>
            <w:fldChar w:fldCharType="separate"/>
          </w:r>
          <w:r>
            <w:rPr>
              <w:rFonts w:ascii="Times New Roman Regular" w:hAnsi="Times New Roman Regular" w:eastAsia="仿宋_GB2312" w:cs="Times New Roman Regular"/>
              <w:szCs w:val="28"/>
            </w:rPr>
            <w:t>8.3 应用数字化系统与智能化技术</w:t>
          </w:r>
          <w:r>
            <w:tab/>
          </w:r>
          <w:r>
            <w:fldChar w:fldCharType="begin"/>
          </w:r>
          <w:r>
            <w:instrText xml:space="preserve"> PAGEREF _Toc546770264 \h </w:instrText>
          </w:r>
          <w:r>
            <w:fldChar w:fldCharType="separate"/>
          </w:r>
          <w:r>
            <w:t>- 142 -</w:t>
          </w:r>
          <w:r>
            <w:fldChar w:fldCharType="end"/>
          </w:r>
          <w:r>
            <w:fldChar w:fldCharType="end"/>
          </w:r>
        </w:p>
        <w:p w14:paraId="61036186">
          <w:pPr>
            <w:pStyle w:val="13"/>
            <w:tabs>
              <w:tab w:val="right" w:leader="dot" w:pos="8306"/>
            </w:tabs>
          </w:pPr>
          <w:r>
            <w:fldChar w:fldCharType="begin"/>
          </w:r>
          <w:r>
            <w:instrText xml:space="preserve"> HYPERLINK \l "_Toc485301535" </w:instrText>
          </w:r>
          <w:r>
            <w:fldChar w:fldCharType="separate"/>
          </w:r>
          <w:r>
            <w:rPr>
              <w:rFonts w:ascii="Times New Roman Regular" w:hAnsi="Times New Roman Regular" w:eastAsia="仿宋_GB2312" w:cs="Times New Roman Regular"/>
              <w:szCs w:val="28"/>
            </w:rPr>
            <w:t>8.4 打造低碳企业文化</w:t>
          </w:r>
          <w:r>
            <w:tab/>
          </w:r>
          <w:r>
            <w:fldChar w:fldCharType="begin"/>
          </w:r>
          <w:r>
            <w:instrText xml:space="preserve"> PAGEREF _Toc485301535 \h </w:instrText>
          </w:r>
          <w:r>
            <w:fldChar w:fldCharType="separate"/>
          </w:r>
          <w:r>
            <w:t>- 142 -</w:t>
          </w:r>
          <w:r>
            <w:fldChar w:fldCharType="end"/>
          </w:r>
          <w:r>
            <w:fldChar w:fldCharType="end"/>
          </w:r>
        </w:p>
        <w:p w14:paraId="5A21BE29">
          <w:pPr>
            <w:pStyle w:val="13"/>
            <w:tabs>
              <w:tab w:val="right" w:leader="dot" w:pos="8306"/>
            </w:tabs>
          </w:pPr>
          <w:r>
            <w:fldChar w:fldCharType="begin"/>
          </w:r>
          <w:r>
            <w:instrText xml:space="preserve"> HYPERLINK \l "_Toc320007439" </w:instrText>
          </w:r>
          <w:r>
            <w:fldChar w:fldCharType="separate"/>
          </w:r>
          <w:r>
            <w:rPr>
              <w:rFonts w:ascii="Times New Roman Regular" w:hAnsi="Times New Roman Regular" w:eastAsia="仿宋_GB2312" w:cs="Times New Roman Regular"/>
              <w:szCs w:val="28"/>
            </w:rPr>
            <w:t>8.5 争取政府支持与资源整合</w:t>
          </w:r>
          <w:r>
            <w:tab/>
          </w:r>
          <w:r>
            <w:fldChar w:fldCharType="begin"/>
          </w:r>
          <w:r>
            <w:instrText xml:space="preserve"> PAGEREF _Toc320007439 \h </w:instrText>
          </w:r>
          <w:r>
            <w:fldChar w:fldCharType="separate"/>
          </w:r>
          <w:r>
            <w:t>- 143 -</w:t>
          </w:r>
          <w:r>
            <w:fldChar w:fldCharType="end"/>
          </w:r>
          <w:r>
            <w:fldChar w:fldCharType="end"/>
          </w:r>
        </w:p>
        <w:p w14:paraId="05062146">
          <w:pPr>
            <w:pStyle w:val="13"/>
            <w:tabs>
              <w:tab w:val="right" w:leader="dot" w:pos="8306"/>
            </w:tabs>
          </w:pPr>
          <w:r>
            <w:fldChar w:fldCharType="begin"/>
          </w:r>
          <w:r>
            <w:instrText xml:space="preserve"> HYPERLINK \l "_Toc1065975185" </w:instrText>
          </w:r>
          <w:r>
            <w:fldChar w:fldCharType="separate"/>
          </w:r>
          <w:r>
            <w:rPr>
              <w:rFonts w:ascii="Times New Roman Regular" w:hAnsi="Times New Roman Regular" w:eastAsia="仿宋_GB2312" w:cs="Times New Roman Regular"/>
              <w:szCs w:val="28"/>
            </w:rPr>
            <w:t>8.6 加强安全环保监督管理</w:t>
          </w:r>
          <w:r>
            <w:tab/>
          </w:r>
          <w:r>
            <w:fldChar w:fldCharType="begin"/>
          </w:r>
          <w:r>
            <w:instrText xml:space="preserve"> PAGEREF _Toc1065975185 \h </w:instrText>
          </w:r>
          <w:r>
            <w:fldChar w:fldCharType="separate"/>
          </w:r>
          <w:r>
            <w:t>- 143 -</w:t>
          </w:r>
          <w:r>
            <w:fldChar w:fldCharType="end"/>
          </w:r>
          <w:r>
            <w:fldChar w:fldCharType="end"/>
          </w:r>
        </w:p>
        <w:p w14:paraId="3D24542A">
          <w:pPr>
            <w:pStyle w:val="13"/>
            <w:tabs>
              <w:tab w:val="right" w:leader="dot" w:pos="8306"/>
            </w:tabs>
          </w:pPr>
          <w:r>
            <w:fldChar w:fldCharType="begin"/>
          </w:r>
          <w:r>
            <w:instrText xml:space="preserve"> HYPERLINK \l "_Toc1536351021" </w:instrText>
          </w:r>
          <w:r>
            <w:fldChar w:fldCharType="separate"/>
          </w:r>
          <w:r>
            <w:rPr>
              <w:rFonts w:ascii="Times New Roman Regular" w:hAnsi="Times New Roman Regular" w:eastAsia="仿宋_GB2312" w:cs="Times New Roman Regular"/>
              <w:szCs w:val="28"/>
            </w:rPr>
            <w:t>8.7 专业人才培养与引进</w:t>
          </w:r>
          <w:r>
            <w:tab/>
          </w:r>
          <w:r>
            <w:fldChar w:fldCharType="begin"/>
          </w:r>
          <w:r>
            <w:instrText xml:space="preserve"> PAGEREF _Toc1536351021 \h </w:instrText>
          </w:r>
          <w:r>
            <w:fldChar w:fldCharType="separate"/>
          </w:r>
          <w:r>
            <w:t>- 143 -</w:t>
          </w:r>
          <w:r>
            <w:fldChar w:fldCharType="end"/>
          </w:r>
          <w:r>
            <w:fldChar w:fldCharType="end"/>
          </w:r>
        </w:p>
        <w:p w14:paraId="7DCCF911">
          <w:pPr>
            <w:pStyle w:val="13"/>
            <w:tabs>
              <w:tab w:val="right" w:leader="dot" w:pos="8306"/>
            </w:tabs>
          </w:pPr>
          <w:r>
            <w:fldChar w:fldCharType="begin"/>
          </w:r>
          <w:r>
            <w:instrText xml:space="preserve"> HYPERLINK \l "_Toc108238419" </w:instrText>
          </w:r>
          <w:r>
            <w:fldChar w:fldCharType="separate"/>
          </w:r>
          <w:r>
            <w:rPr>
              <w:rFonts w:ascii="Times New Roman Regular" w:hAnsi="Times New Roman Regular" w:eastAsia="仿宋_GB2312" w:cs="Times New Roman Regular"/>
              <w:szCs w:val="28"/>
            </w:rPr>
            <w:t>8.8 绿色低碳技术统筹建议</w:t>
          </w:r>
          <w:r>
            <w:tab/>
          </w:r>
          <w:r>
            <w:fldChar w:fldCharType="begin"/>
          </w:r>
          <w:r>
            <w:instrText xml:space="preserve"> PAGEREF _Toc108238419 \h </w:instrText>
          </w:r>
          <w:r>
            <w:fldChar w:fldCharType="separate"/>
          </w:r>
          <w:r>
            <w:t>- 143 -</w:t>
          </w:r>
          <w:r>
            <w:fldChar w:fldCharType="end"/>
          </w:r>
          <w:r>
            <w:fldChar w:fldCharType="end"/>
          </w:r>
        </w:p>
        <w:p w14:paraId="552E9389">
          <w:pPr>
            <w:pStyle w:val="11"/>
            <w:tabs>
              <w:tab w:val="right" w:leader="dot" w:pos="8306"/>
            </w:tabs>
          </w:pPr>
          <w:r>
            <w:fldChar w:fldCharType="begin"/>
          </w:r>
          <w:r>
            <w:instrText xml:space="preserve"> HYPERLINK \l "_Toc244459124" </w:instrText>
          </w:r>
          <w:r>
            <w:fldChar w:fldCharType="separate"/>
          </w:r>
          <w:r>
            <w:rPr>
              <w:rFonts w:ascii="Times New Roman Regular" w:hAnsi="Times New Roman Regular" w:eastAsia="方正公文小标宋" w:cs="Times New Roman Regular"/>
              <w:szCs w:val="28"/>
            </w:rPr>
            <w:t>九、结论与展望</w:t>
          </w:r>
          <w:r>
            <w:tab/>
          </w:r>
          <w:r>
            <w:fldChar w:fldCharType="begin"/>
          </w:r>
          <w:r>
            <w:instrText xml:space="preserve"> PAGEREF _Toc244459124 \h </w:instrText>
          </w:r>
          <w:r>
            <w:fldChar w:fldCharType="separate"/>
          </w:r>
          <w:r>
            <w:t>- 145 -</w:t>
          </w:r>
          <w:r>
            <w:fldChar w:fldCharType="end"/>
          </w:r>
          <w:r>
            <w:fldChar w:fldCharType="end"/>
          </w:r>
        </w:p>
        <w:p w14:paraId="71544F0D">
          <w:pPr>
            <w:widowControl/>
            <w:spacing w:line="560" w:lineRule="exact"/>
            <w:rPr>
              <w:rFonts w:ascii="Times New Roman Regular" w:hAnsi="Times New Roman Regular" w:eastAsia="黑体" w:cs="Times New Roman Regular"/>
              <w:b/>
              <w:color w:val="000000" w:themeColor="text1"/>
              <w:szCs w:val="28"/>
              <w:lang w:bidi="ar"/>
              <w14:textFill>
                <w14:solidFill>
                  <w14:schemeClr w14:val="tx1"/>
                </w14:solidFill>
              </w14:textFill>
            </w:rPr>
          </w:pPr>
          <w:r>
            <w:rPr>
              <w:rFonts w:ascii="Times New Roman Regular" w:hAnsi="Times New Roman Regular" w:eastAsia="宋体" w:cs="Times New Roman Regular"/>
              <w:color w:val="000000" w:themeColor="text1"/>
              <w:lang w:bidi="ar"/>
              <w14:textFill>
                <w14:solidFill>
                  <w14:schemeClr w14:val="tx1"/>
                </w14:solidFill>
              </w14:textFill>
            </w:rPr>
            <w:fldChar w:fldCharType="end"/>
          </w:r>
        </w:p>
      </w:sdtContent>
    </w:sdt>
    <w:p w14:paraId="7DB98A13">
      <w:pPr>
        <w:widowControl/>
        <w:spacing w:line="560" w:lineRule="exact"/>
        <w:rPr>
          <w:rFonts w:ascii="Times New Roman Regular" w:hAnsi="Times New Roman Regular" w:eastAsia="黑体" w:cs="Times New Roman Regular"/>
          <w:b/>
          <w:color w:val="000000" w:themeColor="text1"/>
          <w:szCs w:val="28"/>
          <w:lang w:bidi="ar"/>
          <w14:textFill>
            <w14:solidFill>
              <w14:schemeClr w14:val="tx1"/>
            </w14:solidFill>
          </w14:textFill>
        </w:rPr>
        <w:sectPr>
          <w:pgSz w:w="11906" w:h="16838"/>
          <w:pgMar w:top="1440" w:right="1800" w:bottom="1440" w:left="1800" w:header="851" w:footer="992" w:gutter="0"/>
          <w:pgNumType w:fmt="numberInDash"/>
          <w:cols w:space="425" w:num="1"/>
          <w:docGrid w:type="lines" w:linePitch="312" w:charSpace="0"/>
        </w:sectPr>
      </w:pPr>
    </w:p>
    <w:p w14:paraId="29452C90">
      <w:pPr>
        <w:pStyle w:val="15"/>
        <w:spacing w:line="560" w:lineRule="exact"/>
        <w:ind w:firstLine="0" w:firstLineChars="0"/>
        <w:rPr>
          <w:rFonts w:ascii="Times New Roman Regular" w:hAnsi="Times New Roman Regular" w:cs="Times New Roman Regular"/>
          <w:color w:val="000000" w:themeColor="text1"/>
          <w14:textFill>
            <w14:solidFill>
              <w14:schemeClr w14:val="tx1"/>
            </w14:solidFill>
          </w14:textFill>
        </w:rPr>
      </w:pPr>
    </w:p>
    <w:p w14:paraId="204D17EF">
      <w:pPr>
        <w:widowControl/>
        <w:spacing w:line="560" w:lineRule="exact"/>
        <w:outlineLvl w:val="0"/>
        <w:rPr>
          <w:rFonts w:ascii="Times New Roman Regular" w:hAnsi="Times New Roman Regular" w:eastAsia="方正公文小标宋" w:cs="Times New Roman Regular"/>
          <w:color w:val="000000" w:themeColor="text1"/>
          <w:sz w:val="28"/>
          <w:szCs w:val="28"/>
          <w14:textFill>
            <w14:solidFill>
              <w14:schemeClr w14:val="tx1"/>
            </w14:solidFill>
          </w14:textFill>
        </w:rPr>
      </w:pPr>
      <w:bookmarkStart w:id="11" w:name="_Toc19412"/>
      <w:bookmarkStart w:id="12" w:name="_Toc256496949"/>
      <w:bookmarkStart w:id="13" w:name="_Toc220666501"/>
      <w:bookmarkStart w:id="14" w:name="_Toc907576780"/>
      <w:bookmarkStart w:id="15" w:name="_Toc79173864"/>
      <w:r>
        <w:rPr>
          <w:rFonts w:ascii="Times New Roman Regular" w:hAnsi="Times New Roman Regular" w:eastAsia="方正公文小标宋" w:cs="Times New Roman Regular"/>
          <w:color w:val="000000" w:themeColor="text1"/>
          <w:sz w:val="28"/>
          <w:szCs w:val="28"/>
          <w14:textFill>
            <w14:solidFill>
              <w14:schemeClr w14:val="tx1"/>
            </w14:solidFill>
          </w14:textFill>
        </w:rPr>
        <w:t>一、整体情况及业务简述</w:t>
      </w:r>
      <w:bookmarkEnd w:id="11"/>
      <w:bookmarkEnd w:id="12"/>
      <w:bookmarkEnd w:id="13"/>
      <w:bookmarkEnd w:id="14"/>
      <w:bookmarkEnd w:id="15"/>
    </w:p>
    <w:p w14:paraId="5AFF04AA">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16" w:name="_Toc8017"/>
      <w:bookmarkStart w:id="17" w:name="_Toc66596819"/>
      <w:bookmarkStart w:id="18" w:name="_Toc1382754755"/>
      <w:bookmarkStart w:id="19" w:name="_Toc37623938"/>
      <w:bookmarkStart w:id="20" w:name="_Toc944542314"/>
      <w:r>
        <w:rPr>
          <w:rFonts w:ascii="Times New Roman Regular" w:hAnsi="Times New Roman Regular" w:eastAsia="黑体" w:cs="Times New Roman Regular"/>
          <w:color w:val="000000" w:themeColor="text1"/>
          <w:sz w:val="28"/>
          <w:szCs w:val="28"/>
          <w14:textFill>
            <w14:solidFill>
              <w14:schemeClr w14:val="tx1"/>
            </w14:solidFill>
          </w14:textFill>
        </w:rPr>
        <w:t>1.1 企业介绍</w:t>
      </w:r>
      <w:bookmarkEnd w:id="16"/>
      <w:bookmarkEnd w:id="17"/>
      <w:bookmarkEnd w:id="18"/>
      <w:bookmarkEnd w:id="19"/>
      <w:bookmarkEnd w:id="20"/>
    </w:p>
    <w:p w14:paraId="436E0159">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股份有限公司前身为中化实业有限公司，成立于1993年4月，注册资本188.8888亿元，2018年6月完成股改和工商更名登记，是中国中化控股有限责任公司下属的专门从事石油化工业务经营的子公司。中化能源拥有石油石化上下游全产业链，汇集石油贸易、炼化生产、产品营销、仓储物流、园区发展、数字创新、科技研发等业务，具有完备的一体化经营基础和能力、良好的抗风险能力。</w:t>
      </w:r>
      <w:bookmarkStart w:id="21" w:name="OLE_LINK2"/>
      <w:bookmarkStart w:id="22" w:name="OLE_LINK1"/>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石油贸易业务是传统优势业务，具有丰富的石油国际贸易经验、较强的境外石油资源获取能力，贸易规模1亿吨/年，并拥有5条超级油轮（VLCC）；</w:t>
      </w:r>
      <w:bookmarkEnd w:id="21"/>
      <w:bookmarkEnd w:id="22"/>
      <w:bookmarkStart w:id="23" w:name="OLE_LINK3"/>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炼化业务是中化能源的核心业务，拥有</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三家</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炼油企业，原油加工能力</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26</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00万吨/年，</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其</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中泉州炼化一体化基地，原油加工能力</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500万吨/年，100万吨/年乙烯和80万吨/年芳烃生产装置</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，山东炼厂</w:t>
      </w:r>
      <w:r>
        <w:rPr>
          <w:rStyle w:val="23"/>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footnoteReference w:id="0"/>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包括正和石化、华星石化，拥有1100万吨/年原油加工能力，产品包括汽油、柴油等成品油、液化气、乙烯、丙烯、聚丙烯、苯、甲苯、二甲苯等化工产品</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bookmarkEnd w:id="23"/>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物流仓储</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业务</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覆盖环渤海、长三角和珠三角地区，是国内综合服务能力最强的第三方石化仓储物流服务运营商；</w:t>
      </w:r>
      <w:bookmarkStart w:id="24" w:name="OLE_LINK4"/>
      <w:bookmarkStart w:id="25" w:name="OLE_LINK5"/>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油销业务拥有国内第四大品牌零售网络，覆盖东北、华北、华东、华南及西南等主要市场，拥有近2000座自营及加盟站，油品销售规模突破1500万吨/年；</w:t>
      </w:r>
      <w:bookmarkEnd w:id="24"/>
      <w:bookmarkEnd w:id="25"/>
      <w:bookmarkStart w:id="26" w:name="OLE_LINK6"/>
      <w:bookmarkStart w:id="27" w:name="OLE_LINK7"/>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化销业务依托泉州石化化工产品，形成以福建为核心、辐射华东、华南区域的营销网络，化工品营销规模突破1600万吨/年。拥有中化石油化工研究院，为炼油乙烯项目高质量发展提供自主核心技术支撑，为新兴业务</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开拓</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提供科技支持。</w:t>
      </w:r>
    </w:p>
    <w:bookmarkEnd w:id="26"/>
    <w:bookmarkEnd w:id="27"/>
    <w:p w14:paraId="27A0840A">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十五五”中化能源以炼化产业为核心，聚焦一体化、高端化、智能化、绿色化、国际化发展方向，推动全产业链向高附加值、高可持续发展能力升级，构建“炼化-新材料-综合能源服务”协同生态，打造具有全球竞争力的综合性石油化工领军企业。</w:t>
      </w:r>
    </w:p>
    <w:p w14:paraId="44C7E6F4">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40D17A92">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28" w:name="_Toc22019"/>
      <w:bookmarkStart w:id="29" w:name="_Toc723552774"/>
      <w:bookmarkStart w:id="30" w:name="_Toc2038623098"/>
      <w:bookmarkStart w:id="31" w:name="_Toc985333748"/>
      <w:bookmarkStart w:id="32" w:name="_Toc453756846"/>
      <w:r>
        <w:rPr>
          <w:rFonts w:ascii="Times New Roman Regular" w:hAnsi="Times New Roman Regular" w:eastAsia="黑体" w:cs="Times New Roman Regular"/>
          <w:color w:val="000000" w:themeColor="text1"/>
          <w:sz w:val="28"/>
          <w:szCs w:val="28"/>
          <w14:textFill>
            <w14:solidFill>
              <w14:schemeClr w14:val="tx1"/>
            </w14:solidFill>
          </w14:textFill>
        </w:rPr>
        <w:t>1.2 下属企业</w:t>
      </w:r>
      <w:r>
        <w:rPr>
          <w:rFonts w:hint="eastAsia" w:ascii="Times New Roman Regular" w:hAnsi="Times New Roman Regular" w:eastAsia="黑体" w:cs="Times New Roman Regular"/>
          <w:color w:val="000000" w:themeColor="text1"/>
          <w:sz w:val="28"/>
          <w:szCs w:val="28"/>
          <w:lang w:val="en-US" w:eastAsia="zh-CN"/>
          <w14:textFill>
            <w14:solidFill>
              <w14:schemeClr w14:val="tx1"/>
            </w14:solidFill>
          </w14:textFill>
        </w:rPr>
        <w:t>简介</w:t>
      </w:r>
      <w:bookmarkEnd w:id="28"/>
      <w:bookmarkEnd w:id="29"/>
      <w:bookmarkEnd w:id="30"/>
      <w:bookmarkEnd w:id="31"/>
      <w:bookmarkEnd w:id="32"/>
    </w:p>
    <w:p w14:paraId="3B13C632">
      <w:pPr>
        <w:widowControl/>
        <w:spacing w:line="560" w:lineRule="exact"/>
        <w:ind w:firstLine="560" w:firstLineChars="200"/>
        <w:rPr>
          <w:rFonts w:ascii="Times New Roman Regular" w:hAnsi="Times New Roman Regular" w:eastAsia="黑体"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中化能源是一家科技驱动、创新成长、卓越管理的石油石化产业运营商及综合服务商，下属勘探公司、石油公司、泉州石化、华星石化、正和石化、大庆中蓝、能源物流、石油销售、石化销售、石化院、能源科技</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十一</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家二级经营单位。其中涉及节能低碳管理</w:t>
      </w:r>
      <w:r>
        <w:rPr>
          <w:rStyle w:val="23"/>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footnoteReference w:id="1"/>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的工业、非工业境内单位为泉州石化、华星石化、正和石化、大庆中蓝、能源物流、石油销售、石化销售、石化院，对应简介如下：</w:t>
      </w:r>
    </w:p>
    <w:p w14:paraId="44442AF8">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1.2.1 泉州石化</w:t>
      </w:r>
    </w:p>
    <w:p w14:paraId="2DDFE611">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泉州石化有限公司成立于2006年9月，位于福建省泉州市惠安县泉惠石化工业园区，现有员工2400人，现有主要装置37套，加工规模为1500万吨/年原油加工、100万吨/年乙烯化工，炼油采用“常减压——渣油加氢——催化裂化——加氢裂化——延迟焦化”的加工工艺路线，乙烯化工以 100 万吨/年乙烯（蒸汽裂解）为龙头装置，向下游延伸数套聚烯烃、POSM、EOEG、EVA等装置。</w:t>
      </w:r>
    </w:p>
    <w:p w14:paraId="662461E0">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泉州石化二期100万吨/年乙烯及炼油改扩建项目总投资325亿元，占地面积约6500亩，于2015年12月获福建省发改委核准，2020年9月建成投产，生产出合格产品。主要装置有100万吨/年乙烯裂解、80万吨/年对二甲苯、40万吨/年高密度聚乙烯（HDPE）、20/50万吨/年环氧乙烷/乙二醇（EO/EG）、20/45万吨/年环氧丙烷/苯乙烯(PO/SM)、35万吨/年聚丙烯（PP）、10万吨/年醋酸乙烯与乙烯共聚物(EVA）17套。主要产品有HDPE、EVA、PP、环氧乙烷、乙二醇、环氧丙烷、对二甲苯、苯乙烯、丁二烯、C5馏分、C9馏分等。2021年9月获评“化学工业优质精品工程”。</w:t>
      </w:r>
    </w:p>
    <w:p w14:paraId="7B44A0DF">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主要产品有汽油、柴油、煤油、液化石油气、聚丙烯、聚乙烯、乙烯-醋酸乙烯共聚物、环氧乙烷、环氧丙烷、乙二醇、丁二烯、苯乙烯、芳烃等。成品油以出口为主，聚烯烃、有机化学原料产品以内贸为主。 </w:t>
      </w:r>
    </w:p>
    <w:p w14:paraId="3482E963">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1.2.2 华星石化</w:t>
      </w:r>
    </w:p>
    <w:p w14:paraId="297D79F0">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山东华星石油化工集团有限公司（以下简称“华星石化”）2000年6月成立，位于山东省东营市广饶县大王经济开发区，西邻长深高速，北依寿平铁路，紧靠潍高路，烟淄管线支线入厂，企业拥有一条自备铁路专用线，形成管输、铁运、汽运、船运相结合的多位一体物流运输体系。公司现有员工1450余人，专利168项，拥有160万吨/年重交沥青装置等10余套生产装置，以及热电厂、污水</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处理厂</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、储运罐区、货运火车站等设施。公司原油一次加工能力600万吨。</w:t>
      </w:r>
    </w:p>
    <w:p w14:paraId="6892CF16">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现有600万吨/年原料油预处理、140万吨/年DCC、100万吨/年FCC、140万吨/年延迟焦化、140万吨/年汽柴油加氢精制等十多套生产装置，原油一次加工能力达700万吨。</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产品有成品油、化工产品两大系列，包括汽油、柴油、液化气、石油焦等石油产品和苯乙烯、丙烯、苯等基础化工原料。</w:t>
      </w:r>
    </w:p>
    <w:p w14:paraId="73FFBC3F">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1.2.3 正和石化</w:t>
      </w:r>
    </w:p>
    <w:p w14:paraId="5038553A">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正和集团股份有限公司（以下简称：正和集团）位于山东省东营市广饶县辛桥，一次加工能力为500万吨/年，主要生产装置有500万吨/年原料油预处理装置、100万吨/年深度催化裂解装置、25 万吨/年气分装置、4万吨/年MTBE装置、120 万吨/年延迟焦化装置、100 万吨/年油煤联合加氢装置、5万吨/年硫磺装置、60万吨/年汽油加氢改质装置、20万吨/年轻烃醚化装置、100 万吨/年连续重整装置、30万吨/年芳烃抽提装置、140万吨/年柴油加氢改质装置等炼油装置；以及处理能力500立方/小时的污水</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处理厂</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储存能力30万方的原料罐区、20万方的成品油及芳烃罐区、2万方的液化气罐区等。公司主要产品有汽油、柴油、液化气、丙烯、民用烃、石脑油、硫磺、MTBE、苯、甲苯、二甲苯、液氨等，各种产品执行并达到国家质量标准。</w:t>
      </w:r>
    </w:p>
    <w:p w14:paraId="485E3EF1">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正和石化主要排放和耗能装置主要涉及原料预处理、深度催化裂解、连续重整、芳烃抽提、延迟焦化等有加热炉的装置和锅炉。催化烧焦和锅炉分别占据了全厂约25%的排放和耗能、加热炉燃料消耗占据了全厂约30%的排放和耗能。</w:t>
      </w:r>
    </w:p>
    <w:p w14:paraId="7484CCE5">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原料预处理装置主要涉及了常压炉、减压炉燃料气消耗及电力使用；深度催化裂解主要涉及了烧焦、CO炉燃料气消耗、机组用蒸汽/电；连续重整、芳烃抽提、延迟焦化主要涉及了加热炉燃料气消耗及机组用蒸汽/电；锅炉消耗水煤浆产生3.5MPa蒸汽，主要排放/耗能区域为锅炉燃烧部分。</w:t>
      </w:r>
    </w:p>
    <w:p w14:paraId="573BD7FC">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1.2.4 大庆中蓝</w:t>
      </w:r>
    </w:p>
    <w:p w14:paraId="6AB8C9C1">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大庆中蓝石化有限公司（简称大庆中蓝）位于黑龙江省大庆市让胡路区喇嘛甸镇，于2005年7月注册成立，现有员工</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499</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人。</w:t>
      </w:r>
    </w:p>
    <w:p w14:paraId="5D82414F">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大庆中蓝拥有40万吨/年重油催化裂化、50万吨/年催化裂解（DCC）、15万吨/年石脑油改质、40万吨/年汽油加氢、35万吨/年柴油加氢、8000标立/时制氢、50万吨/年C4分离、23万吨/年气体分馏、8万吨/年甲基叔丁基醚（MTBE）、8万吨/年乙苯/苯乙烯、7万吨/年石脑油非临氢改质、2.2万吨/年壬基酚、1.2万吨/年甲乙酮、5000吨/年硫磺回收等合计14套生产装置。2024年只有7千吨/年壬烯一套化工装置生产(现已停产），主要产品为壬烯以及副产品十二稀、辛烯异构体及液化气等，目前正处于破产清算阶段。</w:t>
      </w:r>
    </w:p>
    <w:p w14:paraId="1F53069A">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1.2.5 能源物流</w:t>
      </w:r>
    </w:p>
    <w:p w14:paraId="52B3607A">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物流有限公司成立于2020年5月20日，为中化能源股份有限公司全资子企业，专业从事石化物流业务的经营，注册在浙江舟山自贸区，注册资本3亿元。公司前身为中化能源物流事业部，拥有30余年石化仓储运营历史。主要经营各类油品、化工品的码头装卸、库区存储、中转、保税等基础业务，提供跨关直供、质押监管、代理报关报检等附加服务。</w:t>
      </w:r>
    </w:p>
    <w:p w14:paraId="2628649A">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1.2.6 石油销售</w:t>
      </w:r>
    </w:p>
    <w:p w14:paraId="6A2D7440">
      <w:pPr>
        <w:widowControl/>
        <w:adjustRightIn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销售有限公司是中国中化控股有限责任公司旗下从事成品油销售业务的专业公司，是中化能源股份有限公司的终端销售业务单元。已形成覆盖26个省（自治区、直辖市）的油品营销战略布局，目前拥有21家区域销售公司和专业公司，</w:t>
      </w:r>
      <w:commentRangeStart w:id="0"/>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自营加油站超过400座（是不是有</w:t>
      </w:r>
      <w:r>
        <w:rPr>
          <w:rFonts w:hint="eastAsia" w:ascii="Calibri" w:hAnsi="Calibri" w:eastAsia="仿宋_GB2312" w:cs="Calibri"/>
          <w:color w:val="000000" w:themeColor="text1"/>
          <w:kern w:val="0"/>
          <w:sz w:val="28"/>
          <w:szCs w:val="28"/>
          <w:lang w:bidi="ar"/>
          <w14:textFill>
            <w14:solidFill>
              <w14:schemeClr w14:val="tx1"/>
            </w14:solidFill>
          </w14:textFill>
        </w:rPr>
        <w:t>5</w:t>
      </w:r>
      <w:r>
        <w:rPr>
          <w:rFonts w:ascii="Calibri" w:hAnsi="Calibri" w:eastAsia="仿宋_GB2312" w:cs="Calibri"/>
          <w:color w:val="000000" w:themeColor="text1"/>
          <w:kern w:val="0"/>
          <w:sz w:val="28"/>
          <w:szCs w:val="28"/>
          <w:lang w:bidi="ar"/>
          <w14:textFill>
            <w14:solidFill>
              <w14:schemeClr w14:val="tx1"/>
            </w14:solidFill>
          </w14:textFill>
        </w:rPr>
        <w:t>00多</w:t>
      </w:r>
      <w:r>
        <w:rPr>
          <w:rFonts w:ascii="微软雅黑" w:hAnsi="微软雅黑" w:eastAsia="微软雅黑" w:cs="微软雅黑"/>
          <w:color w:val="000000" w:themeColor="text1"/>
          <w:kern w:val="0"/>
          <w:sz w:val="28"/>
          <w:szCs w:val="28"/>
          <w:lang w:bidi="ar"/>
          <w14:textFill>
            <w14:solidFill>
              <w14:schemeClr w14:val="tx1"/>
            </w14:solidFill>
          </w14:textFill>
        </w:rPr>
        <w:t>座</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commentRangeEnd w:id="0"/>
      <w:r>
        <w:commentReference w:id="0"/>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分销油库10余座。</w:t>
      </w:r>
    </w:p>
    <w:p w14:paraId="24CB3665">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7F7CB0DB">
      <w:pPr>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33" w:name="_Toc576880225"/>
      <w:bookmarkStart w:id="34" w:name="_Toc21347"/>
      <w:bookmarkStart w:id="35" w:name="_Toc1257900619"/>
      <w:bookmarkStart w:id="36" w:name="_Toc1699063304"/>
      <w:bookmarkStart w:id="37" w:name="_Toc36820201"/>
      <w:r>
        <w:rPr>
          <w:rFonts w:ascii="Times New Roman Regular" w:hAnsi="Times New Roman Regular" w:eastAsia="黑体" w:cs="Times New Roman Regular"/>
          <w:color w:val="000000" w:themeColor="text1"/>
          <w:sz w:val="28"/>
          <w:szCs w:val="28"/>
          <w:lang w:bidi="ar"/>
          <w14:textFill>
            <w14:solidFill>
              <w14:schemeClr w14:val="tx1"/>
            </w14:solidFill>
          </w14:textFill>
        </w:rPr>
        <w:t>1.3 编制依据</w:t>
      </w:r>
      <w:bookmarkEnd w:id="33"/>
      <w:bookmarkEnd w:id="34"/>
      <w:bookmarkEnd w:id="35"/>
      <w:bookmarkEnd w:id="36"/>
      <w:bookmarkEnd w:id="37"/>
    </w:p>
    <w:p w14:paraId="3A1188AC">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《中华人民共和国国民经济和社会发展第十五个五年规划纲要》</w:t>
      </w:r>
    </w:p>
    <w:p w14:paraId="662F5078">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《中共中央 国务院关于完整准确全面贯彻新发展理念做好碳达峰碳中和工作的意见》</w:t>
      </w:r>
    </w:p>
    <w:p w14:paraId="7E9C0A66">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《2030年前碳达峰行动方案》</w:t>
      </w:r>
    </w:p>
    <w:p w14:paraId="3156ACEC">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《关于严格能效约束推动重点领域节能降碳的若干意见》</w:t>
      </w:r>
    </w:p>
    <w:p w14:paraId="1DBFB814">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《加快构建碳排放双控制度体系工作方案》</w:t>
      </w:r>
    </w:p>
    <w:p w14:paraId="5FF2ED58">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《加强绿色电力证书与节能降碳政策衔接大力促进非化石能源消费的通知》</w:t>
      </w:r>
    </w:p>
    <w:p w14:paraId="44557F5B">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《关于进一步做好原料用能不纳入能源消费总量控制有关工作的通知》</w:t>
      </w:r>
    </w:p>
    <w:p w14:paraId="5590057F">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《中国中化碳达峰行动方案》</w:t>
      </w:r>
    </w:p>
    <w:p w14:paraId="7859F477">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《中化泉州石化有限公司节能低碳发展规划与实施方案》</w:t>
      </w:r>
    </w:p>
    <w:p w14:paraId="31F843B3">
      <w:pPr>
        <w:widowControl/>
        <w:numPr>
          <w:ilvl w:val="0"/>
          <w:numId w:val="1"/>
        </w:numPr>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中化能源股份有限公司提供的相关资料</w:t>
      </w:r>
    </w:p>
    <w:p w14:paraId="313BD698">
      <w:pPr>
        <w:pStyle w:val="15"/>
        <w:spacing w:line="560" w:lineRule="exact"/>
        <w:ind w:firstLine="0" w:firstLineChars="0"/>
        <w:rPr>
          <w:rFonts w:ascii="Times New Roman Regular" w:hAnsi="Times New Roman Regular" w:cs="Times New Roman Regular"/>
          <w:color w:val="000000" w:themeColor="text1"/>
          <w:lang w:bidi="ar"/>
          <w14:textFill>
            <w14:solidFill>
              <w14:schemeClr w14:val="tx1"/>
            </w14:solidFill>
          </w14:textFill>
        </w:rPr>
      </w:pPr>
    </w:p>
    <w:p w14:paraId="0D2DFF5D">
      <w:pPr>
        <w:spacing w:line="560" w:lineRule="exact"/>
        <w:outlineLvl w:val="1"/>
        <w:rPr>
          <w:rFonts w:ascii="Times New Roman Regular" w:hAnsi="Times New Roman Regular" w:cs="Times New Roman Regular"/>
          <w:color w:val="000000" w:themeColor="text1"/>
          <w14:textFill>
            <w14:solidFill>
              <w14:schemeClr w14:val="tx1"/>
            </w14:solidFill>
          </w14:textFill>
        </w:rPr>
      </w:pPr>
      <w:bookmarkStart w:id="38" w:name="_Toc1066896169"/>
      <w:bookmarkStart w:id="39" w:name="_Toc1884759017"/>
      <w:bookmarkStart w:id="40" w:name="_Toc361827871"/>
      <w:bookmarkStart w:id="41" w:name="_Toc6158"/>
      <w:bookmarkStart w:id="42" w:name="_Toc1706682465"/>
      <w:r>
        <w:rPr>
          <w:rFonts w:ascii="Times New Roman Regular" w:hAnsi="Times New Roman Regular" w:eastAsia="黑体" w:cs="Times New Roman Regular"/>
          <w:color w:val="000000" w:themeColor="text1"/>
          <w:sz w:val="28"/>
          <w:szCs w:val="28"/>
          <w:lang w:bidi="ar"/>
          <w14:textFill>
            <w14:solidFill>
              <w14:schemeClr w14:val="tx1"/>
            </w14:solidFill>
          </w14:textFill>
        </w:rPr>
        <w:t>1.4 编制范围</w:t>
      </w:r>
      <w:bookmarkEnd w:id="38"/>
      <w:bookmarkEnd w:id="39"/>
      <w:bookmarkEnd w:id="40"/>
      <w:bookmarkEnd w:id="41"/>
      <w:bookmarkEnd w:id="42"/>
    </w:p>
    <w:p w14:paraId="6E93EE88">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本规划聚焦 “十五五” 时期中化能源股份有限公司的低碳发展工作，旨在确保公司全面契合中国中化及国务院国有资产监督管理委员会的相关发展要求，稳步推进并顺利实现 “碳达峰” 目标，同时对 “碳中和” 的实施方向与实践路径进行前瞻性规划。</w:t>
      </w:r>
    </w:p>
    <w:p w14:paraId="4D15247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规划编制范围涵盖中化能源股份有限公司本部，以及公司下属所有涉及节能低碳管理的境内工业单位与非工业单位。</w:t>
      </w:r>
    </w:p>
    <w:p w14:paraId="0B517E98">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需要特别说明的是，本次规划所设定的碳排放统计边界不含昌邑石化；非生产企业范畴具体包括石油销售、石化销售及能源物流相关单位。</w:t>
      </w:r>
    </w:p>
    <w:p w14:paraId="779CBCF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在本次规划编制过程中，关于能耗及碳排放相关数据的统计核算，严格参照《能源统计报表制度》《中国石油化工企业温室气体核算方法与报告指南》等国家及行业现行有效标准规范执行，确保统计方法的科学性、规范性与权威性。同时，为客观反映工业经济发展的实际态势，规避价格波动对数据可比性造成的影响，</w:t>
      </w:r>
      <w:r>
        <w:rPr>
          <w:rFonts w:hint="eastAsia" w:ascii="Times New Roman Regular" w:hAnsi="Times New Roman Regular" w:eastAsia="仿宋_GB2312" w:cs="Times New Roman Regular"/>
          <w:color w:val="FF0000"/>
          <w:kern w:val="0"/>
          <w:sz w:val="28"/>
          <w:szCs w:val="28"/>
          <w:lang w:bidi="ar"/>
        </w:rPr>
        <w:t>所有工业产值数据均统一采用不变价进行统计核算，</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（需确认集团是否采用同测算依据否）以保障统计结果的准确性和横向、纵向对比的有效性。</w:t>
      </w:r>
    </w:p>
    <w:p w14:paraId="346880B3">
      <w:pPr>
        <w:pStyle w:val="15"/>
        <w:jc w:val="center"/>
        <w:rPr>
          <w:rFonts w:ascii="Times New Roman Regular" w:hAnsi="Times New Roman Regular" w:cs="Times New Roman Regular"/>
          <w:color w:val="000000" w:themeColor="text1"/>
          <w:lang w:bidi="ar"/>
          <w14:textFill>
            <w14:solidFill>
              <w14:schemeClr w14:val="tx1"/>
            </w14:solidFill>
          </w14:textFill>
        </w:rPr>
      </w:pPr>
    </w:p>
    <w:p w14:paraId="7515885B">
      <w:pPr>
        <w:jc w:val="center"/>
        <w:rPr>
          <w:rFonts w:ascii="Times New Roman Regular" w:hAnsi="Times New Roman Regular" w:eastAsia="黑体" w:cs="Times New Roman Regular"/>
          <w:color w:val="000000" w:themeColor="text1"/>
          <w:sz w:val="20"/>
          <w:szCs w:val="21"/>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表1-1 中化能源“十五五”低碳发展规划编制范围</w:t>
      </w:r>
    </w:p>
    <w:tbl>
      <w:tblPr>
        <w:tblStyle w:val="29"/>
        <w:tblW w:w="4998" w:type="pct"/>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113" w:type="dxa"/>
          <w:left w:w="108" w:type="dxa"/>
          <w:bottom w:w="113" w:type="dxa"/>
          <w:right w:w="108" w:type="dxa"/>
        </w:tblCellMar>
      </w:tblPr>
      <w:tblGrid>
        <w:gridCol w:w="685"/>
        <w:gridCol w:w="3348"/>
        <w:gridCol w:w="2692"/>
        <w:gridCol w:w="1794"/>
      </w:tblGrid>
      <w:tr w14:paraId="17EE622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trHeight w:val="488" w:hRule="atLeast"/>
          <w:tblHeader/>
        </w:trPr>
        <w:tc>
          <w:tcPr>
            <w:tcW w:w="402" w:type="pct"/>
            <w:tcBorders>
              <w:top w:val="single" w:color="000000" w:sz="12" w:space="0"/>
              <w:left w:val="nil"/>
              <w:bottom w:val="single" w:color="000000" w:sz="4" w:space="0"/>
              <w:right w:val="nil"/>
              <w:tl2br w:val="nil"/>
            </w:tcBorders>
            <w:shd w:val="clear" w:color="auto" w:fill="FFFFFF"/>
            <w:vAlign w:val="center"/>
          </w:tcPr>
          <w:p w14:paraId="13E54FBF">
            <w:pPr>
              <w:snapToGrid w:val="0"/>
              <w:jc w:val="cente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t>序号</w:t>
            </w:r>
          </w:p>
        </w:tc>
        <w:tc>
          <w:tcPr>
            <w:tcW w:w="1964" w:type="pct"/>
            <w:tcBorders>
              <w:top w:val="single" w:color="000000" w:sz="12" w:space="0"/>
              <w:left w:val="nil"/>
              <w:bottom w:val="single" w:color="000000" w:sz="4" w:space="0"/>
              <w:right w:val="nil"/>
            </w:tcBorders>
            <w:shd w:val="clear" w:color="auto" w:fill="FFFFFF"/>
            <w:vAlign w:val="center"/>
          </w:tcPr>
          <w:p w14:paraId="23380C49">
            <w:pPr>
              <w:snapToGrid w:val="0"/>
              <w:jc w:val="cente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t>公司名称</w:t>
            </w:r>
          </w:p>
        </w:tc>
        <w:tc>
          <w:tcPr>
            <w:tcW w:w="1579" w:type="pct"/>
            <w:tcBorders>
              <w:top w:val="single" w:color="000000" w:sz="12" w:space="0"/>
              <w:left w:val="nil"/>
              <w:bottom w:val="single" w:color="000000" w:sz="4" w:space="0"/>
              <w:right w:val="nil"/>
            </w:tcBorders>
            <w:shd w:val="clear" w:color="auto" w:fill="FFFFFF"/>
            <w:vAlign w:val="center"/>
          </w:tcPr>
          <w:p w14:paraId="2FDB6BDB">
            <w:pPr>
              <w:snapToGrid w:val="0"/>
              <w:jc w:val="cente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t>简称（以下均使用简称）</w:t>
            </w:r>
          </w:p>
        </w:tc>
        <w:tc>
          <w:tcPr>
            <w:tcW w:w="1052" w:type="pct"/>
            <w:tcBorders>
              <w:top w:val="single" w:color="000000" w:sz="12" w:space="0"/>
              <w:left w:val="nil"/>
              <w:bottom w:val="single" w:color="000000" w:sz="4" w:space="0"/>
              <w:right w:val="nil"/>
            </w:tcBorders>
            <w:shd w:val="clear" w:color="auto" w:fill="FFFFFF"/>
            <w:vAlign w:val="center"/>
          </w:tcPr>
          <w:p w14:paraId="58B2B38A">
            <w:pPr>
              <w:snapToGrid w:val="0"/>
              <w:jc w:val="cente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t>备注</w:t>
            </w:r>
          </w:p>
        </w:tc>
      </w:tr>
      <w:tr w14:paraId="58D51D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single" w:color="000000" w:sz="4" w:space="0"/>
              <w:left w:val="nil"/>
              <w:bottom w:val="nil"/>
              <w:right w:val="nil"/>
            </w:tcBorders>
            <w:shd w:val="clear" w:color="auto" w:fill="FFFFFF"/>
            <w:vAlign w:val="center"/>
          </w:tcPr>
          <w:p w14:paraId="57C3AE73">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1</w:t>
            </w:r>
          </w:p>
        </w:tc>
        <w:tc>
          <w:tcPr>
            <w:tcW w:w="1964" w:type="pct"/>
            <w:tcBorders>
              <w:top w:val="single" w:color="000000" w:sz="4" w:space="0"/>
              <w:left w:val="nil"/>
              <w:bottom w:val="nil"/>
              <w:right w:val="nil"/>
            </w:tcBorders>
            <w:shd w:val="clear" w:color="auto" w:fill="FFFFFF"/>
            <w:vAlign w:val="center"/>
          </w:tcPr>
          <w:p w14:paraId="5E39654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中化能源股份有限公司</w:t>
            </w:r>
          </w:p>
        </w:tc>
        <w:tc>
          <w:tcPr>
            <w:tcW w:w="1579" w:type="pct"/>
            <w:tcBorders>
              <w:top w:val="single" w:color="000000" w:sz="4" w:space="0"/>
              <w:left w:val="nil"/>
              <w:bottom w:val="nil"/>
              <w:right w:val="nil"/>
            </w:tcBorders>
            <w:shd w:val="clear" w:color="auto" w:fill="FFFFFF"/>
            <w:vAlign w:val="center"/>
          </w:tcPr>
          <w:p w14:paraId="2F1FEE23">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中化能源</w:t>
            </w:r>
          </w:p>
        </w:tc>
        <w:tc>
          <w:tcPr>
            <w:tcW w:w="1052" w:type="pct"/>
            <w:tcBorders>
              <w:top w:val="single" w:color="000000" w:sz="4" w:space="0"/>
              <w:left w:val="nil"/>
              <w:bottom w:val="nil"/>
              <w:right w:val="nil"/>
            </w:tcBorders>
            <w:shd w:val="clear" w:color="auto" w:fill="FFFFFF"/>
            <w:vAlign w:val="center"/>
          </w:tcPr>
          <w:p w14:paraId="4177AEA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能源本部</w:t>
            </w:r>
          </w:p>
        </w:tc>
      </w:tr>
      <w:tr w14:paraId="23A138B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nil"/>
              <w:left w:val="nil"/>
              <w:bottom w:val="nil"/>
              <w:right w:val="nil"/>
            </w:tcBorders>
            <w:shd w:val="clear" w:color="auto" w:fill="FFFFFF"/>
            <w:vAlign w:val="center"/>
          </w:tcPr>
          <w:p w14:paraId="49873488">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2</w:t>
            </w:r>
          </w:p>
        </w:tc>
        <w:tc>
          <w:tcPr>
            <w:tcW w:w="1964" w:type="pct"/>
            <w:tcBorders>
              <w:top w:val="nil"/>
              <w:left w:val="nil"/>
              <w:bottom w:val="nil"/>
              <w:right w:val="nil"/>
            </w:tcBorders>
            <w:shd w:val="clear" w:color="auto" w:fill="FFFFFF"/>
            <w:vAlign w:val="center"/>
          </w:tcPr>
          <w:p w14:paraId="66022F9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中化泉州石化有限公司</w:t>
            </w:r>
          </w:p>
        </w:tc>
        <w:tc>
          <w:tcPr>
            <w:tcW w:w="1579" w:type="pct"/>
            <w:tcBorders>
              <w:top w:val="nil"/>
              <w:left w:val="nil"/>
              <w:bottom w:val="nil"/>
              <w:right w:val="nil"/>
            </w:tcBorders>
            <w:shd w:val="clear" w:color="auto" w:fill="FFFFFF"/>
            <w:vAlign w:val="center"/>
          </w:tcPr>
          <w:p w14:paraId="6B65269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泉州石化</w:t>
            </w:r>
          </w:p>
        </w:tc>
        <w:tc>
          <w:tcPr>
            <w:tcW w:w="1052" w:type="pct"/>
            <w:tcBorders>
              <w:top w:val="nil"/>
              <w:left w:val="nil"/>
              <w:bottom w:val="nil"/>
              <w:right w:val="nil"/>
            </w:tcBorders>
            <w:shd w:val="clear" w:color="auto" w:fill="FFFFFF"/>
            <w:vAlign w:val="center"/>
          </w:tcPr>
          <w:p w14:paraId="2D50299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二级生产单位</w:t>
            </w:r>
          </w:p>
        </w:tc>
      </w:tr>
      <w:tr w14:paraId="26B1DD3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nil"/>
              <w:left w:val="nil"/>
              <w:bottom w:val="nil"/>
              <w:right w:val="nil"/>
            </w:tcBorders>
            <w:shd w:val="clear" w:color="auto" w:fill="FFFFFF"/>
            <w:vAlign w:val="center"/>
          </w:tcPr>
          <w:p w14:paraId="7E56BF63">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3</w:t>
            </w:r>
          </w:p>
        </w:tc>
        <w:tc>
          <w:tcPr>
            <w:tcW w:w="1964" w:type="pct"/>
            <w:tcBorders>
              <w:top w:val="nil"/>
              <w:left w:val="nil"/>
              <w:bottom w:val="nil"/>
              <w:right w:val="nil"/>
            </w:tcBorders>
            <w:shd w:val="clear" w:color="auto" w:fill="FFFFFF"/>
            <w:vAlign w:val="center"/>
          </w:tcPr>
          <w:p w14:paraId="39F8708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山东华星石油化工集团有限公司</w:t>
            </w:r>
          </w:p>
        </w:tc>
        <w:tc>
          <w:tcPr>
            <w:tcW w:w="1579" w:type="pct"/>
            <w:tcBorders>
              <w:top w:val="nil"/>
              <w:left w:val="nil"/>
              <w:bottom w:val="nil"/>
              <w:right w:val="nil"/>
            </w:tcBorders>
            <w:shd w:val="clear" w:color="auto" w:fill="FFFFFF"/>
            <w:vAlign w:val="center"/>
          </w:tcPr>
          <w:p w14:paraId="2777DAA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华星石化</w:t>
            </w:r>
          </w:p>
        </w:tc>
        <w:tc>
          <w:tcPr>
            <w:tcW w:w="1052" w:type="pct"/>
            <w:tcBorders>
              <w:top w:val="nil"/>
              <w:left w:val="nil"/>
              <w:bottom w:val="nil"/>
              <w:right w:val="nil"/>
            </w:tcBorders>
            <w:shd w:val="clear" w:color="auto" w:fill="FFFFFF"/>
            <w:vAlign w:val="center"/>
          </w:tcPr>
          <w:p w14:paraId="26B6EBB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二级生产单位</w:t>
            </w:r>
          </w:p>
        </w:tc>
      </w:tr>
      <w:tr w14:paraId="5F1B7A7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nil"/>
              <w:left w:val="nil"/>
              <w:bottom w:val="nil"/>
              <w:right w:val="nil"/>
            </w:tcBorders>
            <w:shd w:val="clear" w:color="auto" w:fill="FFFFFF"/>
            <w:vAlign w:val="center"/>
          </w:tcPr>
          <w:p w14:paraId="1FFDDC99">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4</w:t>
            </w:r>
          </w:p>
        </w:tc>
        <w:tc>
          <w:tcPr>
            <w:tcW w:w="1964" w:type="pct"/>
            <w:tcBorders>
              <w:top w:val="nil"/>
              <w:left w:val="nil"/>
              <w:bottom w:val="nil"/>
              <w:right w:val="nil"/>
            </w:tcBorders>
            <w:shd w:val="clear" w:color="auto" w:fill="FFFFFF"/>
            <w:vAlign w:val="center"/>
          </w:tcPr>
          <w:p w14:paraId="1EED8B1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正和集团股份有限公司</w:t>
            </w:r>
          </w:p>
        </w:tc>
        <w:tc>
          <w:tcPr>
            <w:tcW w:w="1579" w:type="pct"/>
            <w:tcBorders>
              <w:top w:val="nil"/>
              <w:left w:val="nil"/>
              <w:bottom w:val="nil"/>
              <w:right w:val="nil"/>
            </w:tcBorders>
            <w:shd w:val="clear" w:color="auto" w:fill="FFFFFF"/>
            <w:vAlign w:val="center"/>
          </w:tcPr>
          <w:p w14:paraId="05095CB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正和石化</w:t>
            </w:r>
          </w:p>
        </w:tc>
        <w:tc>
          <w:tcPr>
            <w:tcW w:w="1052" w:type="pct"/>
            <w:tcBorders>
              <w:top w:val="nil"/>
              <w:left w:val="nil"/>
              <w:bottom w:val="nil"/>
              <w:right w:val="nil"/>
            </w:tcBorders>
            <w:shd w:val="clear" w:color="auto" w:fill="FFFFFF"/>
            <w:vAlign w:val="center"/>
          </w:tcPr>
          <w:p w14:paraId="7F45C48E">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二级生产单位</w:t>
            </w:r>
          </w:p>
        </w:tc>
      </w:tr>
      <w:tr w14:paraId="55FEE12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nil"/>
              <w:left w:val="nil"/>
              <w:bottom w:val="nil"/>
              <w:right w:val="nil"/>
            </w:tcBorders>
            <w:shd w:val="clear" w:color="auto" w:fill="FFFFFF"/>
            <w:vAlign w:val="center"/>
          </w:tcPr>
          <w:p w14:paraId="790C1D21">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5</w:t>
            </w:r>
          </w:p>
        </w:tc>
        <w:tc>
          <w:tcPr>
            <w:tcW w:w="1964" w:type="pct"/>
            <w:tcBorders>
              <w:top w:val="nil"/>
              <w:left w:val="nil"/>
              <w:bottom w:val="nil"/>
              <w:right w:val="nil"/>
            </w:tcBorders>
            <w:shd w:val="clear" w:color="auto" w:fill="FFFFFF"/>
            <w:vAlign w:val="center"/>
          </w:tcPr>
          <w:p w14:paraId="769F3B1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大庆中蓝石化有限公司</w:t>
            </w:r>
          </w:p>
        </w:tc>
        <w:tc>
          <w:tcPr>
            <w:tcW w:w="1579" w:type="pct"/>
            <w:tcBorders>
              <w:top w:val="nil"/>
              <w:left w:val="nil"/>
              <w:bottom w:val="nil"/>
              <w:right w:val="nil"/>
            </w:tcBorders>
            <w:shd w:val="clear" w:color="auto" w:fill="FFFFFF"/>
            <w:vAlign w:val="center"/>
          </w:tcPr>
          <w:p w14:paraId="71F5C43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大庆中蓝</w:t>
            </w:r>
          </w:p>
        </w:tc>
        <w:tc>
          <w:tcPr>
            <w:tcW w:w="1052" w:type="pct"/>
            <w:tcBorders>
              <w:top w:val="nil"/>
              <w:left w:val="nil"/>
              <w:bottom w:val="nil"/>
              <w:right w:val="nil"/>
            </w:tcBorders>
            <w:shd w:val="clear" w:color="auto" w:fill="FFFFFF"/>
            <w:vAlign w:val="center"/>
          </w:tcPr>
          <w:p w14:paraId="1992A3A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二级生产单位</w:t>
            </w:r>
          </w:p>
        </w:tc>
      </w:tr>
      <w:tr w14:paraId="1FE6F40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nil"/>
              <w:left w:val="nil"/>
              <w:bottom w:val="nil"/>
              <w:right w:val="nil"/>
            </w:tcBorders>
            <w:shd w:val="clear" w:color="auto" w:fill="FFFFFF"/>
            <w:vAlign w:val="center"/>
          </w:tcPr>
          <w:p w14:paraId="437D579B">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6</w:t>
            </w:r>
          </w:p>
        </w:tc>
        <w:tc>
          <w:tcPr>
            <w:tcW w:w="1964" w:type="pct"/>
            <w:tcBorders>
              <w:top w:val="nil"/>
              <w:left w:val="nil"/>
              <w:bottom w:val="nil"/>
              <w:right w:val="nil"/>
            </w:tcBorders>
            <w:shd w:val="clear" w:color="auto" w:fill="FFFFFF"/>
            <w:vAlign w:val="center"/>
          </w:tcPr>
          <w:p w14:paraId="4A4B108E">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中化石油化工研究院</w:t>
            </w:r>
          </w:p>
        </w:tc>
        <w:tc>
          <w:tcPr>
            <w:tcW w:w="1579" w:type="pct"/>
            <w:tcBorders>
              <w:top w:val="nil"/>
              <w:left w:val="nil"/>
              <w:bottom w:val="nil"/>
              <w:right w:val="nil"/>
            </w:tcBorders>
            <w:shd w:val="clear" w:color="auto" w:fill="FFFFFF"/>
            <w:vAlign w:val="center"/>
          </w:tcPr>
          <w:p w14:paraId="5672B82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石化院</w:t>
            </w:r>
          </w:p>
        </w:tc>
        <w:tc>
          <w:tcPr>
            <w:tcW w:w="1052" w:type="pct"/>
            <w:tcBorders>
              <w:top w:val="nil"/>
              <w:left w:val="nil"/>
              <w:bottom w:val="nil"/>
              <w:right w:val="nil"/>
            </w:tcBorders>
            <w:shd w:val="clear" w:color="auto" w:fill="FFFFFF"/>
            <w:vAlign w:val="center"/>
          </w:tcPr>
          <w:p w14:paraId="0D22E92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二级非生产单位</w:t>
            </w:r>
          </w:p>
        </w:tc>
      </w:tr>
      <w:tr w14:paraId="12BEF8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nil"/>
              <w:left w:val="nil"/>
              <w:bottom w:val="nil"/>
              <w:right w:val="nil"/>
            </w:tcBorders>
            <w:shd w:val="clear" w:color="auto" w:fill="FFFFFF"/>
            <w:vAlign w:val="center"/>
          </w:tcPr>
          <w:p w14:paraId="4DB3908C">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7</w:t>
            </w:r>
          </w:p>
        </w:tc>
        <w:tc>
          <w:tcPr>
            <w:tcW w:w="1964" w:type="pct"/>
            <w:tcBorders>
              <w:top w:val="nil"/>
              <w:left w:val="nil"/>
              <w:bottom w:val="nil"/>
              <w:right w:val="nil"/>
            </w:tcBorders>
            <w:shd w:val="clear" w:color="auto" w:fill="FFFFFF"/>
            <w:vAlign w:val="center"/>
          </w:tcPr>
          <w:p w14:paraId="7DF2099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中化能源物流有限公司</w:t>
            </w:r>
          </w:p>
        </w:tc>
        <w:tc>
          <w:tcPr>
            <w:tcW w:w="1579" w:type="pct"/>
            <w:tcBorders>
              <w:top w:val="nil"/>
              <w:left w:val="nil"/>
              <w:bottom w:val="nil"/>
              <w:right w:val="nil"/>
            </w:tcBorders>
            <w:shd w:val="clear" w:color="auto" w:fill="FFFFFF"/>
            <w:vAlign w:val="center"/>
          </w:tcPr>
          <w:p w14:paraId="4FF1874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能源物流</w:t>
            </w:r>
          </w:p>
        </w:tc>
        <w:tc>
          <w:tcPr>
            <w:tcW w:w="1052" w:type="pct"/>
            <w:tcBorders>
              <w:top w:val="nil"/>
              <w:left w:val="nil"/>
              <w:bottom w:val="nil"/>
              <w:right w:val="nil"/>
            </w:tcBorders>
            <w:shd w:val="clear" w:color="auto" w:fill="FFFFFF"/>
            <w:vAlign w:val="center"/>
          </w:tcPr>
          <w:p w14:paraId="677FA0A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二级非生产单位</w:t>
            </w:r>
          </w:p>
        </w:tc>
      </w:tr>
      <w:tr w14:paraId="2A67852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113" w:type="dxa"/>
            <w:left w:w="108" w:type="dxa"/>
            <w:bottom w:w="113" w:type="dxa"/>
            <w:right w:w="108" w:type="dxa"/>
          </w:tblCellMar>
        </w:tblPrEx>
        <w:trPr>
          <w:trHeight w:val="23" w:hRule="atLeast"/>
        </w:trPr>
        <w:tc>
          <w:tcPr>
            <w:tcW w:w="402" w:type="pct"/>
            <w:tcBorders>
              <w:top w:val="nil"/>
              <w:left w:val="nil"/>
              <w:bottom w:val="single" w:color="000000" w:sz="12" w:space="0"/>
              <w:right w:val="nil"/>
            </w:tcBorders>
            <w:shd w:val="clear" w:color="auto" w:fill="FFFFFF"/>
            <w:vAlign w:val="center"/>
          </w:tcPr>
          <w:p w14:paraId="05737CF7">
            <w:pPr>
              <w:adjustRightInd w:val="0"/>
              <w:snapToGrid w:val="0"/>
              <w:jc w:val="center"/>
              <w:rPr>
                <w:rFonts w:ascii="Times New Roman Regular" w:hAnsi="Times New Roman Regular" w:eastAsia="华文楷体" w:cs="Times New Roman Regular"/>
                <w:b/>
                <w:bCs w:val="0"/>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val="0"/>
                <w:bCs/>
                <w:color w:val="000000" w:themeColor="text1"/>
                <w:kern w:val="0"/>
                <w:sz w:val="20"/>
                <w:szCs w:val="21"/>
                <w14:textFill>
                  <w14:solidFill>
                    <w14:schemeClr w14:val="tx1"/>
                  </w14:solidFill>
                </w14:textFill>
              </w:rPr>
              <w:t>8</w:t>
            </w:r>
          </w:p>
        </w:tc>
        <w:tc>
          <w:tcPr>
            <w:tcW w:w="1964" w:type="pct"/>
            <w:tcBorders>
              <w:top w:val="nil"/>
              <w:left w:val="nil"/>
              <w:bottom w:val="single" w:color="000000" w:sz="12" w:space="0"/>
              <w:right w:val="nil"/>
            </w:tcBorders>
            <w:shd w:val="clear" w:color="auto" w:fill="FFFFFF"/>
            <w:vAlign w:val="center"/>
          </w:tcPr>
          <w:p w14:paraId="0F2A014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中化石油销售有限公司</w:t>
            </w:r>
          </w:p>
        </w:tc>
        <w:tc>
          <w:tcPr>
            <w:tcW w:w="1579" w:type="pct"/>
            <w:tcBorders>
              <w:top w:val="nil"/>
              <w:left w:val="nil"/>
              <w:bottom w:val="single" w:color="000000" w:sz="12" w:space="0"/>
              <w:right w:val="nil"/>
            </w:tcBorders>
            <w:shd w:val="clear" w:color="auto" w:fill="FFFFFF"/>
            <w:vAlign w:val="center"/>
          </w:tcPr>
          <w:p w14:paraId="0EC2959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石油销售</w:t>
            </w:r>
          </w:p>
        </w:tc>
        <w:tc>
          <w:tcPr>
            <w:tcW w:w="1052" w:type="pct"/>
            <w:tcBorders>
              <w:top w:val="nil"/>
              <w:left w:val="nil"/>
              <w:bottom w:val="single" w:color="000000" w:sz="12" w:space="0"/>
              <w:right w:val="nil"/>
            </w:tcBorders>
            <w:shd w:val="clear" w:color="auto" w:fill="FFFFFF"/>
            <w:vAlign w:val="center"/>
          </w:tcPr>
          <w:p w14:paraId="56961C1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二级非生产单位</w:t>
            </w:r>
          </w:p>
        </w:tc>
      </w:tr>
    </w:tbl>
    <w:p w14:paraId="3A1B9F86">
      <w:pPr>
        <w:pStyle w:val="15"/>
        <w:rPr>
          <w:rFonts w:ascii="Times New Roman Regular" w:hAnsi="Times New Roman Regular" w:cs="Times New Roman Regular"/>
          <w:color w:val="000000" w:themeColor="text1"/>
          <w:lang w:bidi="ar"/>
          <w14:textFill>
            <w14:solidFill>
              <w14:schemeClr w14:val="tx1"/>
            </w14:solidFill>
          </w14:textFill>
        </w:rPr>
      </w:pPr>
    </w:p>
    <w:p w14:paraId="6048CEE0">
      <w:pPr>
        <w:widowControl/>
        <w:spacing w:line="560" w:lineRule="exact"/>
        <w:rPr>
          <w:rFonts w:ascii="Times New Roman Regular" w:hAnsi="Times New Roman Regular" w:eastAsia="楷体" w:cs="Times New Roman Regular"/>
          <w:b/>
          <w:bCs/>
          <w:color w:val="000000" w:themeColor="text1"/>
          <w:sz w:val="28"/>
          <w:szCs w:val="28"/>
          <w14:textFill>
            <w14:solidFill>
              <w14:schemeClr w14:val="tx1"/>
            </w14:solidFill>
          </w14:textFill>
        </w:rPr>
        <w:sectPr>
          <w:headerReference r:id="rId6" w:type="default"/>
          <w:footerReference r:id="rId7" w:type="default"/>
          <w:pgSz w:w="11906" w:h="16838"/>
          <w:pgMar w:top="1440" w:right="1800" w:bottom="1440" w:left="1800" w:header="851" w:footer="992" w:gutter="0"/>
          <w:pgNumType w:fmt="numberInDash" w:start="1"/>
          <w:cols w:space="425" w:num="1"/>
          <w:docGrid w:type="lines" w:linePitch="312" w:charSpace="0"/>
        </w:sectPr>
      </w:pPr>
    </w:p>
    <w:p w14:paraId="140E604A">
      <w:pPr>
        <w:widowControl/>
        <w:spacing w:line="560" w:lineRule="exact"/>
        <w:rPr>
          <w:rFonts w:ascii="Times New Roman Regular" w:hAnsi="Times New Roman Regular" w:eastAsia="方正公文小标宋" w:cs="Times New Roman Regular"/>
          <w:color w:val="000000" w:themeColor="text1"/>
          <w:sz w:val="28"/>
          <w:szCs w:val="28"/>
          <w14:textFill>
            <w14:solidFill>
              <w14:schemeClr w14:val="tx1"/>
            </w14:solidFill>
          </w14:textFill>
        </w:rPr>
      </w:pPr>
    </w:p>
    <w:p w14:paraId="14EA6011">
      <w:pPr>
        <w:widowControl/>
        <w:spacing w:line="560" w:lineRule="exact"/>
        <w:outlineLvl w:val="0"/>
        <w:rPr>
          <w:rFonts w:ascii="Times New Roman Regular" w:hAnsi="Times New Roman Regular" w:eastAsia="楷体" w:cs="Times New Roman Regular"/>
          <w:b/>
          <w:bCs/>
          <w:color w:val="000000" w:themeColor="text1"/>
          <w:sz w:val="28"/>
          <w:szCs w:val="28"/>
          <w:highlight w:val="yellow"/>
          <w14:textFill>
            <w14:solidFill>
              <w14:schemeClr w14:val="tx1"/>
            </w14:solidFill>
          </w14:textFill>
        </w:rPr>
      </w:pPr>
      <w:bookmarkStart w:id="43" w:name="_Toc599294529"/>
      <w:bookmarkStart w:id="44" w:name="_Toc534031267"/>
      <w:bookmarkStart w:id="45" w:name="_Toc1803651940"/>
      <w:bookmarkStart w:id="46" w:name="_Toc273116276"/>
      <w:bookmarkStart w:id="47" w:name="_Toc28698"/>
      <w:r>
        <w:rPr>
          <w:rFonts w:ascii="Times New Roman Regular" w:hAnsi="Times New Roman Regular" w:eastAsia="方正公文小标宋" w:cs="Times New Roman Regular"/>
          <w:color w:val="000000" w:themeColor="text1"/>
          <w:sz w:val="28"/>
          <w:szCs w:val="28"/>
          <w14:textFill>
            <w14:solidFill>
              <w14:schemeClr w14:val="tx1"/>
            </w14:solidFill>
          </w14:textFill>
        </w:rPr>
        <w:t>二、“十四五”低碳重点工作回顾</w:t>
      </w:r>
      <w:bookmarkEnd w:id="43"/>
      <w:bookmarkEnd w:id="44"/>
      <w:bookmarkEnd w:id="45"/>
      <w:bookmarkEnd w:id="46"/>
      <w:bookmarkEnd w:id="47"/>
    </w:p>
    <w:p w14:paraId="13441F13">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48" w:name="_Toc1129343656"/>
      <w:bookmarkStart w:id="49" w:name="_Toc644844473"/>
      <w:bookmarkStart w:id="50" w:name="_Toc98994528"/>
      <w:bookmarkStart w:id="51" w:name="_Toc8325"/>
      <w:bookmarkStart w:id="52" w:name="_Toc1092697093"/>
      <w:r>
        <w:rPr>
          <w:rFonts w:ascii="Times New Roman Regular" w:hAnsi="Times New Roman Regular" w:eastAsia="黑体" w:cs="Times New Roman Regular"/>
          <w:color w:val="000000" w:themeColor="text1"/>
          <w:sz w:val="28"/>
          <w:szCs w:val="28"/>
          <w14:textFill>
            <w14:solidFill>
              <w14:schemeClr w14:val="tx1"/>
            </w14:solidFill>
          </w14:textFill>
        </w:rPr>
        <w:t>2.1 能耗及碳排放现状</w:t>
      </w:r>
      <w:bookmarkEnd w:id="48"/>
      <w:bookmarkEnd w:id="49"/>
      <w:bookmarkEnd w:id="50"/>
      <w:bookmarkEnd w:id="51"/>
      <w:bookmarkEnd w:id="52"/>
    </w:p>
    <w:p w14:paraId="172D606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以石油炼化产业为核心，生产型企业（泉州基地、东营基地（华星石化与正和石化）、大庆中蓝）的能源消耗和碳排放是整体能耗和碳排放量的主要构成，占比98%以上。表2-1展示了中化能源“十四五”期间碳排放、能耗、产值及单位产值强度等相关指标数据。</w:t>
      </w:r>
    </w:p>
    <w:p w14:paraId="56ADC7DD">
      <w:pPr>
        <w:widowControl/>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表2-1 中化能源“十四五”碳排放及能耗规划与实际运行对比相关数据</w:t>
      </w:r>
      <w:commentRangeStart w:id="1"/>
      <w:r>
        <w:rPr>
          <w:rFonts w:hint="eastAsia" w:ascii="Times New Roman Regular" w:hAnsi="Times New Roman Regular" w:eastAsia="黑体" w:cs="Times New Roman Regular"/>
          <w:color w:val="000000" w:themeColor="text1"/>
          <w:sz w:val="20"/>
          <w:szCs w:val="20"/>
          <w14:textFill>
            <w14:solidFill>
              <w14:schemeClr w14:val="tx1"/>
            </w14:solidFill>
          </w14:textFill>
        </w:rPr>
        <w:t>（请补充规划值</w:t>
      </w:r>
      <w:r>
        <w:rPr>
          <w:rFonts w:ascii="Times New Roman Regular" w:hAnsi="Times New Roman Regular" w:eastAsia="黑体" w:cs="Times New Roman Regular"/>
          <w:color w:val="000000" w:themeColor="text1"/>
          <w:sz w:val="20"/>
          <w:szCs w:val="20"/>
          <w14:textFill>
            <w14:solidFill>
              <w14:schemeClr w14:val="tx1"/>
            </w14:solidFill>
          </w14:textFill>
        </w:rPr>
        <w:t>）</w:t>
      </w:r>
      <w:commentRangeEnd w:id="1"/>
      <w:r>
        <w:commentReference w:id="1"/>
      </w:r>
    </w:p>
    <w:tbl>
      <w:tblPr>
        <w:tblStyle w:val="16"/>
        <w:tblW w:w="14371" w:type="dxa"/>
        <w:jc w:val="center"/>
        <w:tblLayout w:type="autofit"/>
        <w:tblCellMar>
          <w:top w:w="0" w:type="dxa"/>
          <w:left w:w="108" w:type="dxa"/>
          <w:bottom w:w="0" w:type="dxa"/>
          <w:right w:w="108" w:type="dxa"/>
        </w:tblCellMar>
      </w:tblPr>
      <w:tblGrid>
        <w:gridCol w:w="990"/>
        <w:gridCol w:w="1453"/>
        <w:gridCol w:w="1513"/>
        <w:gridCol w:w="1556"/>
        <w:gridCol w:w="1066"/>
        <w:gridCol w:w="1300"/>
        <w:gridCol w:w="1123"/>
        <w:gridCol w:w="1311"/>
        <w:gridCol w:w="1222"/>
        <w:gridCol w:w="1511"/>
        <w:gridCol w:w="1326"/>
      </w:tblGrid>
      <w:tr w14:paraId="7BA813BB">
        <w:tblPrEx>
          <w:tblCellMar>
            <w:top w:w="0" w:type="dxa"/>
            <w:left w:w="108" w:type="dxa"/>
            <w:bottom w:w="0" w:type="dxa"/>
            <w:right w:w="108" w:type="dxa"/>
          </w:tblCellMar>
        </w:tblPrEx>
        <w:trPr>
          <w:trHeight w:val="330" w:hRule="atLeast"/>
          <w:tblHeader/>
          <w:jc w:val="center"/>
        </w:trPr>
        <w:tc>
          <w:tcPr>
            <w:tcW w:w="990" w:type="dxa"/>
            <w:vMerge w:val="restart"/>
            <w:tcBorders>
              <w:top w:val="single" w:color="000000" w:sz="8" w:space="0"/>
              <w:left w:val="single" w:color="000000" w:sz="8" w:space="0"/>
              <w:bottom w:val="single" w:color="000000" w:sz="8" w:space="0"/>
              <w:right w:val="single" w:color="000000" w:sz="8" w:space="0"/>
            </w:tcBorders>
            <w:shd w:val="clear" w:color="auto" w:fill="D7D7D7"/>
            <w:vAlign w:val="center"/>
          </w:tcPr>
          <w:p w14:paraId="6FC07B2A">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年份</w:t>
            </w:r>
          </w:p>
        </w:tc>
        <w:tc>
          <w:tcPr>
            <w:tcW w:w="1453" w:type="dxa"/>
            <w:vMerge w:val="restart"/>
            <w:tcBorders>
              <w:top w:val="single" w:color="000000" w:sz="8" w:space="0"/>
              <w:left w:val="single" w:color="000000" w:sz="8" w:space="0"/>
              <w:bottom w:val="single" w:color="000000" w:sz="8" w:space="0"/>
              <w:right w:val="single" w:color="000000" w:sz="8" w:space="0"/>
            </w:tcBorders>
            <w:shd w:val="clear" w:color="auto" w:fill="D7D7D7"/>
            <w:vAlign w:val="center"/>
          </w:tcPr>
          <w:p w14:paraId="43FF258D">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公司</w:t>
            </w:r>
          </w:p>
        </w:tc>
        <w:tc>
          <w:tcPr>
            <w:tcW w:w="1513" w:type="dxa"/>
            <w:tcBorders>
              <w:top w:val="single" w:color="000000" w:sz="8" w:space="0"/>
              <w:left w:val="single" w:color="000000" w:sz="8" w:space="0"/>
              <w:bottom w:val="nil"/>
              <w:right w:val="single" w:color="000000" w:sz="8" w:space="0"/>
            </w:tcBorders>
            <w:shd w:val="clear" w:color="auto" w:fill="D7D7D7"/>
            <w:vAlign w:val="center"/>
          </w:tcPr>
          <w:p w14:paraId="05097E9F">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产值</w:t>
            </w:r>
          </w:p>
        </w:tc>
        <w:tc>
          <w:tcPr>
            <w:tcW w:w="1556" w:type="dxa"/>
            <w:tcBorders>
              <w:top w:val="single" w:color="000000" w:sz="8" w:space="0"/>
              <w:left w:val="single" w:color="000000" w:sz="8" w:space="0"/>
              <w:bottom w:val="nil"/>
              <w:right w:val="single" w:color="000000" w:sz="8" w:space="0"/>
            </w:tcBorders>
            <w:shd w:val="clear" w:color="auto" w:fill="D7D7D7"/>
            <w:vAlign w:val="center"/>
          </w:tcPr>
          <w:p w14:paraId="5CEEA54D">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产值</w:t>
            </w:r>
          </w:p>
        </w:tc>
        <w:tc>
          <w:tcPr>
            <w:tcW w:w="1066" w:type="dxa"/>
            <w:tcBorders>
              <w:top w:val="single" w:color="000000" w:sz="8" w:space="0"/>
              <w:left w:val="single" w:color="000000" w:sz="8" w:space="0"/>
              <w:bottom w:val="nil"/>
              <w:right w:val="single" w:color="000000" w:sz="8" w:space="0"/>
            </w:tcBorders>
            <w:shd w:val="clear" w:color="auto" w:fill="D7D7D7"/>
            <w:vAlign w:val="center"/>
          </w:tcPr>
          <w:p w14:paraId="781C67A1">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能耗总量</w:t>
            </w:r>
          </w:p>
        </w:tc>
        <w:tc>
          <w:tcPr>
            <w:tcW w:w="1300" w:type="dxa"/>
            <w:tcBorders>
              <w:top w:val="single" w:color="000000" w:sz="8" w:space="0"/>
              <w:left w:val="single" w:color="000000" w:sz="8" w:space="0"/>
              <w:bottom w:val="nil"/>
              <w:right w:val="single" w:color="000000" w:sz="8" w:space="0"/>
            </w:tcBorders>
            <w:shd w:val="clear" w:color="auto" w:fill="D7D7D7"/>
            <w:vAlign w:val="center"/>
          </w:tcPr>
          <w:p w14:paraId="46FB2DF2">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总碳排放量</w:t>
            </w:r>
          </w:p>
        </w:tc>
        <w:tc>
          <w:tcPr>
            <w:tcW w:w="1123" w:type="dxa"/>
            <w:tcBorders>
              <w:top w:val="single" w:color="000000" w:sz="8" w:space="0"/>
              <w:left w:val="single" w:color="000000" w:sz="8" w:space="0"/>
              <w:bottom w:val="nil"/>
              <w:right w:val="single" w:color="000000" w:sz="8" w:space="0"/>
            </w:tcBorders>
            <w:shd w:val="clear" w:color="auto" w:fill="D7D7D7"/>
            <w:vAlign w:val="center"/>
          </w:tcPr>
          <w:p w14:paraId="55551BCD">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万元产值能耗</w:t>
            </w:r>
          </w:p>
        </w:tc>
        <w:tc>
          <w:tcPr>
            <w:tcW w:w="1311" w:type="dxa"/>
            <w:tcBorders>
              <w:top w:val="single" w:color="000000" w:sz="8" w:space="0"/>
              <w:left w:val="single" w:color="000000" w:sz="8" w:space="0"/>
              <w:bottom w:val="nil"/>
              <w:right w:val="single" w:color="000000" w:sz="8" w:space="0"/>
            </w:tcBorders>
            <w:shd w:val="clear" w:color="auto" w:fill="D7D7D7"/>
            <w:vAlign w:val="center"/>
          </w:tcPr>
          <w:p w14:paraId="6100CA00">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万元产值碳排放量</w:t>
            </w:r>
          </w:p>
        </w:tc>
        <w:tc>
          <w:tcPr>
            <w:tcW w:w="1222" w:type="dxa"/>
            <w:tcBorders>
              <w:top w:val="single" w:color="000000" w:sz="8" w:space="0"/>
              <w:left w:val="single" w:color="000000" w:sz="8" w:space="0"/>
              <w:bottom w:val="nil"/>
              <w:right w:val="single" w:color="000000" w:sz="8" w:space="0"/>
            </w:tcBorders>
            <w:shd w:val="clear" w:color="auto" w:fill="D7D7D7"/>
            <w:vAlign w:val="center"/>
          </w:tcPr>
          <w:p w14:paraId="0F6082FA">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工业增加值</w:t>
            </w:r>
          </w:p>
        </w:tc>
        <w:tc>
          <w:tcPr>
            <w:tcW w:w="1511" w:type="dxa"/>
            <w:tcBorders>
              <w:top w:val="single" w:color="000000" w:sz="8" w:space="0"/>
              <w:left w:val="single" w:color="000000" w:sz="8" w:space="0"/>
              <w:bottom w:val="nil"/>
              <w:right w:val="single" w:color="000000" w:sz="8" w:space="0"/>
            </w:tcBorders>
            <w:shd w:val="clear" w:color="auto" w:fill="D7D7D7"/>
            <w:vAlign w:val="center"/>
          </w:tcPr>
          <w:p w14:paraId="77B65A8F">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单位工业增加值碳排放强度</w:t>
            </w:r>
          </w:p>
        </w:tc>
        <w:tc>
          <w:tcPr>
            <w:tcW w:w="1326" w:type="dxa"/>
            <w:tcBorders>
              <w:top w:val="single" w:color="000000" w:sz="8" w:space="0"/>
              <w:left w:val="single" w:color="000000" w:sz="8" w:space="0"/>
              <w:bottom w:val="nil"/>
              <w:right w:val="single" w:color="000000" w:sz="8" w:space="0"/>
            </w:tcBorders>
            <w:shd w:val="clear" w:color="auto" w:fill="D7D7D7"/>
            <w:vAlign w:val="center"/>
          </w:tcPr>
          <w:p w14:paraId="073E1C3D">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单位工业增加值能耗强度</w:t>
            </w:r>
          </w:p>
        </w:tc>
      </w:tr>
      <w:tr w14:paraId="4775D9C5">
        <w:tblPrEx>
          <w:tblCellMar>
            <w:top w:w="0" w:type="dxa"/>
            <w:left w:w="108" w:type="dxa"/>
            <w:bottom w:w="0" w:type="dxa"/>
            <w:right w:w="108" w:type="dxa"/>
          </w:tblCellMar>
        </w:tblPrEx>
        <w:trPr>
          <w:trHeight w:val="405" w:hRule="atLeast"/>
          <w:tblHeader/>
          <w:jc w:val="center"/>
        </w:trPr>
        <w:tc>
          <w:tcPr>
            <w:tcW w:w="990" w:type="dxa"/>
            <w:vMerge w:val="continue"/>
            <w:tcBorders>
              <w:top w:val="single" w:color="000000" w:sz="8" w:space="0"/>
              <w:left w:val="single" w:color="000000" w:sz="8" w:space="0"/>
              <w:bottom w:val="single" w:color="000000" w:sz="8" w:space="0"/>
              <w:right w:val="single" w:color="000000" w:sz="8" w:space="0"/>
            </w:tcBorders>
            <w:shd w:val="clear" w:color="auto" w:fill="D7D7D7"/>
            <w:vAlign w:val="center"/>
          </w:tcPr>
          <w:p w14:paraId="3325C803">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vMerge w:val="continue"/>
            <w:tcBorders>
              <w:top w:val="single" w:color="000000" w:sz="8" w:space="0"/>
              <w:left w:val="single" w:color="000000" w:sz="8" w:space="0"/>
              <w:bottom w:val="single" w:color="000000" w:sz="8" w:space="0"/>
              <w:right w:val="single" w:color="000000" w:sz="8" w:space="0"/>
            </w:tcBorders>
            <w:shd w:val="clear" w:color="auto" w:fill="D7D7D7"/>
            <w:vAlign w:val="center"/>
          </w:tcPr>
          <w:p w14:paraId="3249C440">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13" w:type="dxa"/>
            <w:tcBorders>
              <w:top w:val="nil"/>
              <w:left w:val="single" w:color="000000" w:sz="8" w:space="0"/>
              <w:bottom w:val="single" w:color="000000" w:sz="8" w:space="0"/>
              <w:right w:val="single" w:color="000000" w:sz="8" w:space="0"/>
            </w:tcBorders>
            <w:shd w:val="clear" w:color="auto" w:fill="D7D7D7"/>
            <w:vAlign w:val="center"/>
          </w:tcPr>
          <w:p w14:paraId="7E5345F6">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现价/亿元</w:t>
            </w:r>
          </w:p>
        </w:tc>
        <w:tc>
          <w:tcPr>
            <w:tcW w:w="1556" w:type="dxa"/>
            <w:tcBorders>
              <w:top w:val="nil"/>
              <w:left w:val="single" w:color="000000" w:sz="8" w:space="0"/>
              <w:bottom w:val="single" w:color="000000" w:sz="8" w:space="0"/>
              <w:right w:val="single" w:color="000000" w:sz="8" w:space="0"/>
            </w:tcBorders>
            <w:shd w:val="clear" w:color="auto" w:fill="D7D7D7"/>
            <w:vAlign w:val="center"/>
          </w:tcPr>
          <w:p w14:paraId="5EF082CC">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w:t>
            </w: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年不变价)/亿元</w:t>
            </w:r>
          </w:p>
        </w:tc>
        <w:tc>
          <w:tcPr>
            <w:tcW w:w="1066" w:type="dxa"/>
            <w:tcBorders>
              <w:top w:val="nil"/>
              <w:left w:val="single" w:color="000000" w:sz="8" w:space="0"/>
              <w:bottom w:val="single" w:color="000000" w:sz="8" w:space="0"/>
              <w:right w:val="single" w:color="000000" w:sz="8" w:space="0"/>
            </w:tcBorders>
            <w:shd w:val="clear" w:color="auto" w:fill="D7D7D7"/>
            <w:vAlign w:val="center"/>
          </w:tcPr>
          <w:p w14:paraId="4FA73699">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万吨</w:t>
            </w:r>
          </w:p>
        </w:tc>
        <w:tc>
          <w:tcPr>
            <w:tcW w:w="1300" w:type="dxa"/>
            <w:tcBorders>
              <w:top w:val="nil"/>
              <w:left w:val="single" w:color="000000" w:sz="8" w:space="0"/>
              <w:bottom w:val="single" w:color="000000" w:sz="8" w:space="0"/>
              <w:right w:val="single" w:color="000000" w:sz="8" w:space="0"/>
            </w:tcBorders>
            <w:shd w:val="clear" w:color="auto" w:fill="D7D7D7"/>
            <w:vAlign w:val="center"/>
          </w:tcPr>
          <w:p w14:paraId="62526C19">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color w:val="000000" w:themeColor="text1"/>
                <w:kern w:val="0"/>
                <w:sz w:val="20"/>
                <w:szCs w:val="21"/>
                <w:vertAlign w:val="subscript"/>
                <w:lang w:bidi="ar"/>
                <w14:textFill>
                  <w14:solidFill>
                    <w14:schemeClr w14:val="tx1"/>
                  </w14:solidFill>
                </w14:textFill>
              </w:rPr>
              <w:t>2</w:t>
            </w:r>
          </w:p>
        </w:tc>
        <w:tc>
          <w:tcPr>
            <w:tcW w:w="1123" w:type="dxa"/>
            <w:tcBorders>
              <w:top w:val="nil"/>
              <w:left w:val="single" w:color="000000" w:sz="8" w:space="0"/>
              <w:bottom w:val="single" w:color="000000" w:sz="8" w:space="0"/>
              <w:right w:val="single" w:color="000000" w:sz="8" w:space="0"/>
            </w:tcBorders>
            <w:shd w:val="clear" w:color="auto" w:fill="D7D7D7"/>
            <w:vAlign w:val="center"/>
          </w:tcPr>
          <w:p w14:paraId="5A2CC3F0">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tce/</w:t>
            </w: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万元</w:t>
            </w:r>
          </w:p>
        </w:tc>
        <w:tc>
          <w:tcPr>
            <w:tcW w:w="1311" w:type="dxa"/>
            <w:tcBorders>
              <w:top w:val="nil"/>
              <w:left w:val="single" w:color="000000" w:sz="8" w:space="0"/>
              <w:bottom w:val="single" w:color="000000" w:sz="8" w:space="0"/>
              <w:right w:val="single" w:color="000000" w:sz="8" w:space="0"/>
            </w:tcBorders>
            <w:shd w:val="clear" w:color="auto" w:fill="D7D7D7"/>
            <w:vAlign w:val="center"/>
          </w:tcPr>
          <w:p w14:paraId="462C6BFC">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tCO</w:t>
            </w: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2/万元</w:t>
            </w:r>
          </w:p>
        </w:tc>
        <w:tc>
          <w:tcPr>
            <w:tcW w:w="1222" w:type="dxa"/>
            <w:tcBorders>
              <w:top w:val="nil"/>
              <w:left w:val="single" w:color="000000" w:sz="8" w:space="0"/>
              <w:bottom w:val="single" w:color="000000" w:sz="8" w:space="0"/>
              <w:right w:val="single" w:color="000000" w:sz="8" w:space="0"/>
            </w:tcBorders>
            <w:shd w:val="clear" w:color="auto" w:fill="D7D7D7"/>
            <w:vAlign w:val="center"/>
          </w:tcPr>
          <w:p w14:paraId="0EED968A">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亿元</w:t>
            </w:r>
          </w:p>
        </w:tc>
        <w:tc>
          <w:tcPr>
            <w:tcW w:w="1511" w:type="dxa"/>
            <w:tcBorders>
              <w:top w:val="nil"/>
              <w:left w:val="single" w:color="000000" w:sz="8" w:space="0"/>
              <w:bottom w:val="single" w:color="000000" w:sz="8" w:space="0"/>
              <w:right w:val="single" w:color="000000" w:sz="8" w:space="0"/>
            </w:tcBorders>
            <w:shd w:val="clear" w:color="auto" w:fill="D7D7D7"/>
            <w:vAlign w:val="center"/>
          </w:tcPr>
          <w:p w14:paraId="1EA61826">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tCO</w:t>
            </w:r>
            <w:r>
              <w:rPr>
                <w:rFonts w:ascii="Times New Roman Regular" w:hAnsi="Times New Roman Regular" w:eastAsia="华文楷体" w:cs="Times New Roman Regular"/>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/万元</w:t>
            </w:r>
          </w:p>
        </w:tc>
        <w:tc>
          <w:tcPr>
            <w:tcW w:w="1326" w:type="dxa"/>
            <w:tcBorders>
              <w:top w:val="nil"/>
              <w:left w:val="single" w:color="000000" w:sz="8" w:space="0"/>
              <w:bottom w:val="single" w:color="000000" w:sz="8" w:space="0"/>
              <w:right w:val="single" w:color="000000" w:sz="8" w:space="0"/>
            </w:tcBorders>
            <w:shd w:val="clear" w:color="auto" w:fill="D7D7D7"/>
            <w:vAlign w:val="center"/>
          </w:tcPr>
          <w:p w14:paraId="31444619">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tCe/</w:t>
            </w: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万元</w:t>
            </w:r>
          </w:p>
        </w:tc>
      </w:tr>
      <w:tr w14:paraId="2F4C223E">
        <w:tblPrEx>
          <w:tblCellMar>
            <w:top w:w="0" w:type="dxa"/>
            <w:left w:w="108" w:type="dxa"/>
            <w:bottom w:w="0" w:type="dxa"/>
            <w:right w:w="108" w:type="dxa"/>
          </w:tblCellMar>
        </w:tblPrEx>
        <w:trPr>
          <w:trHeight w:val="315" w:hRule="atLeast"/>
          <w:jc w:val="center"/>
        </w:trPr>
        <w:tc>
          <w:tcPr>
            <w:tcW w:w="990" w:type="dxa"/>
            <w:vMerge w:val="restart"/>
            <w:tcBorders>
              <w:top w:val="nil"/>
              <w:left w:val="single" w:color="000000" w:sz="8" w:space="0"/>
              <w:bottom w:val="single" w:color="000000" w:sz="8" w:space="0"/>
              <w:right w:val="single" w:color="000000" w:sz="8" w:space="0"/>
            </w:tcBorders>
            <w:shd w:val="clear" w:color="auto" w:fill="FFFFFF" w:themeFill="background1"/>
            <w:vAlign w:val="center"/>
          </w:tcPr>
          <w:p w14:paraId="2C5A811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2020年</w:t>
            </w: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58D3859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3E3C24F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1069.79</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4C247A6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1069.79</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31ABCE4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534.11</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452FD3D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1113.09</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10CB0AB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0.50</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04128A4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1.04</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4A114E7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136.60</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4C8E91D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8.15</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24A10C2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3.91</w:t>
            </w:r>
          </w:p>
        </w:tc>
      </w:tr>
      <w:tr w14:paraId="5571442D">
        <w:tblPrEx>
          <w:tblCellMar>
            <w:top w:w="0" w:type="dxa"/>
            <w:left w:w="108" w:type="dxa"/>
            <w:bottom w:w="0" w:type="dxa"/>
            <w:right w:w="108" w:type="dxa"/>
          </w:tblCellMar>
        </w:tblPrEx>
        <w:trPr>
          <w:trHeight w:val="90"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5CF7967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4888F20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714DF2A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506.00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7D054BD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506.00</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685B07A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304.09</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41A4A78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577.78</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7DE8BA0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0.60</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46308B1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1.14</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54A7EC0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52.79</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17E3F64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10.95</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3D967F5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5.76</w:t>
            </w:r>
          </w:p>
        </w:tc>
      </w:tr>
      <w:tr w14:paraId="2CF872F8">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1CAC1A8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2CC3D08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2E98C84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524.78</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042374E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524.78</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66D0A1E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211.86</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56BB691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467.00</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3E573D0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0.40</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6A1F3F3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0.89</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19BDDC3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70.16</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5213E1E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6.66</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2561D59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3.02</w:t>
            </w:r>
          </w:p>
        </w:tc>
      </w:tr>
      <w:tr w14:paraId="4076C24A">
        <w:tblPrEx>
          <w:tblCellMar>
            <w:top w:w="0" w:type="dxa"/>
            <w:left w:w="108" w:type="dxa"/>
            <w:bottom w:w="0" w:type="dxa"/>
            <w:right w:w="108" w:type="dxa"/>
          </w:tblCellMar>
        </w:tblPrEx>
        <w:trPr>
          <w:trHeight w:val="90"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5FF47B2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7836A4E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2F38E0A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39.00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7D22FF9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39.00</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28E2387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16.51</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6CD1474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54.78</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02ED6FC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0.42</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7414B79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1.40</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0A8F876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13.65</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180BD76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4.01</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229ECAF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1.21</w:t>
            </w:r>
          </w:p>
        </w:tc>
      </w:tr>
      <w:tr w14:paraId="3F0EBF73">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4EB3AB8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0F31BDA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44278E4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56" w:type="dxa"/>
            <w:tcBorders>
              <w:top w:val="nil"/>
              <w:left w:val="single" w:color="000000" w:sz="8" w:space="0"/>
              <w:bottom w:val="single" w:color="000000" w:sz="8" w:space="0"/>
              <w:right w:val="single" w:color="000000" w:sz="8" w:space="0"/>
            </w:tcBorders>
            <w:shd w:val="clear" w:color="auto" w:fill="FFFFFF" w:themeFill="background1"/>
          </w:tcPr>
          <w:p w14:paraId="64AF643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51D5319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1.65</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3377B49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13.53</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3DF21BF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008F6E3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1CDB270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6AAE1D9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21934C6E">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r>
      <w:tr w14:paraId="0A2A45C3">
        <w:tblPrEx>
          <w:tblCellMar>
            <w:top w:w="0" w:type="dxa"/>
            <w:left w:w="108" w:type="dxa"/>
            <w:bottom w:w="0" w:type="dxa"/>
            <w:right w:w="108" w:type="dxa"/>
          </w:tblCellMar>
        </w:tblPrEx>
        <w:trPr>
          <w:trHeight w:val="315" w:hRule="atLeast"/>
          <w:jc w:val="center"/>
        </w:trPr>
        <w:tc>
          <w:tcPr>
            <w:tcW w:w="990" w:type="dxa"/>
            <w:vMerge w:val="restart"/>
            <w:tcBorders>
              <w:top w:val="nil"/>
              <w:left w:val="single" w:color="000000" w:sz="8" w:space="0"/>
              <w:bottom w:val="single" w:color="000000" w:sz="8" w:space="0"/>
              <w:right w:val="single" w:color="000000" w:sz="8" w:space="0"/>
            </w:tcBorders>
            <w:shd w:val="clear" w:color="auto" w:fill="FFFFFF" w:themeFill="background1"/>
            <w:vAlign w:val="center"/>
          </w:tcPr>
          <w:p w14:paraId="2A34FCF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2021年</w:t>
            </w: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36A6EF1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7BD6DB2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1562.32</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5314AB1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1308.05</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3E20C6A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1220.04</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4D92DC0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1540.25</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38ADA34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0.93</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005142C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1.18</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6C44148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311.64</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58339E4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4.94</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61B4219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3.91</w:t>
            </w:r>
          </w:p>
        </w:tc>
      </w:tr>
      <w:tr w14:paraId="7FBE178B">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27A6770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475F153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6AF6CC8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751.00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7D0C5EE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585.80</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02D4CAD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1015.34</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2565F0C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1008.05</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291E792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1.73</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4C0C13C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1.72</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6C265FF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149.81</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55CAA2B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6.73</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65ABDD4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6.78</w:t>
            </w:r>
          </w:p>
        </w:tc>
      </w:tr>
      <w:tr w14:paraId="0612D7F1">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2261630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3CD946A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5461E33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781.12</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341EC85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698.94</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307F440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193.88</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63D15AF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472.41</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36D4722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0.28</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59CEA29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0.68</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12372BB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151.25</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4A2EA9C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3.12</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0DC63E0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1.28</w:t>
            </w:r>
          </w:p>
        </w:tc>
      </w:tr>
      <w:tr w14:paraId="75306F5C">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73462233">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703E04A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419CD94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30.20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4E34BAD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23.31</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25F0556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9.14</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6B3E5AB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31.85</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42C8AE0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0.39</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3447ACB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1.37</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3300B88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10.57</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2AD83ED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5.18</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211ECF6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0.86</w:t>
            </w:r>
          </w:p>
        </w:tc>
      </w:tr>
      <w:tr w14:paraId="69072ED4">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16127B35">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6CAA8573">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0E042C7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56" w:type="dxa"/>
            <w:tcBorders>
              <w:top w:val="nil"/>
              <w:left w:val="single" w:color="000000" w:sz="8" w:space="0"/>
              <w:bottom w:val="single" w:color="000000" w:sz="8" w:space="0"/>
              <w:right w:val="single" w:color="000000" w:sz="8" w:space="0"/>
            </w:tcBorders>
            <w:shd w:val="clear" w:color="auto" w:fill="FFFFFF" w:themeFill="background1"/>
          </w:tcPr>
          <w:p w14:paraId="728A571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46F04A2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1.68</w:t>
            </w:r>
          </w:p>
        </w:tc>
        <w:tc>
          <w:tcPr>
            <w:tcW w:w="1300" w:type="dxa"/>
            <w:tcBorders>
              <w:top w:val="nil"/>
              <w:left w:val="single" w:color="000000" w:sz="8" w:space="0"/>
              <w:bottom w:val="single" w:color="000000" w:sz="8" w:space="0"/>
              <w:right w:val="single" w:color="000000" w:sz="8" w:space="0"/>
            </w:tcBorders>
            <w:shd w:val="clear" w:color="auto" w:fill="FFFFFF" w:themeFill="background1"/>
          </w:tcPr>
          <w:p w14:paraId="20373B8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5.02</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454DB19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682F990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742EB0F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38EB0AA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654DCCF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r>
      <w:tr w14:paraId="6CDC4083">
        <w:tblPrEx>
          <w:tblCellMar>
            <w:top w:w="0" w:type="dxa"/>
            <w:left w:w="108" w:type="dxa"/>
            <w:bottom w:w="0" w:type="dxa"/>
            <w:right w:w="108" w:type="dxa"/>
          </w:tblCellMar>
        </w:tblPrEx>
        <w:trPr>
          <w:trHeight w:val="315" w:hRule="atLeast"/>
          <w:jc w:val="center"/>
        </w:trPr>
        <w:tc>
          <w:tcPr>
            <w:tcW w:w="990" w:type="dxa"/>
            <w:vMerge w:val="restart"/>
            <w:tcBorders>
              <w:top w:val="nil"/>
              <w:left w:val="single" w:color="000000" w:sz="8" w:space="0"/>
              <w:bottom w:val="single" w:color="000000" w:sz="8" w:space="0"/>
              <w:right w:val="single" w:color="000000" w:sz="8" w:space="0"/>
            </w:tcBorders>
            <w:shd w:val="clear" w:color="auto" w:fill="FFFFFF" w:themeFill="background1"/>
            <w:vAlign w:val="center"/>
          </w:tcPr>
          <w:p w14:paraId="0D4E629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-实际值</w:t>
            </w: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779BCB7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4E56400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1678.61</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1B246DC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1059.38</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2464308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1099.64</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5B9FCCB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1298.37</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2522E86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1.04</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3B231C3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1.23</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7845849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149.88</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23052CD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8.66</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068862D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7.34</w:t>
            </w:r>
          </w:p>
        </w:tc>
      </w:tr>
      <w:tr w14:paraId="6B70CB27">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0A67B42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3C7F6F0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2F64340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888.00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03E4FA6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560.41</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20B4076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945.73</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56D6A3F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969.69</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72D874A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1.69</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5571225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1.73</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43D5459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86.95</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1AA5E62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11.15</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7FAA240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10.88</w:t>
            </w:r>
          </w:p>
        </w:tc>
      </w:tr>
      <w:tr w14:paraId="4647395C">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1F64D39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4FA5928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29DDDD5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788.90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1E44C85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497.87</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4FC708A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149.82</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37C9430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318.87</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730CEB5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0.30</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66CB13A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0.64</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08BC5A5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62.34</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3B7D3E6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5.12</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32D15FC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2.40</w:t>
            </w:r>
          </w:p>
        </w:tc>
      </w:tr>
      <w:tr w14:paraId="1D75DB0A">
        <w:tblPrEx>
          <w:tblCellMar>
            <w:top w:w="0" w:type="dxa"/>
            <w:left w:w="108" w:type="dxa"/>
            <w:bottom w:w="0" w:type="dxa"/>
            <w:right w:w="108" w:type="dxa"/>
          </w:tblCellMar>
        </w:tblPrEx>
        <w:trPr>
          <w:trHeight w:val="90"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217F22D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6CF57FA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7B246D7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314FF33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4222452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2.33</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7024D72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4.70</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048A23F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2.12</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7322EE7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4.27</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2999284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0.60</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3C5E722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7.86</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4487A82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3.90</w:t>
            </w:r>
          </w:p>
        </w:tc>
      </w:tr>
      <w:tr w14:paraId="0F43B5C8">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1981B58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5B064E8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7712562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56" w:type="dxa"/>
            <w:tcBorders>
              <w:top w:val="nil"/>
              <w:left w:val="single" w:color="000000" w:sz="8" w:space="0"/>
              <w:bottom w:val="single" w:color="000000" w:sz="8" w:space="0"/>
              <w:right w:val="single" w:color="000000" w:sz="8" w:space="0"/>
            </w:tcBorders>
            <w:shd w:val="clear" w:color="auto" w:fill="FFFFFF" w:themeFill="background1"/>
          </w:tcPr>
          <w:p w14:paraId="4234420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0EF548C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1.76</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55EE141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5.11</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4F6D360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11" w:type="dxa"/>
            <w:tcBorders>
              <w:top w:val="nil"/>
              <w:left w:val="single" w:color="000000" w:sz="8" w:space="0"/>
              <w:bottom w:val="single" w:color="000000" w:sz="8" w:space="0"/>
              <w:right w:val="single" w:color="000000" w:sz="8" w:space="0"/>
            </w:tcBorders>
            <w:shd w:val="clear" w:color="auto" w:fill="FFFFFF" w:themeFill="background1"/>
          </w:tcPr>
          <w:p w14:paraId="35BC915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59320E8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11" w:type="dxa"/>
            <w:tcBorders>
              <w:top w:val="nil"/>
              <w:left w:val="single" w:color="000000" w:sz="8" w:space="0"/>
              <w:bottom w:val="single" w:color="000000" w:sz="8" w:space="0"/>
              <w:right w:val="single" w:color="000000" w:sz="8" w:space="0"/>
            </w:tcBorders>
            <w:shd w:val="clear" w:color="auto" w:fill="FFFFFF" w:themeFill="background1"/>
          </w:tcPr>
          <w:p w14:paraId="34AF089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541130F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r>
      <w:tr w14:paraId="62A71637">
        <w:tblPrEx>
          <w:tblCellMar>
            <w:top w:w="0" w:type="dxa"/>
            <w:left w:w="108" w:type="dxa"/>
            <w:bottom w:w="0" w:type="dxa"/>
            <w:right w:w="108" w:type="dxa"/>
          </w:tblCellMar>
        </w:tblPrEx>
        <w:trPr>
          <w:trHeight w:val="325" w:hRule="atLeast"/>
          <w:jc w:val="center"/>
        </w:trPr>
        <w:tc>
          <w:tcPr>
            <w:tcW w:w="990" w:type="dxa"/>
            <w:vMerge w:val="restart"/>
            <w:tcBorders>
              <w:top w:val="nil"/>
              <w:left w:val="single" w:color="000000" w:sz="8" w:space="0"/>
              <w:right w:val="single" w:color="000000" w:sz="8" w:space="0"/>
            </w:tcBorders>
            <w:shd w:val="clear" w:color="auto" w:fill="D6DCE5" w:themeFill="text2" w:themeFillTint="32"/>
            <w:vAlign w:val="center"/>
          </w:tcPr>
          <w:p w14:paraId="0050FFB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2022年-</w:t>
            </w:r>
            <w:r>
              <w:rPr>
                <w:rFonts w:hint="eastAsia" w:ascii="Times New Roman Regular" w:hAnsi="Times New Roman Regular" w:eastAsia="华文楷体" w:cs="Times New Roman Regular"/>
                <w:bCs/>
                <w:color w:val="000000" w:themeColor="text1"/>
                <w:kern w:val="0"/>
                <w:sz w:val="20"/>
                <w:szCs w:val="21"/>
                <w:lang w:val="en-US" w:eastAsia="zh-CN"/>
                <w14:textFill>
                  <w14:solidFill>
                    <w14:schemeClr w14:val="tx1"/>
                  </w14:solidFill>
                </w14:textFill>
              </w:rPr>
              <w:t>规划</w:t>
            </w: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值</w:t>
            </w: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45B60269">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vMerge w:val="restart"/>
            <w:tcBorders>
              <w:top w:val="nil"/>
              <w:left w:val="single" w:color="000000" w:sz="8" w:space="0"/>
              <w:right w:val="single" w:color="000000" w:sz="8" w:space="0"/>
            </w:tcBorders>
            <w:shd w:val="clear" w:color="auto" w:fill="D6DCE5" w:themeFill="text2" w:themeFillTint="32"/>
            <w:vAlign w:val="center"/>
          </w:tcPr>
          <w:p w14:paraId="552CB1C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p w14:paraId="01A4A60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p w14:paraId="1587FF3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1F003B9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1090.12</w:t>
            </w:r>
          </w:p>
        </w:tc>
        <w:tc>
          <w:tcPr>
            <w:tcW w:w="1066" w:type="dxa"/>
            <w:vMerge w:val="restart"/>
            <w:tcBorders>
              <w:top w:val="nil"/>
              <w:left w:val="single" w:color="000000" w:sz="8" w:space="0"/>
              <w:right w:val="single" w:color="000000" w:sz="8" w:space="0"/>
            </w:tcBorders>
            <w:shd w:val="clear" w:color="auto" w:fill="D6DCE5" w:themeFill="text2" w:themeFillTint="32"/>
            <w:vAlign w:val="center"/>
          </w:tcPr>
          <w:p w14:paraId="79B60582">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p w14:paraId="2CDA091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636AD424">
            <w:pPr>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1332.33</w:t>
            </w:r>
          </w:p>
        </w:tc>
        <w:tc>
          <w:tcPr>
            <w:tcW w:w="1123" w:type="dxa"/>
            <w:vMerge w:val="restart"/>
            <w:tcBorders>
              <w:top w:val="nil"/>
              <w:left w:val="single" w:color="000000" w:sz="8" w:space="0"/>
              <w:right w:val="single" w:color="000000" w:sz="8" w:space="0"/>
            </w:tcBorders>
            <w:shd w:val="clear" w:color="auto" w:fill="D6DCE5" w:themeFill="text2" w:themeFillTint="32"/>
            <w:vAlign w:val="center"/>
          </w:tcPr>
          <w:p w14:paraId="45F6464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p w14:paraId="6912E1C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p w14:paraId="27174BC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74336C7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1.22</w:t>
            </w:r>
          </w:p>
        </w:tc>
        <w:tc>
          <w:tcPr>
            <w:tcW w:w="4059" w:type="dxa"/>
            <w:gridSpan w:val="3"/>
            <w:vMerge w:val="restart"/>
            <w:tcBorders>
              <w:top w:val="nil"/>
              <w:left w:val="single" w:color="000000" w:sz="8" w:space="0"/>
              <w:right w:val="single" w:color="000000" w:sz="8" w:space="0"/>
            </w:tcBorders>
            <w:shd w:val="clear" w:color="auto" w:fill="D6DCE5" w:themeFill="text2" w:themeFillTint="32"/>
            <w:vAlign w:val="center"/>
          </w:tcPr>
          <w:p w14:paraId="12C7B15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r>
      <w:tr w14:paraId="4CABCBC1">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338A1D1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271A17F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vMerge w:val="continue"/>
            <w:tcBorders>
              <w:left w:val="single" w:color="000000" w:sz="8" w:space="0"/>
              <w:right w:val="single" w:color="000000" w:sz="8" w:space="0"/>
            </w:tcBorders>
            <w:shd w:val="clear" w:color="auto" w:fill="D6DCE5" w:themeFill="text2" w:themeFillTint="32"/>
            <w:vAlign w:val="center"/>
          </w:tcPr>
          <w:p w14:paraId="47036C5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6473D22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574.97</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4550A40E">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3E515449">
            <w:pPr>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980.58</w:t>
            </w:r>
          </w:p>
        </w:tc>
        <w:tc>
          <w:tcPr>
            <w:tcW w:w="1123" w:type="dxa"/>
            <w:vMerge w:val="continue"/>
            <w:tcBorders>
              <w:left w:val="single" w:color="000000" w:sz="8" w:space="0"/>
              <w:right w:val="single" w:color="000000" w:sz="8" w:space="0"/>
            </w:tcBorders>
            <w:shd w:val="clear" w:color="auto" w:fill="D6DCE5" w:themeFill="text2" w:themeFillTint="32"/>
            <w:vAlign w:val="center"/>
          </w:tcPr>
          <w:p w14:paraId="19BABDE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3754146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1.71</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4338ADAD">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1138BFA2">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536814C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38E79873">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vMerge w:val="continue"/>
            <w:tcBorders>
              <w:left w:val="single" w:color="000000" w:sz="8" w:space="0"/>
              <w:right w:val="single" w:color="000000" w:sz="8" w:space="0"/>
            </w:tcBorders>
            <w:shd w:val="clear" w:color="auto" w:fill="D6DCE5" w:themeFill="text2" w:themeFillTint="32"/>
            <w:vAlign w:val="center"/>
          </w:tcPr>
          <w:p w14:paraId="52A46F5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06F6DB2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596.29</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58EEFBD3">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535F5683">
            <w:pPr>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350.67</w:t>
            </w:r>
          </w:p>
        </w:tc>
        <w:tc>
          <w:tcPr>
            <w:tcW w:w="1123" w:type="dxa"/>
            <w:vMerge w:val="continue"/>
            <w:tcBorders>
              <w:left w:val="single" w:color="000000" w:sz="8" w:space="0"/>
              <w:right w:val="single" w:color="000000" w:sz="8" w:space="0"/>
            </w:tcBorders>
            <w:shd w:val="clear" w:color="auto" w:fill="D6DCE5" w:themeFill="text2" w:themeFillTint="32"/>
            <w:vAlign w:val="center"/>
          </w:tcPr>
          <w:p w14:paraId="04D2C38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29755CE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0.59</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5396C32B">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276E2EDC">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13D0F5F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48CFEADB">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vMerge w:val="continue"/>
            <w:tcBorders>
              <w:left w:val="single" w:color="000000" w:sz="8" w:space="0"/>
              <w:right w:val="single" w:color="000000" w:sz="8" w:space="0"/>
            </w:tcBorders>
            <w:shd w:val="clear" w:color="auto" w:fill="D6DCE5" w:themeFill="text2" w:themeFillTint="32"/>
            <w:vAlign w:val="center"/>
          </w:tcPr>
          <w:p w14:paraId="089D627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04C1BE04">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0.77</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798C688C">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68A95BF2">
            <w:pPr>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1.00</w:t>
            </w:r>
          </w:p>
        </w:tc>
        <w:tc>
          <w:tcPr>
            <w:tcW w:w="1123" w:type="dxa"/>
            <w:vMerge w:val="continue"/>
            <w:tcBorders>
              <w:left w:val="single" w:color="000000" w:sz="8" w:space="0"/>
              <w:right w:val="single" w:color="000000" w:sz="8" w:space="0"/>
            </w:tcBorders>
            <w:shd w:val="clear" w:color="auto" w:fill="D6DCE5" w:themeFill="text2" w:themeFillTint="32"/>
            <w:vAlign w:val="center"/>
          </w:tcPr>
          <w:p w14:paraId="69F84E0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131D855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1.73</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4FFB38CC">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5585EDFA">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6115F5F3">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19187D71">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231A3FC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548EB45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066"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074CE67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659002C8">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1123"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1CA244B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5D20915E">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4059" w:type="dxa"/>
            <w:gridSpan w:val="3"/>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2DD83E80">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1DE2B033">
        <w:tblPrEx>
          <w:tblCellMar>
            <w:top w:w="0" w:type="dxa"/>
            <w:left w:w="108" w:type="dxa"/>
            <w:bottom w:w="0" w:type="dxa"/>
            <w:right w:w="108" w:type="dxa"/>
          </w:tblCellMar>
        </w:tblPrEx>
        <w:trPr>
          <w:trHeight w:val="315" w:hRule="atLeast"/>
          <w:jc w:val="center"/>
        </w:trPr>
        <w:tc>
          <w:tcPr>
            <w:tcW w:w="990" w:type="dxa"/>
            <w:vMerge w:val="restart"/>
            <w:tcBorders>
              <w:top w:val="nil"/>
              <w:left w:val="single" w:color="000000" w:sz="8" w:space="0"/>
              <w:bottom w:val="single" w:color="000000" w:sz="8" w:space="0"/>
              <w:right w:val="single" w:color="000000" w:sz="8" w:space="0"/>
            </w:tcBorders>
            <w:shd w:val="clear" w:color="auto" w:fill="FFFFFF" w:themeFill="background1"/>
            <w:vAlign w:val="center"/>
          </w:tcPr>
          <w:p w14:paraId="7CA32B1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-实际值</w:t>
            </w: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7D8414A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432DB4A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1705.06</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38559F7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1182.10</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5B6F683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1226.58</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5003F22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1321.82</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5C2CED6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1.04</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0D21AB1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332DA69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253.64</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0C318B0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5.21</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0A635F2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4.84</w:t>
            </w:r>
          </w:p>
        </w:tc>
      </w:tr>
      <w:tr w14:paraId="29192658">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28A4CBD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5CD3657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4D39280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879.00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0B0A33B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613.41</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565A279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992.92</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709DE9F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949.85</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1DF44BE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1.62</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0E33B0E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1.55</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7419490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96.89</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5869236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9.80</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308AA50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10.25</w:t>
            </w:r>
          </w:p>
        </w:tc>
      </w:tr>
      <w:tr w14:paraId="7EF6276F">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371F1F8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4E22D6B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1896DD1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825.45</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29082A3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568.08</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11A21B5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230.77</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0A00A31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364.11</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3E515D2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0.41</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39A383C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0.64</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25B9416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156.53</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194F1E8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2.33</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4251025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1.47</w:t>
            </w:r>
          </w:p>
        </w:tc>
      </w:tr>
      <w:tr w14:paraId="2E1B2950">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2BAAA633">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4217FAE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09AE8E0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0.61</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7FE3B13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0.61</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3626C0D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629ECBC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2.09</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2161491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1.84</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28AE5B9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3.44</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478A69C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0.21</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736CE31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9.75</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7A8B1AE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5.21</w:t>
            </w:r>
          </w:p>
        </w:tc>
      </w:tr>
      <w:tr w14:paraId="7AE0A536">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54D61EA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15850F5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37792A6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56" w:type="dxa"/>
            <w:tcBorders>
              <w:top w:val="nil"/>
              <w:left w:val="single" w:color="000000" w:sz="8" w:space="0"/>
              <w:bottom w:val="single" w:color="000000" w:sz="8" w:space="0"/>
              <w:right w:val="single" w:color="000000" w:sz="8" w:space="0"/>
            </w:tcBorders>
            <w:shd w:val="clear" w:color="auto" w:fill="FFFFFF" w:themeFill="background1"/>
          </w:tcPr>
          <w:p w14:paraId="5B78ABB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61F29648">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1.77</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05A24D0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5.76</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5907E67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11" w:type="dxa"/>
            <w:tcBorders>
              <w:top w:val="nil"/>
              <w:left w:val="single" w:color="000000" w:sz="8" w:space="0"/>
              <w:bottom w:val="single" w:color="000000" w:sz="8" w:space="0"/>
              <w:right w:val="single" w:color="000000" w:sz="8" w:space="0"/>
            </w:tcBorders>
            <w:shd w:val="clear" w:color="auto" w:fill="FFFFFF" w:themeFill="background1"/>
          </w:tcPr>
          <w:p w14:paraId="21F2D22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6558294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11" w:type="dxa"/>
            <w:tcBorders>
              <w:top w:val="nil"/>
              <w:left w:val="single" w:color="000000" w:sz="8" w:space="0"/>
              <w:bottom w:val="single" w:color="000000" w:sz="8" w:space="0"/>
              <w:right w:val="single" w:color="000000" w:sz="8" w:space="0"/>
            </w:tcBorders>
            <w:shd w:val="clear" w:color="auto" w:fill="FFFFFF" w:themeFill="background1"/>
          </w:tcPr>
          <w:p w14:paraId="2506EE44">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091D647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r>
      <w:tr w14:paraId="26E8DDBA">
        <w:tblPrEx>
          <w:tblCellMar>
            <w:top w:w="0" w:type="dxa"/>
            <w:left w:w="108" w:type="dxa"/>
            <w:bottom w:w="0" w:type="dxa"/>
            <w:right w:w="108" w:type="dxa"/>
          </w:tblCellMar>
        </w:tblPrEx>
        <w:trPr>
          <w:trHeight w:val="325" w:hRule="atLeast"/>
          <w:jc w:val="center"/>
        </w:trPr>
        <w:tc>
          <w:tcPr>
            <w:tcW w:w="990" w:type="dxa"/>
            <w:vMerge w:val="restart"/>
            <w:tcBorders>
              <w:top w:val="nil"/>
              <w:left w:val="single" w:color="000000" w:sz="8" w:space="0"/>
              <w:right w:val="single" w:color="000000" w:sz="8" w:space="0"/>
            </w:tcBorders>
            <w:shd w:val="clear" w:color="auto" w:fill="D6DCE5" w:themeFill="text2" w:themeFillTint="32"/>
            <w:vAlign w:val="center"/>
          </w:tcPr>
          <w:p w14:paraId="111B400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2023年-</w:t>
            </w:r>
            <w:r>
              <w:rPr>
                <w:rFonts w:hint="eastAsia" w:ascii="Times New Roman Regular" w:hAnsi="Times New Roman Regular" w:eastAsia="华文楷体" w:cs="Times New Roman Regular"/>
                <w:bCs/>
                <w:color w:val="000000" w:themeColor="text1"/>
                <w:kern w:val="0"/>
                <w:sz w:val="20"/>
                <w:szCs w:val="21"/>
                <w:lang w:val="en-US" w:eastAsia="zh-CN"/>
                <w14:textFill>
                  <w14:solidFill>
                    <w14:schemeClr w14:val="tx1"/>
                  </w14:solidFill>
                </w14:textFill>
              </w:rPr>
              <w:t>规划</w:t>
            </w: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值</w:t>
            </w: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1E9F389E">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vMerge w:val="restart"/>
            <w:tcBorders>
              <w:top w:val="nil"/>
              <w:left w:val="single" w:color="000000" w:sz="8" w:space="0"/>
              <w:right w:val="single" w:color="000000" w:sz="8" w:space="0"/>
            </w:tcBorders>
            <w:shd w:val="clear" w:color="auto" w:fill="D6DCE5" w:themeFill="text2" w:themeFillTint="32"/>
            <w:vAlign w:val="center"/>
          </w:tcPr>
          <w:p w14:paraId="1971625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p w14:paraId="7F89335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7CB01C2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1271.13</w:t>
            </w:r>
          </w:p>
        </w:tc>
        <w:tc>
          <w:tcPr>
            <w:tcW w:w="1066" w:type="dxa"/>
            <w:vMerge w:val="restart"/>
            <w:tcBorders>
              <w:top w:val="nil"/>
              <w:left w:val="single" w:color="000000" w:sz="8" w:space="0"/>
              <w:right w:val="single" w:color="000000" w:sz="8" w:space="0"/>
            </w:tcBorders>
            <w:shd w:val="clear" w:color="auto" w:fill="D6DCE5" w:themeFill="text2" w:themeFillTint="32"/>
            <w:vAlign w:val="center"/>
          </w:tcPr>
          <w:p w14:paraId="2E83D93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p w14:paraId="7216670D">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6DEE6A6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1514.62</w:t>
            </w:r>
          </w:p>
        </w:tc>
        <w:tc>
          <w:tcPr>
            <w:tcW w:w="1123" w:type="dxa"/>
            <w:vMerge w:val="restart"/>
            <w:tcBorders>
              <w:top w:val="nil"/>
              <w:left w:val="single" w:color="000000" w:sz="8" w:space="0"/>
              <w:right w:val="single" w:color="000000" w:sz="8" w:space="0"/>
            </w:tcBorders>
            <w:shd w:val="clear" w:color="auto" w:fill="D6DCE5" w:themeFill="text2" w:themeFillTint="32"/>
            <w:vAlign w:val="center"/>
          </w:tcPr>
          <w:p w14:paraId="3E0CAF7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1A1BA44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1.19</w:t>
            </w:r>
          </w:p>
        </w:tc>
        <w:tc>
          <w:tcPr>
            <w:tcW w:w="4059" w:type="dxa"/>
            <w:gridSpan w:val="3"/>
            <w:vMerge w:val="restart"/>
            <w:tcBorders>
              <w:top w:val="nil"/>
              <w:left w:val="single" w:color="000000" w:sz="8" w:space="0"/>
              <w:right w:val="single" w:color="000000" w:sz="8" w:space="0"/>
            </w:tcBorders>
            <w:shd w:val="clear" w:color="auto" w:fill="D6DCE5" w:themeFill="text2" w:themeFillTint="32"/>
            <w:vAlign w:val="center"/>
          </w:tcPr>
          <w:p w14:paraId="704F975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p w14:paraId="2938C660">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1AFA4B73">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5A810A7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6C6FCF39">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vMerge w:val="continue"/>
            <w:tcBorders>
              <w:left w:val="single" w:color="000000" w:sz="8" w:space="0"/>
              <w:right w:val="single" w:color="000000" w:sz="8" w:space="0"/>
            </w:tcBorders>
            <w:shd w:val="clear" w:color="auto" w:fill="D6DCE5" w:themeFill="text2" w:themeFillTint="32"/>
            <w:vAlign w:val="center"/>
          </w:tcPr>
          <w:p w14:paraId="44018509">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428305B3">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642.99</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041F9FA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1300BA4C">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1053.48</w:t>
            </w:r>
          </w:p>
        </w:tc>
        <w:tc>
          <w:tcPr>
            <w:tcW w:w="1123" w:type="dxa"/>
            <w:vMerge w:val="continue"/>
            <w:tcBorders>
              <w:left w:val="single" w:color="000000" w:sz="8" w:space="0"/>
              <w:right w:val="single" w:color="000000" w:sz="8" w:space="0"/>
            </w:tcBorders>
            <w:shd w:val="clear" w:color="auto" w:fill="D6DCE5" w:themeFill="text2" w:themeFillTint="32"/>
            <w:vAlign w:val="center"/>
          </w:tcPr>
          <w:p w14:paraId="29D761A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0EE4168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1.64</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0635E9B7">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79DB67F9">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1C06008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56BE4FAD">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vMerge w:val="continue"/>
            <w:tcBorders>
              <w:left w:val="single" w:color="000000" w:sz="8" w:space="0"/>
              <w:right w:val="single" w:color="000000" w:sz="8" w:space="0"/>
            </w:tcBorders>
            <w:shd w:val="clear" w:color="auto" w:fill="D6DCE5" w:themeFill="text2" w:themeFillTint="32"/>
            <w:vAlign w:val="center"/>
          </w:tcPr>
          <w:p w14:paraId="4DF9839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2840387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513.01</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5B43D88C">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061BFFA6">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460.02</w:t>
            </w:r>
          </w:p>
        </w:tc>
        <w:tc>
          <w:tcPr>
            <w:tcW w:w="1123" w:type="dxa"/>
            <w:vMerge w:val="continue"/>
            <w:tcBorders>
              <w:left w:val="single" w:color="000000" w:sz="8" w:space="0"/>
              <w:right w:val="single" w:color="000000" w:sz="8" w:space="0"/>
            </w:tcBorders>
            <w:shd w:val="clear" w:color="auto" w:fill="D6DCE5" w:themeFill="text2" w:themeFillTint="32"/>
            <w:vAlign w:val="center"/>
          </w:tcPr>
          <w:p w14:paraId="1D7BEB6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4928F42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0.90</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4C2246C2">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5F12B653">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585C53E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6EDDF0F1">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vMerge w:val="continue"/>
            <w:tcBorders>
              <w:left w:val="single" w:color="000000" w:sz="8" w:space="0"/>
              <w:right w:val="single" w:color="000000" w:sz="8" w:space="0"/>
            </w:tcBorders>
            <w:shd w:val="clear" w:color="auto" w:fill="D6DCE5" w:themeFill="text2" w:themeFillTint="32"/>
            <w:vAlign w:val="center"/>
          </w:tcPr>
          <w:p w14:paraId="604BC4A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3031EFF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0.77</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39245E16">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785B9BD3">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1.00</w:t>
            </w:r>
          </w:p>
        </w:tc>
        <w:tc>
          <w:tcPr>
            <w:tcW w:w="1123" w:type="dxa"/>
            <w:vMerge w:val="continue"/>
            <w:tcBorders>
              <w:left w:val="single" w:color="000000" w:sz="8" w:space="0"/>
              <w:right w:val="single" w:color="000000" w:sz="8" w:space="0"/>
            </w:tcBorders>
            <w:shd w:val="clear" w:color="auto" w:fill="D6DCE5" w:themeFill="text2" w:themeFillTint="32"/>
            <w:vAlign w:val="center"/>
          </w:tcPr>
          <w:p w14:paraId="36EE64C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7C8CE3BE">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1.73</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7EC62250">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3DDD0779">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78427A4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49CDCC9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358E62A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single" w:color="000000" w:sz="8" w:space="0"/>
              <w:right w:val="single" w:color="000000" w:sz="8" w:space="0"/>
            </w:tcBorders>
            <w:shd w:val="clear" w:color="auto" w:fill="D6DCE5" w:themeFill="text2" w:themeFillTint="32"/>
          </w:tcPr>
          <w:p w14:paraId="15AF42A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066"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21C30CD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single" w:color="000000" w:sz="8" w:space="0"/>
              <w:right w:val="single" w:color="000000" w:sz="8" w:space="0"/>
            </w:tcBorders>
            <w:shd w:val="clear" w:color="auto" w:fill="D6DCE5" w:themeFill="text2" w:themeFillTint="32"/>
            <w:vAlign w:val="center"/>
          </w:tcPr>
          <w:p w14:paraId="4B654F3B">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123" w:type="dxa"/>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5193F89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single" w:color="000000" w:sz="8" w:space="0"/>
              <w:right w:val="single" w:color="000000" w:sz="8" w:space="0"/>
            </w:tcBorders>
            <w:shd w:val="clear" w:color="auto" w:fill="D6DCE5" w:themeFill="text2" w:themeFillTint="32"/>
          </w:tcPr>
          <w:p w14:paraId="6C6CC49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4059" w:type="dxa"/>
            <w:gridSpan w:val="3"/>
            <w:vMerge w:val="continue"/>
            <w:tcBorders>
              <w:left w:val="single" w:color="000000" w:sz="8" w:space="0"/>
              <w:bottom w:val="single" w:color="000000" w:sz="8" w:space="0"/>
              <w:right w:val="single" w:color="000000" w:sz="8" w:space="0"/>
            </w:tcBorders>
            <w:shd w:val="clear" w:color="auto" w:fill="D6DCE5" w:themeFill="text2" w:themeFillTint="32"/>
            <w:vAlign w:val="center"/>
          </w:tcPr>
          <w:p w14:paraId="6A82086B">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0DA53CA5">
        <w:tblPrEx>
          <w:tblCellMar>
            <w:top w:w="0" w:type="dxa"/>
            <w:left w:w="108" w:type="dxa"/>
            <w:bottom w:w="0" w:type="dxa"/>
            <w:right w:w="108" w:type="dxa"/>
          </w:tblCellMar>
        </w:tblPrEx>
        <w:trPr>
          <w:trHeight w:val="315" w:hRule="atLeast"/>
          <w:jc w:val="center"/>
        </w:trPr>
        <w:tc>
          <w:tcPr>
            <w:tcW w:w="990" w:type="dxa"/>
            <w:vMerge w:val="restart"/>
            <w:tcBorders>
              <w:top w:val="nil"/>
              <w:left w:val="single" w:color="000000" w:sz="8" w:space="0"/>
              <w:bottom w:val="single" w:color="000000" w:sz="8" w:space="0"/>
              <w:right w:val="single" w:color="000000" w:sz="8" w:space="0"/>
            </w:tcBorders>
            <w:shd w:val="clear" w:color="auto" w:fill="FFFFFF" w:themeFill="background1"/>
            <w:vAlign w:val="center"/>
          </w:tcPr>
          <w:p w14:paraId="0E255DE4">
            <w:pPr>
              <w:widowControl/>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2024年</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-实际值</w:t>
            </w: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151B227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2461DF7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1144.04</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22EABFF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816.24</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1D42100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1114.43</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43524EE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1184.57</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1E434D0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1.37</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3C13960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1.45</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23A18ED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93.26</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6BFE0B8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12.70</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659DD610">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11.95</w:t>
            </w:r>
          </w:p>
        </w:tc>
      </w:tr>
      <w:tr w14:paraId="3EA6977E">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64619009">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793F76A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1B139C5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775.00</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6D8AD7A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550.75</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59ACBAED">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982.11</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6F0094B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968.17</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2DFCC5B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1.78</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5B2FCB1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1.76</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0E49002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51.92</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6403C68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18.65</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15135FD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18.92</w:t>
            </w:r>
          </w:p>
        </w:tc>
      </w:tr>
      <w:tr w14:paraId="3AB8FA64">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324C3D3A">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0CC17BB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27C9E57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368.73</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10094A1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265.16</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6197AABE">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129.84</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083F19A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209.63</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194378C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0.49</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756C16F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0.79</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09C138C5">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42.61</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562BA2D2">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4.92</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7F637E0C">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3.05</w:t>
            </w:r>
          </w:p>
        </w:tc>
      </w:tr>
      <w:tr w14:paraId="355CEF6A">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single" w:color="000000" w:sz="8" w:space="0"/>
              <w:right w:val="single" w:color="000000" w:sz="8" w:space="0"/>
            </w:tcBorders>
            <w:shd w:val="clear" w:color="auto" w:fill="FFFFFF" w:themeFill="background1"/>
            <w:vAlign w:val="center"/>
          </w:tcPr>
          <w:p w14:paraId="7AFFD9E5">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single" w:color="000000" w:sz="8" w:space="0"/>
              <w:right w:val="single" w:color="000000" w:sz="8" w:space="0"/>
            </w:tcBorders>
            <w:shd w:val="clear" w:color="auto" w:fill="FFFFFF" w:themeFill="background1"/>
            <w:vAlign w:val="center"/>
          </w:tcPr>
          <w:p w14:paraId="6D5B66B4">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tcBorders>
              <w:top w:val="nil"/>
              <w:left w:val="single" w:color="000000" w:sz="8" w:space="0"/>
              <w:bottom w:val="single" w:color="000000" w:sz="8" w:space="0"/>
              <w:right w:val="single" w:color="000000" w:sz="8" w:space="0"/>
            </w:tcBorders>
            <w:shd w:val="clear" w:color="auto" w:fill="FFFFFF" w:themeFill="background1"/>
            <w:vAlign w:val="center"/>
          </w:tcPr>
          <w:p w14:paraId="46D3B3F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0.31</w:t>
            </w:r>
          </w:p>
        </w:tc>
        <w:tc>
          <w:tcPr>
            <w:tcW w:w="1556" w:type="dxa"/>
            <w:tcBorders>
              <w:top w:val="nil"/>
              <w:left w:val="single" w:color="000000" w:sz="8" w:space="0"/>
              <w:bottom w:val="single" w:color="000000" w:sz="8" w:space="0"/>
              <w:right w:val="single" w:color="000000" w:sz="8" w:space="0"/>
            </w:tcBorders>
            <w:shd w:val="clear" w:color="auto" w:fill="FFFFFF" w:themeFill="background1"/>
            <w:vAlign w:val="center"/>
          </w:tcPr>
          <w:p w14:paraId="048FBA9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0.33</w:t>
            </w:r>
          </w:p>
        </w:tc>
        <w:tc>
          <w:tcPr>
            <w:tcW w:w="1066" w:type="dxa"/>
            <w:tcBorders>
              <w:top w:val="nil"/>
              <w:left w:val="single" w:color="000000" w:sz="8" w:space="0"/>
              <w:bottom w:val="single" w:color="000000" w:sz="8" w:space="0"/>
              <w:right w:val="single" w:color="000000" w:sz="8" w:space="0"/>
            </w:tcBorders>
            <w:shd w:val="clear" w:color="auto" w:fill="FFFFFF" w:themeFill="background1"/>
            <w:vAlign w:val="center"/>
          </w:tcPr>
          <w:p w14:paraId="04805F9B">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0.77</w:t>
            </w:r>
          </w:p>
        </w:tc>
        <w:tc>
          <w:tcPr>
            <w:tcW w:w="1300" w:type="dxa"/>
            <w:tcBorders>
              <w:top w:val="nil"/>
              <w:left w:val="single" w:color="000000" w:sz="8" w:space="0"/>
              <w:bottom w:val="single" w:color="000000" w:sz="8" w:space="0"/>
              <w:right w:val="single" w:color="000000" w:sz="8" w:space="0"/>
            </w:tcBorders>
            <w:shd w:val="clear" w:color="auto" w:fill="FFFFFF" w:themeFill="background1"/>
            <w:vAlign w:val="center"/>
          </w:tcPr>
          <w:p w14:paraId="3F1E4263">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1.61</w:t>
            </w:r>
          </w:p>
        </w:tc>
        <w:tc>
          <w:tcPr>
            <w:tcW w:w="1123" w:type="dxa"/>
            <w:tcBorders>
              <w:top w:val="nil"/>
              <w:left w:val="single" w:color="000000" w:sz="8" w:space="0"/>
              <w:bottom w:val="single" w:color="000000" w:sz="8" w:space="0"/>
              <w:right w:val="single" w:color="000000" w:sz="8" w:space="0"/>
            </w:tcBorders>
            <w:shd w:val="clear" w:color="auto" w:fill="FFFFFF" w:themeFill="background1"/>
            <w:vAlign w:val="center"/>
          </w:tcPr>
          <w:p w14:paraId="64E351E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2.36</w:t>
            </w:r>
          </w:p>
        </w:tc>
        <w:tc>
          <w:tcPr>
            <w:tcW w:w="1311" w:type="dxa"/>
            <w:tcBorders>
              <w:top w:val="nil"/>
              <w:left w:val="single" w:color="000000" w:sz="8" w:space="0"/>
              <w:bottom w:val="single" w:color="000000" w:sz="8" w:space="0"/>
              <w:right w:val="single" w:color="000000" w:sz="8" w:space="0"/>
            </w:tcBorders>
            <w:shd w:val="clear" w:color="auto" w:fill="FFFFFF" w:themeFill="background1"/>
            <w:vAlign w:val="center"/>
          </w:tcPr>
          <w:p w14:paraId="0FED7D09">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4.90</w:t>
            </w:r>
          </w:p>
        </w:tc>
        <w:tc>
          <w:tcPr>
            <w:tcW w:w="1222" w:type="dxa"/>
            <w:tcBorders>
              <w:top w:val="nil"/>
              <w:left w:val="single" w:color="000000" w:sz="8" w:space="0"/>
              <w:bottom w:val="single" w:color="000000" w:sz="8" w:space="0"/>
              <w:right w:val="single" w:color="000000" w:sz="8" w:space="0"/>
            </w:tcBorders>
            <w:shd w:val="clear" w:color="auto" w:fill="FFFFFF" w:themeFill="background1"/>
            <w:vAlign w:val="center"/>
          </w:tcPr>
          <w:p w14:paraId="2C98C807">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-1.26</w:t>
            </w:r>
          </w:p>
        </w:tc>
        <w:tc>
          <w:tcPr>
            <w:tcW w:w="1511" w:type="dxa"/>
            <w:tcBorders>
              <w:top w:val="nil"/>
              <w:left w:val="single" w:color="000000" w:sz="8" w:space="0"/>
              <w:bottom w:val="single" w:color="000000" w:sz="8" w:space="0"/>
              <w:right w:val="single" w:color="000000" w:sz="8" w:space="0"/>
            </w:tcBorders>
            <w:shd w:val="clear" w:color="auto" w:fill="FFFFFF" w:themeFill="background1"/>
            <w:vAlign w:val="center"/>
          </w:tcPr>
          <w:p w14:paraId="501F03B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-1.27</w:t>
            </w:r>
          </w:p>
        </w:tc>
        <w:tc>
          <w:tcPr>
            <w:tcW w:w="1326" w:type="dxa"/>
            <w:tcBorders>
              <w:top w:val="nil"/>
              <w:left w:val="single" w:color="000000" w:sz="8" w:space="0"/>
              <w:bottom w:val="single" w:color="000000" w:sz="8" w:space="0"/>
              <w:right w:val="single" w:color="000000" w:sz="8" w:space="0"/>
            </w:tcBorders>
            <w:shd w:val="clear" w:color="auto" w:fill="FFFFFF" w:themeFill="background1"/>
            <w:vAlign w:val="center"/>
          </w:tcPr>
          <w:p w14:paraId="1CFB3C51">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-0.61</w:t>
            </w:r>
          </w:p>
        </w:tc>
      </w:tr>
      <w:tr w14:paraId="3B92AEA2">
        <w:tblPrEx>
          <w:tblCellMar>
            <w:top w:w="0" w:type="dxa"/>
            <w:left w:w="108" w:type="dxa"/>
            <w:bottom w:w="0" w:type="dxa"/>
            <w:right w:w="108" w:type="dxa"/>
          </w:tblCellMar>
        </w:tblPrEx>
        <w:trPr>
          <w:trHeight w:val="325" w:hRule="atLeast"/>
          <w:jc w:val="center"/>
        </w:trPr>
        <w:tc>
          <w:tcPr>
            <w:tcW w:w="990" w:type="dxa"/>
            <w:vMerge w:val="continue"/>
            <w:tcBorders>
              <w:top w:val="nil"/>
              <w:left w:val="single" w:color="000000" w:sz="8" w:space="0"/>
              <w:bottom w:val="nil"/>
              <w:right w:val="single" w:color="000000" w:sz="8" w:space="0"/>
            </w:tcBorders>
            <w:shd w:val="clear" w:color="auto" w:fill="FFFFFF" w:themeFill="background1"/>
            <w:vAlign w:val="center"/>
          </w:tcPr>
          <w:p w14:paraId="3CB8FC74">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nil"/>
              <w:right w:val="single" w:color="000000" w:sz="8" w:space="0"/>
            </w:tcBorders>
            <w:shd w:val="clear" w:color="auto" w:fill="FFFFFF" w:themeFill="background1"/>
            <w:vAlign w:val="center"/>
          </w:tcPr>
          <w:p w14:paraId="7156B926">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tcBorders>
              <w:top w:val="nil"/>
              <w:left w:val="single" w:color="000000" w:sz="8" w:space="0"/>
              <w:bottom w:val="nil"/>
              <w:right w:val="single" w:color="000000" w:sz="8" w:space="0"/>
            </w:tcBorders>
            <w:shd w:val="clear" w:color="auto" w:fill="FFFFFF" w:themeFill="background1"/>
            <w:vAlign w:val="center"/>
          </w:tcPr>
          <w:p w14:paraId="5B1AB567">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56" w:type="dxa"/>
            <w:tcBorders>
              <w:top w:val="nil"/>
              <w:left w:val="single" w:color="000000" w:sz="8" w:space="0"/>
              <w:bottom w:val="nil"/>
              <w:right w:val="single" w:color="000000" w:sz="8" w:space="0"/>
            </w:tcBorders>
            <w:shd w:val="clear" w:color="auto" w:fill="FFFFFF" w:themeFill="background1"/>
          </w:tcPr>
          <w:p w14:paraId="06CA268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066" w:type="dxa"/>
            <w:tcBorders>
              <w:top w:val="nil"/>
              <w:left w:val="single" w:color="000000" w:sz="8" w:space="0"/>
              <w:bottom w:val="nil"/>
              <w:right w:val="single" w:color="000000" w:sz="8" w:space="0"/>
            </w:tcBorders>
            <w:shd w:val="clear" w:color="auto" w:fill="FFFFFF" w:themeFill="background1"/>
            <w:vAlign w:val="center"/>
          </w:tcPr>
          <w:p w14:paraId="2251AD1F">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1.70</w:t>
            </w:r>
          </w:p>
        </w:tc>
        <w:tc>
          <w:tcPr>
            <w:tcW w:w="1300" w:type="dxa"/>
            <w:tcBorders>
              <w:top w:val="nil"/>
              <w:left w:val="single" w:color="000000" w:sz="8" w:space="0"/>
              <w:bottom w:val="nil"/>
              <w:right w:val="single" w:color="000000" w:sz="8" w:space="0"/>
            </w:tcBorders>
            <w:shd w:val="clear" w:color="auto" w:fill="FFFFFF" w:themeFill="background1"/>
            <w:vAlign w:val="center"/>
          </w:tcPr>
          <w:p w14:paraId="38016E1A">
            <w:pPr>
              <w:widowControl/>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5.16</w:t>
            </w:r>
          </w:p>
        </w:tc>
        <w:tc>
          <w:tcPr>
            <w:tcW w:w="1123" w:type="dxa"/>
            <w:tcBorders>
              <w:top w:val="nil"/>
              <w:left w:val="single" w:color="000000" w:sz="8" w:space="0"/>
              <w:bottom w:val="nil"/>
              <w:right w:val="single" w:color="000000" w:sz="8" w:space="0"/>
            </w:tcBorders>
            <w:shd w:val="clear" w:color="auto" w:fill="FFFFFF" w:themeFill="background1"/>
            <w:vAlign w:val="center"/>
          </w:tcPr>
          <w:p w14:paraId="60CCEB2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11" w:type="dxa"/>
            <w:tcBorders>
              <w:top w:val="nil"/>
              <w:left w:val="single" w:color="000000" w:sz="8" w:space="0"/>
              <w:bottom w:val="nil"/>
              <w:right w:val="single" w:color="000000" w:sz="8" w:space="0"/>
            </w:tcBorders>
            <w:shd w:val="clear" w:color="auto" w:fill="FFFFFF" w:themeFill="background1"/>
          </w:tcPr>
          <w:p w14:paraId="7560149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222" w:type="dxa"/>
            <w:tcBorders>
              <w:top w:val="nil"/>
              <w:left w:val="single" w:color="000000" w:sz="8" w:space="0"/>
              <w:bottom w:val="nil"/>
              <w:right w:val="single" w:color="000000" w:sz="8" w:space="0"/>
            </w:tcBorders>
            <w:shd w:val="clear" w:color="auto" w:fill="FFFFFF" w:themeFill="background1"/>
            <w:vAlign w:val="center"/>
          </w:tcPr>
          <w:p w14:paraId="036D105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511" w:type="dxa"/>
            <w:tcBorders>
              <w:top w:val="nil"/>
              <w:left w:val="single" w:color="000000" w:sz="8" w:space="0"/>
              <w:bottom w:val="nil"/>
              <w:right w:val="single" w:color="000000" w:sz="8" w:space="0"/>
            </w:tcBorders>
            <w:shd w:val="clear" w:color="auto" w:fill="FFFFFF" w:themeFill="background1"/>
          </w:tcPr>
          <w:p w14:paraId="24403AB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326" w:type="dxa"/>
            <w:tcBorders>
              <w:top w:val="nil"/>
              <w:left w:val="single" w:color="000000" w:sz="8" w:space="0"/>
              <w:bottom w:val="nil"/>
              <w:right w:val="single" w:color="000000" w:sz="8" w:space="0"/>
            </w:tcBorders>
            <w:shd w:val="clear" w:color="auto" w:fill="FFFFFF" w:themeFill="background1"/>
            <w:vAlign w:val="center"/>
          </w:tcPr>
          <w:p w14:paraId="6034F33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r>
      <w:tr w14:paraId="0E158797">
        <w:tblPrEx>
          <w:tblCellMar>
            <w:top w:w="0" w:type="dxa"/>
            <w:left w:w="108" w:type="dxa"/>
            <w:bottom w:w="0" w:type="dxa"/>
            <w:right w:w="108" w:type="dxa"/>
          </w:tblCellMar>
        </w:tblPrEx>
        <w:trPr>
          <w:trHeight w:val="90" w:hRule="atLeast"/>
          <w:jc w:val="center"/>
        </w:trPr>
        <w:tc>
          <w:tcPr>
            <w:tcW w:w="990" w:type="dxa"/>
            <w:vMerge w:val="restart"/>
            <w:tcBorders>
              <w:top w:val="nil"/>
              <w:left w:val="single" w:color="000000" w:sz="8" w:space="0"/>
              <w:right w:val="single" w:color="000000" w:sz="8" w:space="0"/>
            </w:tcBorders>
            <w:shd w:val="clear" w:color="auto" w:fill="D6DCE5" w:themeFill="text2" w:themeFillTint="32"/>
            <w:vAlign w:val="center"/>
          </w:tcPr>
          <w:p w14:paraId="01C70C9E">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2024年-</w:t>
            </w:r>
            <w:r>
              <w:rPr>
                <w:rFonts w:hint="eastAsia" w:ascii="Times New Roman Regular" w:hAnsi="Times New Roman Regular" w:eastAsia="华文楷体" w:cs="Times New Roman Regular"/>
                <w:bCs/>
                <w:color w:val="000000" w:themeColor="text1"/>
                <w:kern w:val="0"/>
                <w:sz w:val="20"/>
                <w:szCs w:val="21"/>
                <w:lang w:val="en-US" w:eastAsia="zh-CN"/>
                <w14:textFill>
                  <w14:solidFill>
                    <w14:schemeClr w14:val="tx1"/>
                  </w14:solidFill>
                </w14:textFill>
              </w:rPr>
              <w:t>规划</w:t>
            </w: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值</w:t>
            </w:r>
          </w:p>
        </w:tc>
        <w:tc>
          <w:tcPr>
            <w:tcW w:w="1453" w:type="dxa"/>
            <w:tcBorders>
              <w:top w:val="nil"/>
              <w:left w:val="single" w:color="000000" w:sz="8" w:space="0"/>
              <w:bottom w:val="nil"/>
              <w:right w:val="single" w:color="000000" w:sz="8" w:space="0"/>
            </w:tcBorders>
            <w:shd w:val="clear" w:color="auto" w:fill="D6DCE5" w:themeFill="text2" w:themeFillTint="32"/>
            <w:vAlign w:val="center"/>
          </w:tcPr>
          <w:p w14:paraId="5491668F">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color w:val="000000" w:themeColor="text1"/>
                <w:kern w:val="0"/>
                <w:sz w:val="20"/>
                <w:szCs w:val="21"/>
                <w:lang w:bidi="ar"/>
                <w14:textFill>
                  <w14:solidFill>
                    <w14:schemeClr w14:val="tx1"/>
                  </w14:solidFill>
                </w14:textFill>
              </w:rPr>
              <w:t>中化能源</w:t>
            </w:r>
          </w:p>
        </w:tc>
        <w:tc>
          <w:tcPr>
            <w:tcW w:w="1513" w:type="dxa"/>
            <w:tcBorders>
              <w:top w:val="nil"/>
              <w:left w:val="single" w:color="000000" w:sz="8" w:space="0"/>
              <w:bottom w:val="nil"/>
              <w:right w:val="single" w:color="000000" w:sz="8" w:space="0"/>
            </w:tcBorders>
            <w:shd w:val="clear" w:color="auto" w:fill="D6DCE5" w:themeFill="text2" w:themeFillTint="32"/>
            <w:vAlign w:val="center"/>
          </w:tcPr>
          <w:p w14:paraId="737ADE54">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nil"/>
              <w:right w:val="single" w:color="000000" w:sz="8" w:space="0"/>
            </w:tcBorders>
            <w:shd w:val="clear" w:color="auto" w:fill="D6DCE5" w:themeFill="text2" w:themeFillTint="32"/>
          </w:tcPr>
          <w:p w14:paraId="1465BAC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1221.65</w:t>
            </w:r>
          </w:p>
        </w:tc>
        <w:tc>
          <w:tcPr>
            <w:tcW w:w="1066" w:type="dxa"/>
            <w:vMerge w:val="restart"/>
            <w:tcBorders>
              <w:top w:val="nil"/>
              <w:left w:val="single" w:color="000000" w:sz="8" w:space="0"/>
              <w:right w:val="single" w:color="000000" w:sz="8" w:space="0"/>
            </w:tcBorders>
            <w:shd w:val="clear" w:color="auto" w:fill="D6DCE5" w:themeFill="text2" w:themeFillTint="32"/>
            <w:vAlign w:val="center"/>
          </w:tcPr>
          <w:p w14:paraId="3D9F55D8">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1300" w:type="dxa"/>
            <w:tcBorders>
              <w:top w:val="nil"/>
              <w:left w:val="single" w:color="000000" w:sz="8" w:space="0"/>
              <w:bottom w:val="nil"/>
              <w:right w:val="single" w:color="000000" w:sz="8" w:space="0"/>
            </w:tcBorders>
            <w:shd w:val="clear" w:color="auto" w:fill="D6DCE5" w:themeFill="text2" w:themeFillTint="32"/>
            <w:vAlign w:val="center"/>
          </w:tcPr>
          <w:p w14:paraId="32F503EB">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1514.04</w:t>
            </w:r>
          </w:p>
        </w:tc>
        <w:tc>
          <w:tcPr>
            <w:tcW w:w="1123" w:type="dxa"/>
            <w:tcBorders>
              <w:top w:val="nil"/>
              <w:left w:val="single" w:color="000000" w:sz="8" w:space="0"/>
              <w:bottom w:val="nil"/>
              <w:right w:val="single" w:color="000000" w:sz="8" w:space="0"/>
            </w:tcBorders>
            <w:shd w:val="clear" w:color="auto" w:fill="D6DCE5" w:themeFill="text2" w:themeFillTint="32"/>
            <w:vAlign w:val="center"/>
          </w:tcPr>
          <w:p w14:paraId="7E886132">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nil"/>
              <w:right w:val="single" w:color="000000" w:sz="8" w:space="0"/>
            </w:tcBorders>
            <w:shd w:val="clear" w:color="auto" w:fill="D6DCE5" w:themeFill="text2" w:themeFillTint="32"/>
          </w:tcPr>
          <w:p w14:paraId="4EA69C11">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1.24</w:t>
            </w:r>
          </w:p>
        </w:tc>
        <w:tc>
          <w:tcPr>
            <w:tcW w:w="4059" w:type="dxa"/>
            <w:gridSpan w:val="3"/>
            <w:vMerge w:val="restart"/>
            <w:tcBorders>
              <w:top w:val="nil"/>
              <w:left w:val="single" w:color="000000" w:sz="8" w:space="0"/>
              <w:right w:val="single" w:color="000000" w:sz="8" w:space="0"/>
            </w:tcBorders>
            <w:shd w:val="clear" w:color="auto" w:fill="D6DCE5" w:themeFill="text2" w:themeFillTint="32"/>
            <w:vAlign w:val="center"/>
          </w:tcPr>
          <w:p w14:paraId="3E68020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r>
      <w:tr w14:paraId="22CB8B2E">
        <w:tblPrEx>
          <w:tblCellMar>
            <w:top w:w="0" w:type="dxa"/>
            <w:left w:w="108" w:type="dxa"/>
            <w:bottom w:w="0" w:type="dxa"/>
            <w:right w:w="108" w:type="dxa"/>
          </w:tblCellMar>
        </w:tblPrEx>
        <w:trPr>
          <w:trHeight w:val="90"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4A69CB19">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nil"/>
              <w:right w:val="single" w:color="000000" w:sz="8" w:space="0"/>
            </w:tcBorders>
            <w:shd w:val="clear" w:color="auto" w:fill="D6DCE5" w:themeFill="text2" w:themeFillTint="32"/>
            <w:vAlign w:val="center"/>
          </w:tcPr>
          <w:p w14:paraId="32EB1D6C">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w:t>
            </w:r>
          </w:p>
        </w:tc>
        <w:tc>
          <w:tcPr>
            <w:tcW w:w="1513" w:type="dxa"/>
            <w:tcBorders>
              <w:top w:val="nil"/>
              <w:left w:val="single" w:color="000000" w:sz="8" w:space="0"/>
              <w:bottom w:val="nil"/>
              <w:right w:val="single" w:color="000000" w:sz="8" w:space="0"/>
            </w:tcBorders>
            <w:shd w:val="clear" w:color="auto" w:fill="D6DCE5" w:themeFill="text2" w:themeFillTint="32"/>
            <w:vAlign w:val="center"/>
          </w:tcPr>
          <w:p w14:paraId="58CAD1B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nil"/>
              <w:right w:val="single" w:color="000000" w:sz="8" w:space="0"/>
            </w:tcBorders>
            <w:shd w:val="clear" w:color="auto" w:fill="D6DCE5" w:themeFill="text2" w:themeFillTint="32"/>
          </w:tcPr>
          <w:p w14:paraId="7319CBA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628.69</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4D422029">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nil"/>
              <w:right w:val="single" w:color="000000" w:sz="8" w:space="0"/>
            </w:tcBorders>
            <w:shd w:val="clear" w:color="auto" w:fill="D6DCE5" w:themeFill="text2" w:themeFillTint="32"/>
            <w:vAlign w:val="center"/>
          </w:tcPr>
          <w:p w14:paraId="4EEA5B97">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1051.78</w:t>
            </w:r>
          </w:p>
        </w:tc>
        <w:tc>
          <w:tcPr>
            <w:tcW w:w="1123" w:type="dxa"/>
            <w:tcBorders>
              <w:top w:val="nil"/>
              <w:left w:val="single" w:color="000000" w:sz="8" w:space="0"/>
              <w:bottom w:val="nil"/>
              <w:right w:val="single" w:color="000000" w:sz="8" w:space="0"/>
            </w:tcBorders>
            <w:shd w:val="clear" w:color="auto" w:fill="D6DCE5" w:themeFill="text2" w:themeFillTint="32"/>
            <w:vAlign w:val="center"/>
          </w:tcPr>
          <w:p w14:paraId="55670D7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nil"/>
              <w:right w:val="single" w:color="000000" w:sz="8" w:space="0"/>
            </w:tcBorders>
            <w:shd w:val="clear" w:color="auto" w:fill="D6DCE5" w:themeFill="text2" w:themeFillTint="32"/>
          </w:tcPr>
          <w:p w14:paraId="26D97A7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1.67</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2D9427B9">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73C6E2B5">
        <w:tblPrEx>
          <w:tblCellMar>
            <w:top w:w="0" w:type="dxa"/>
            <w:left w:w="108" w:type="dxa"/>
            <w:bottom w:w="0" w:type="dxa"/>
            <w:right w:w="108" w:type="dxa"/>
          </w:tblCellMar>
        </w:tblPrEx>
        <w:trPr>
          <w:trHeight w:val="333"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6E268D2A">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nil"/>
              <w:right w:val="single" w:color="000000" w:sz="8" w:space="0"/>
            </w:tcBorders>
            <w:shd w:val="clear" w:color="auto" w:fill="D6DCE5" w:themeFill="text2" w:themeFillTint="32"/>
            <w:vAlign w:val="center"/>
          </w:tcPr>
          <w:p w14:paraId="7DE3344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w:t>
            </w:r>
          </w:p>
        </w:tc>
        <w:tc>
          <w:tcPr>
            <w:tcW w:w="1513" w:type="dxa"/>
            <w:tcBorders>
              <w:top w:val="nil"/>
              <w:left w:val="single" w:color="000000" w:sz="8" w:space="0"/>
              <w:bottom w:val="nil"/>
              <w:right w:val="single" w:color="000000" w:sz="8" w:space="0"/>
            </w:tcBorders>
            <w:shd w:val="clear" w:color="auto" w:fill="D6DCE5" w:themeFill="text2" w:themeFillTint="32"/>
            <w:vAlign w:val="center"/>
          </w:tcPr>
          <w:p w14:paraId="0C64C6F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nil"/>
              <w:right w:val="single" w:color="000000" w:sz="8" w:space="0"/>
            </w:tcBorders>
            <w:shd w:val="clear" w:color="auto" w:fill="D6DCE5" w:themeFill="text2" w:themeFillTint="32"/>
          </w:tcPr>
          <w:p w14:paraId="4EE51DE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625.16</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2D1AB1BF">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nil"/>
              <w:right w:val="single" w:color="000000" w:sz="8" w:space="0"/>
            </w:tcBorders>
            <w:shd w:val="clear" w:color="auto" w:fill="D6DCE5" w:themeFill="text2" w:themeFillTint="32"/>
            <w:vAlign w:val="center"/>
          </w:tcPr>
          <w:p w14:paraId="02C545BA">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460.02</w:t>
            </w:r>
          </w:p>
        </w:tc>
        <w:tc>
          <w:tcPr>
            <w:tcW w:w="1123" w:type="dxa"/>
            <w:tcBorders>
              <w:top w:val="nil"/>
              <w:left w:val="single" w:color="000000" w:sz="8" w:space="0"/>
              <w:bottom w:val="nil"/>
              <w:right w:val="single" w:color="000000" w:sz="8" w:space="0"/>
            </w:tcBorders>
            <w:shd w:val="clear" w:color="auto" w:fill="D6DCE5" w:themeFill="text2" w:themeFillTint="32"/>
            <w:vAlign w:val="center"/>
          </w:tcPr>
          <w:p w14:paraId="76E0D1BD">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nil"/>
              <w:right w:val="single" w:color="000000" w:sz="8" w:space="0"/>
            </w:tcBorders>
            <w:shd w:val="clear" w:color="auto" w:fill="D6DCE5" w:themeFill="text2" w:themeFillTint="32"/>
          </w:tcPr>
          <w:p w14:paraId="189CB6A0">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0.74</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504F4EDF">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1C6A0946">
        <w:tblPrEx>
          <w:tblCellMar>
            <w:top w:w="0" w:type="dxa"/>
            <w:left w:w="108" w:type="dxa"/>
            <w:bottom w:w="0" w:type="dxa"/>
            <w:right w:w="108" w:type="dxa"/>
          </w:tblCellMar>
        </w:tblPrEx>
        <w:trPr>
          <w:trHeight w:val="357" w:hRule="atLeast"/>
          <w:jc w:val="center"/>
        </w:trPr>
        <w:tc>
          <w:tcPr>
            <w:tcW w:w="990" w:type="dxa"/>
            <w:vMerge w:val="continue"/>
            <w:tcBorders>
              <w:left w:val="single" w:color="000000" w:sz="8" w:space="0"/>
              <w:right w:val="single" w:color="000000" w:sz="8" w:space="0"/>
            </w:tcBorders>
            <w:shd w:val="clear" w:color="auto" w:fill="D6DCE5" w:themeFill="text2" w:themeFillTint="32"/>
            <w:vAlign w:val="center"/>
          </w:tcPr>
          <w:p w14:paraId="11ED8267">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nil"/>
              <w:right w:val="single" w:color="000000" w:sz="8" w:space="0"/>
            </w:tcBorders>
            <w:shd w:val="clear" w:color="auto" w:fill="D6DCE5" w:themeFill="text2" w:themeFillTint="32"/>
            <w:vAlign w:val="center"/>
          </w:tcPr>
          <w:p w14:paraId="2B68FC0F">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大庆中蓝</w:t>
            </w:r>
          </w:p>
        </w:tc>
        <w:tc>
          <w:tcPr>
            <w:tcW w:w="1513" w:type="dxa"/>
            <w:tcBorders>
              <w:top w:val="nil"/>
              <w:left w:val="single" w:color="000000" w:sz="8" w:space="0"/>
              <w:bottom w:val="nil"/>
              <w:right w:val="single" w:color="000000" w:sz="8" w:space="0"/>
            </w:tcBorders>
            <w:shd w:val="clear" w:color="auto" w:fill="D6DCE5" w:themeFill="text2" w:themeFillTint="32"/>
            <w:vAlign w:val="center"/>
          </w:tcPr>
          <w:p w14:paraId="065FBA4C">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nil"/>
              <w:right w:val="single" w:color="000000" w:sz="8" w:space="0"/>
            </w:tcBorders>
            <w:shd w:val="clear" w:color="auto" w:fill="D6DCE5" w:themeFill="text2" w:themeFillTint="32"/>
          </w:tcPr>
          <w:p w14:paraId="550DDCE5">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5.50</w:t>
            </w:r>
          </w:p>
        </w:tc>
        <w:tc>
          <w:tcPr>
            <w:tcW w:w="1066" w:type="dxa"/>
            <w:vMerge w:val="continue"/>
            <w:tcBorders>
              <w:left w:val="single" w:color="000000" w:sz="8" w:space="0"/>
              <w:right w:val="single" w:color="000000" w:sz="8" w:space="0"/>
            </w:tcBorders>
            <w:shd w:val="clear" w:color="auto" w:fill="D6DCE5" w:themeFill="text2" w:themeFillTint="32"/>
            <w:vAlign w:val="center"/>
          </w:tcPr>
          <w:p w14:paraId="4A291B0F">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nil"/>
              <w:right w:val="single" w:color="000000" w:sz="8" w:space="0"/>
            </w:tcBorders>
            <w:shd w:val="clear" w:color="auto" w:fill="D6DCE5" w:themeFill="text2" w:themeFillTint="32"/>
            <w:vAlign w:val="center"/>
          </w:tcPr>
          <w:p w14:paraId="73AB96CA">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2.00</w:t>
            </w:r>
          </w:p>
        </w:tc>
        <w:tc>
          <w:tcPr>
            <w:tcW w:w="1123" w:type="dxa"/>
            <w:tcBorders>
              <w:top w:val="nil"/>
              <w:left w:val="single" w:color="000000" w:sz="8" w:space="0"/>
              <w:bottom w:val="nil"/>
              <w:right w:val="single" w:color="000000" w:sz="8" w:space="0"/>
            </w:tcBorders>
            <w:shd w:val="clear" w:color="auto" w:fill="D6DCE5" w:themeFill="text2" w:themeFillTint="32"/>
            <w:vAlign w:val="center"/>
          </w:tcPr>
          <w:p w14:paraId="1DCD8CDF">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nil"/>
              <w:right w:val="single" w:color="000000" w:sz="8" w:space="0"/>
            </w:tcBorders>
            <w:shd w:val="clear" w:color="auto" w:fill="D6DCE5" w:themeFill="text2" w:themeFillTint="32"/>
          </w:tcPr>
          <w:p w14:paraId="49CEA0E3">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0.77</w:t>
            </w:r>
          </w:p>
        </w:tc>
        <w:tc>
          <w:tcPr>
            <w:tcW w:w="4059" w:type="dxa"/>
            <w:gridSpan w:val="3"/>
            <w:vMerge w:val="continue"/>
            <w:tcBorders>
              <w:left w:val="single" w:color="000000" w:sz="8" w:space="0"/>
              <w:right w:val="single" w:color="000000" w:sz="8" w:space="0"/>
            </w:tcBorders>
            <w:shd w:val="clear" w:color="auto" w:fill="D6DCE5" w:themeFill="text2" w:themeFillTint="32"/>
            <w:vAlign w:val="center"/>
          </w:tcPr>
          <w:p w14:paraId="368B7D98">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r w14:paraId="4C6A7F31">
        <w:tblPrEx>
          <w:tblCellMar>
            <w:top w:w="0" w:type="dxa"/>
            <w:left w:w="108" w:type="dxa"/>
            <w:bottom w:w="0" w:type="dxa"/>
            <w:right w:w="108" w:type="dxa"/>
          </w:tblCellMar>
        </w:tblPrEx>
        <w:trPr>
          <w:trHeight w:val="325" w:hRule="atLeast"/>
          <w:jc w:val="center"/>
        </w:trPr>
        <w:tc>
          <w:tcPr>
            <w:tcW w:w="990" w:type="dxa"/>
            <w:vMerge w:val="continue"/>
            <w:tcBorders>
              <w:left w:val="single" w:color="000000" w:sz="8" w:space="0"/>
              <w:bottom w:val="nil"/>
              <w:right w:val="single" w:color="000000" w:sz="8" w:space="0"/>
            </w:tcBorders>
            <w:shd w:val="clear" w:color="auto" w:fill="D6DCE5" w:themeFill="text2" w:themeFillTint="32"/>
            <w:vAlign w:val="center"/>
          </w:tcPr>
          <w:p w14:paraId="3BC3F9F6">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453" w:type="dxa"/>
            <w:tcBorders>
              <w:top w:val="nil"/>
              <w:left w:val="single" w:color="000000" w:sz="8" w:space="0"/>
              <w:bottom w:val="nil"/>
              <w:right w:val="single" w:color="000000" w:sz="8" w:space="0"/>
            </w:tcBorders>
            <w:shd w:val="clear" w:color="auto" w:fill="D6DCE5" w:themeFill="text2" w:themeFillTint="32"/>
            <w:vAlign w:val="center"/>
          </w:tcPr>
          <w:p w14:paraId="66A65AB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非生产型企业</w:t>
            </w:r>
          </w:p>
        </w:tc>
        <w:tc>
          <w:tcPr>
            <w:tcW w:w="1513" w:type="dxa"/>
            <w:tcBorders>
              <w:top w:val="nil"/>
              <w:left w:val="single" w:color="000000" w:sz="8" w:space="0"/>
              <w:bottom w:val="nil"/>
              <w:right w:val="single" w:color="000000" w:sz="8" w:space="0"/>
            </w:tcBorders>
            <w:shd w:val="clear" w:color="auto" w:fill="D6DCE5" w:themeFill="text2" w:themeFillTint="32"/>
            <w:vAlign w:val="center"/>
          </w:tcPr>
          <w:p w14:paraId="366070AA">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556" w:type="dxa"/>
            <w:tcBorders>
              <w:top w:val="nil"/>
              <w:left w:val="single" w:color="000000" w:sz="8" w:space="0"/>
              <w:bottom w:val="nil"/>
              <w:right w:val="single" w:color="000000" w:sz="8" w:space="0"/>
            </w:tcBorders>
            <w:shd w:val="clear" w:color="auto" w:fill="D6DCE5" w:themeFill="text2" w:themeFillTint="32"/>
          </w:tcPr>
          <w:p w14:paraId="744EE318">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1066" w:type="dxa"/>
            <w:vMerge w:val="continue"/>
            <w:tcBorders>
              <w:left w:val="single" w:color="000000" w:sz="8" w:space="0"/>
              <w:bottom w:val="nil"/>
              <w:right w:val="single" w:color="000000" w:sz="8" w:space="0"/>
            </w:tcBorders>
            <w:shd w:val="clear" w:color="auto" w:fill="D6DCE5" w:themeFill="text2" w:themeFillTint="32"/>
            <w:vAlign w:val="center"/>
          </w:tcPr>
          <w:p w14:paraId="32BD22CD">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300" w:type="dxa"/>
            <w:tcBorders>
              <w:top w:val="nil"/>
              <w:left w:val="single" w:color="000000" w:sz="8" w:space="0"/>
              <w:bottom w:val="nil"/>
              <w:right w:val="single" w:color="000000" w:sz="8" w:space="0"/>
            </w:tcBorders>
            <w:shd w:val="clear" w:color="auto" w:fill="D6DCE5" w:themeFill="text2" w:themeFillTint="32"/>
            <w:vAlign w:val="center"/>
          </w:tcPr>
          <w:p w14:paraId="0D65BB48">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1123" w:type="dxa"/>
            <w:tcBorders>
              <w:top w:val="nil"/>
              <w:left w:val="single" w:color="000000" w:sz="8" w:space="0"/>
              <w:bottom w:val="nil"/>
              <w:right w:val="single" w:color="000000" w:sz="8" w:space="0"/>
            </w:tcBorders>
            <w:shd w:val="clear" w:color="auto" w:fill="D6DCE5" w:themeFill="text2" w:themeFillTint="32"/>
            <w:vAlign w:val="center"/>
          </w:tcPr>
          <w:p w14:paraId="3FE036EB">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1311" w:type="dxa"/>
            <w:tcBorders>
              <w:top w:val="nil"/>
              <w:left w:val="single" w:color="000000" w:sz="8" w:space="0"/>
              <w:bottom w:val="nil"/>
              <w:right w:val="single" w:color="000000" w:sz="8" w:space="0"/>
            </w:tcBorders>
            <w:shd w:val="clear" w:color="auto" w:fill="D6DCE5" w:themeFill="text2" w:themeFillTint="32"/>
          </w:tcPr>
          <w:p w14:paraId="7014FD56">
            <w:pPr>
              <w:adjustRightInd w:val="0"/>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p>
        </w:tc>
        <w:tc>
          <w:tcPr>
            <w:tcW w:w="4059" w:type="dxa"/>
            <w:gridSpan w:val="3"/>
            <w:vMerge w:val="continue"/>
            <w:tcBorders>
              <w:left w:val="single" w:color="000000" w:sz="8" w:space="0"/>
              <w:bottom w:val="nil"/>
              <w:right w:val="single" w:color="000000" w:sz="8" w:space="0"/>
            </w:tcBorders>
            <w:shd w:val="clear" w:color="auto" w:fill="D6DCE5" w:themeFill="text2" w:themeFillTint="32"/>
            <w:vAlign w:val="center"/>
          </w:tcPr>
          <w:p w14:paraId="7428BEE7">
            <w:pPr>
              <w:adjustRightInd w:val="0"/>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r>
    </w:tbl>
    <w:p w14:paraId="5E7A2A47">
      <w:pPr>
        <w:widowControl/>
        <w:rPr>
          <w:rFonts w:ascii="Times New Roman Regular" w:hAnsi="Times New Roman Regular" w:cs="Times New Roman Regular"/>
          <w:color w:val="000000" w:themeColor="text1"/>
          <w14:textFill>
            <w14:solidFill>
              <w14:schemeClr w14:val="tx1"/>
            </w14:solidFill>
          </w14:textFill>
        </w:rPr>
        <w:sectPr>
          <w:pgSz w:w="16838" w:h="11906" w:orient="landscape"/>
          <w:pgMar w:top="1803" w:right="1440" w:bottom="1803" w:left="1440" w:header="851" w:footer="992" w:gutter="0"/>
          <w:pgNumType w:fmt="numberInDash"/>
          <w:cols w:space="0" w:num="1"/>
          <w:docGrid w:type="lines" w:linePitch="319" w:charSpace="0"/>
        </w:sectPr>
      </w:pPr>
    </w:p>
    <w:p w14:paraId="1C587ECE">
      <w:pPr>
        <w:widowControl/>
        <w:spacing w:line="560" w:lineRule="exact"/>
        <w:outlineLvl w:val="2"/>
        <w:rPr>
          <w:rFonts w:ascii="Times New Roman Regular" w:hAnsi="Times New Roman Regular" w:eastAsia="楷体_GB2312" w:cs="Times New Roman Regular"/>
          <w:color w:val="000000" w:themeColor="text1"/>
          <w:sz w:val="28"/>
          <w:szCs w:val="28"/>
          <w14:textFill>
            <w14:solidFill>
              <w14:schemeClr w14:val="tx1"/>
            </w14:solidFill>
          </w14:textFill>
        </w:rPr>
      </w:pPr>
      <w:r>
        <w:rPr>
          <w:rFonts w:ascii="Times New Roman Regular" w:hAnsi="Times New Roman Regular" w:eastAsia="楷体_GB2312" w:cs="Times New Roman Regular"/>
          <w:color w:val="000000" w:themeColor="text1"/>
          <w:sz w:val="28"/>
          <w:szCs w:val="28"/>
          <w14:textFill>
            <w14:solidFill>
              <w14:schemeClr w14:val="tx1"/>
            </w14:solidFill>
          </w14:textFill>
        </w:rPr>
        <w:t>2.1.1 碳排放总量、强度及趋势分析</w:t>
      </w:r>
    </w:p>
    <w:p w14:paraId="18351FC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1、中化能源</w:t>
      </w:r>
    </w:p>
    <w:p w14:paraId="06C67B29">
      <w:pPr>
        <w:widowControl/>
        <w:spacing w:line="560" w:lineRule="exact"/>
        <w:ind w:firstLine="400" w:firstLineChars="200"/>
        <w:jc w:val="center"/>
        <w:rPr>
          <w:rFonts w:hint="default" w:ascii="Times New Roman Regular" w:hAnsi="Times New Roman Regular" w:eastAsia="黑体" w:cs="Times New Roman Regular"/>
          <w:color w:val="000000" w:themeColor="text1"/>
          <w:kern w:val="0"/>
          <w:sz w:val="28"/>
          <w:szCs w:val="28"/>
          <w:lang w:val="en-US" w:eastAsia="zh-CN"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w:t>
      </w:r>
      <w:r>
        <w:rPr>
          <w:rFonts w:hint="eastAsia" w:ascii="Times New Roman Regular" w:hAnsi="Times New Roman Regular" w:eastAsia="黑体" w:cs="Times New Roman Regular"/>
          <w:color w:val="000000" w:themeColor="text1"/>
          <w:sz w:val="20"/>
          <w:szCs w:val="20"/>
          <w:lang w:val="en-US" w:eastAsia="zh-CN"/>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lang w:val="en-US" w:eastAsia="zh-CN"/>
          <w14:textFill>
            <w14:solidFill>
              <w14:schemeClr w14:val="tx1"/>
            </w14:solidFill>
          </w14:textFill>
        </w:rPr>
        <w:t>指标完成情况</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6"/>
        <w:gridCol w:w="2130"/>
        <w:gridCol w:w="2130"/>
        <w:gridCol w:w="2143"/>
      </w:tblGrid>
      <w:tr w14:paraId="1AC2B692">
        <w:tblPrEx>
          <w:tblCellMar>
            <w:top w:w="0" w:type="dxa"/>
            <w:left w:w="108" w:type="dxa"/>
            <w:bottom w:w="0" w:type="dxa"/>
            <w:right w:w="108" w:type="dxa"/>
          </w:tblCellMar>
        </w:tblPrEx>
        <w:tc>
          <w:tcPr>
            <w:tcW w:w="1242" w:type="pct"/>
            <w:shd w:val="clear" w:color="auto" w:fill="FFFFFF"/>
            <w:vAlign w:val="center"/>
          </w:tcPr>
          <w:p w14:paraId="182D2DDE">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指标名称</w:t>
            </w:r>
          </w:p>
        </w:tc>
        <w:tc>
          <w:tcPr>
            <w:tcW w:w="1250" w:type="pct"/>
            <w:shd w:val="clear" w:color="auto" w:fill="FFFFFF"/>
            <w:vAlign w:val="center"/>
          </w:tcPr>
          <w:p w14:paraId="6BB0D9FF">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color w:val="000000" w:themeColor="text1"/>
                <w:kern w:val="0"/>
                <w:sz w:val="20"/>
                <w:szCs w:val="21"/>
                <w:vertAlign w:val="baseline"/>
                <w:lang w:val="en-US" w:eastAsia="zh-CN" w:bidi="ar"/>
                <w14:textFill>
                  <w14:solidFill>
                    <w14:schemeClr w14:val="tx1"/>
                  </w14:solidFill>
                </w14:textFill>
              </w:rPr>
              <w:t>2022年</w:t>
            </w:r>
          </w:p>
        </w:tc>
        <w:tc>
          <w:tcPr>
            <w:tcW w:w="1250" w:type="pct"/>
            <w:shd w:val="clear" w:color="auto" w:fill="FFFFFF"/>
            <w:vAlign w:val="center"/>
          </w:tcPr>
          <w:p w14:paraId="2511B1E9">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color w:val="000000" w:themeColor="text1"/>
                <w:kern w:val="0"/>
                <w:sz w:val="20"/>
                <w:szCs w:val="21"/>
                <w:vertAlign w:val="baseline"/>
                <w:lang w:val="en-US" w:eastAsia="zh-CN" w:bidi="ar"/>
                <w14:textFill>
                  <w14:solidFill>
                    <w14:schemeClr w14:val="tx1"/>
                  </w14:solidFill>
                </w14:textFill>
              </w:rPr>
              <w:t>2023年</w:t>
            </w:r>
          </w:p>
        </w:tc>
        <w:tc>
          <w:tcPr>
            <w:tcW w:w="1257" w:type="pct"/>
            <w:shd w:val="clear" w:color="auto" w:fill="FFFFFF"/>
            <w:vAlign w:val="center"/>
          </w:tcPr>
          <w:p w14:paraId="470B446C">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color w:val="000000" w:themeColor="text1"/>
                <w:kern w:val="0"/>
                <w:sz w:val="20"/>
                <w:szCs w:val="21"/>
                <w:vertAlign w:val="baseline"/>
                <w:lang w:val="en-US" w:eastAsia="zh-CN" w:bidi="ar"/>
                <w14:textFill>
                  <w14:solidFill>
                    <w14:schemeClr w14:val="tx1"/>
                  </w14:solidFill>
                </w14:textFill>
              </w:rPr>
              <w:t>2024年</w:t>
            </w:r>
          </w:p>
        </w:tc>
      </w:tr>
      <w:tr w14:paraId="60BF1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shd w:val="clear" w:color="auto" w:fill="FFFFFF"/>
            <w:vAlign w:val="center"/>
          </w:tcPr>
          <w:p w14:paraId="677A4CA0">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规划值</w:t>
            </w:r>
          </w:p>
        </w:tc>
      </w:tr>
      <w:tr w14:paraId="0326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42" w:type="pct"/>
            <w:shd w:val="clear" w:color="auto" w:fill="FFFFFF"/>
            <w:vAlign w:val="center"/>
          </w:tcPr>
          <w:p w14:paraId="3ABD9B81">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二氧化碳排放量（万吨）</w:t>
            </w:r>
          </w:p>
        </w:tc>
        <w:tc>
          <w:tcPr>
            <w:tcW w:w="1250" w:type="pct"/>
            <w:shd w:val="clear" w:color="auto" w:fill="FFFFFF"/>
            <w:vAlign w:val="center"/>
          </w:tcPr>
          <w:p w14:paraId="57F445F6">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1090.12</w:t>
            </w:r>
          </w:p>
        </w:tc>
        <w:tc>
          <w:tcPr>
            <w:tcW w:w="1250" w:type="pct"/>
            <w:shd w:val="clear" w:color="auto" w:fill="FFFFFF"/>
            <w:vAlign w:val="center"/>
          </w:tcPr>
          <w:p w14:paraId="47836322">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1514.62</w:t>
            </w:r>
          </w:p>
        </w:tc>
        <w:tc>
          <w:tcPr>
            <w:tcW w:w="1257" w:type="pct"/>
            <w:shd w:val="clear" w:color="auto" w:fill="FFFFFF"/>
            <w:vAlign w:val="center"/>
          </w:tcPr>
          <w:p w14:paraId="117F9747">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1514.04</w:t>
            </w:r>
          </w:p>
        </w:tc>
      </w:tr>
      <w:tr w14:paraId="36631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 w:hRule="atLeast"/>
        </w:trPr>
        <w:tc>
          <w:tcPr>
            <w:tcW w:w="1242" w:type="pct"/>
            <w:shd w:val="clear" w:color="auto" w:fill="FFFFFF"/>
            <w:vAlign w:val="center"/>
          </w:tcPr>
          <w:p w14:paraId="56F82DE0">
            <w:pPr>
              <w:widowControl/>
              <w:adjustRightInd w:val="0"/>
              <w:snapToGrid w:val="0"/>
              <w:spacing w:line="240" w:lineRule="auto"/>
              <w:jc w:val="cente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万元产值碳排放强度</w:t>
            </w:r>
          </w:p>
          <w:p w14:paraId="6989D56A">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（吨CO</w:t>
            </w:r>
            <w:r>
              <w:rPr>
                <w:rFonts w:hint="eastAsia" w:ascii="Times New Roman Regular" w:hAnsi="Times New Roman Regular" w:eastAsia="华文楷体" w:cs="Times New Roman Regular"/>
                <w:bCs/>
                <w:color w:val="000000" w:themeColor="text1"/>
                <w:kern w:val="0"/>
                <w:sz w:val="20"/>
                <w:szCs w:val="21"/>
                <w:vertAlign w:val="subscript"/>
                <w:lang w:val="en-US" w:eastAsia="zh-CN"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/吨）</w:t>
            </w:r>
          </w:p>
        </w:tc>
        <w:tc>
          <w:tcPr>
            <w:tcW w:w="1250" w:type="pct"/>
            <w:shd w:val="clear" w:color="auto" w:fill="FFFFFF"/>
            <w:vAlign w:val="center"/>
          </w:tcPr>
          <w:p w14:paraId="0DE7E115">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1.22</w:t>
            </w:r>
          </w:p>
        </w:tc>
        <w:tc>
          <w:tcPr>
            <w:tcW w:w="1250" w:type="pct"/>
            <w:shd w:val="clear" w:color="auto" w:fill="FFFFFF"/>
            <w:vAlign w:val="center"/>
          </w:tcPr>
          <w:p w14:paraId="79B01202">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1.19</w:t>
            </w:r>
          </w:p>
        </w:tc>
        <w:tc>
          <w:tcPr>
            <w:tcW w:w="1257" w:type="pct"/>
            <w:shd w:val="clear" w:color="auto" w:fill="FFFFFF"/>
            <w:vAlign w:val="center"/>
          </w:tcPr>
          <w:p w14:paraId="1965CAAA">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1.24</w:t>
            </w:r>
          </w:p>
        </w:tc>
      </w:tr>
      <w:tr w14:paraId="7305B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4"/>
            <w:shd w:val="clear" w:color="auto" w:fill="FFFFFF"/>
            <w:vAlign w:val="center"/>
          </w:tcPr>
          <w:p w14:paraId="3CAE6B20">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实际值</w:t>
            </w:r>
          </w:p>
        </w:tc>
      </w:tr>
      <w:tr w14:paraId="2171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242" w:type="pct"/>
            <w:shd w:val="clear" w:color="auto" w:fill="FFFFFF"/>
            <w:vAlign w:val="center"/>
          </w:tcPr>
          <w:p w14:paraId="2E7D2ED3">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二氧化碳排放量（万吨）</w:t>
            </w:r>
          </w:p>
        </w:tc>
        <w:tc>
          <w:tcPr>
            <w:tcW w:w="1250" w:type="pct"/>
            <w:shd w:val="clear" w:color="auto" w:fill="FFFFFF"/>
            <w:vAlign w:val="center"/>
          </w:tcPr>
          <w:p w14:paraId="0A72DA67">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1059.38</w:t>
            </w:r>
          </w:p>
        </w:tc>
        <w:tc>
          <w:tcPr>
            <w:tcW w:w="1250" w:type="pct"/>
            <w:shd w:val="clear" w:color="auto" w:fill="FFFFFF"/>
            <w:vAlign w:val="center"/>
          </w:tcPr>
          <w:p w14:paraId="4F8D6CAD">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1321.82</w:t>
            </w:r>
          </w:p>
        </w:tc>
        <w:tc>
          <w:tcPr>
            <w:tcW w:w="1257" w:type="pct"/>
            <w:shd w:val="clear" w:color="auto" w:fill="FFFFFF"/>
            <w:vAlign w:val="center"/>
          </w:tcPr>
          <w:p w14:paraId="0E53C59E">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1184.57</w:t>
            </w:r>
          </w:p>
        </w:tc>
      </w:tr>
      <w:tr w14:paraId="3DEA6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242" w:type="pct"/>
            <w:shd w:val="clear" w:color="auto" w:fill="FFFFFF"/>
            <w:vAlign w:val="center"/>
          </w:tcPr>
          <w:p w14:paraId="5CA103C5">
            <w:pPr>
              <w:widowControl/>
              <w:adjustRightInd w:val="0"/>
              <w:snapToGrid w:val="0"/>
              <w:spacing w:line="240" w:lineRule="auto"/>
              <w:jc w:val="cente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万元产值碳排放强度</w:t>
            </w:r>
          </w:p>
          <w:p w14:paraId="156E3C46">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（吨CO</w:t>
            </w:r>
            <w:r>
              <w:rPr>
                <w:rFonts w:hint="eastAsia" w:ascii="Times New Roman Regular" w:hAnsi="Times New Roman Regular" w:eastAsia="华文楷体" w:cs="Times New Roman Regular"/>
                <w:bCs/>
                <w:color w:val="000000" w:themeColor="text1"/>
                <w:kern w:val="0"/>
                <w:sz w:val="20"/>
                <w:szCs w:val="21"/>
                <w:vertAlign w:val="subscript"/>
                <w:lang w:val="en-US" w:eastAsia="zh-CN"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/吨）</w:t>
            </w:r>
          </w:p>
        </w:tc>
        <w:tc>
          <w:tcPr>
            <w:tcW w:w="1250" w:type="pct"/>
            <w:shd w:val="clear" w:color="auto" w:fill="FFFFFF"/>
            <w:vAlign w:val="center"/>
          </w:tcPr>
          <w:p w14:paraId="06611F54">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1.23</w:t>
            </w:r>
          </w:p>
        </w:tc>
        <w:tc>
          <w:tcPr>
            <w:tcW w:w="1250" w:type="pct"/>
            <w:shd w:val="clear" w:color="auto" w:fill="FFFFFF"/>
            <w:vAlign w:val="center"/>
          </w:tcPr>
          <w:p w14:paraId="4432AF68">
            <w:pPr>
              <w:widowControl/>
              <w:adjustRightInd w:val="0"/>
              <w:snapToGrid w:val="0"/>
              <w:spacing w:line="240" w:lineRule="auto"/>
              <w:jc w:val="center"/>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w:t>
            </w:r>
          </w:p>
        </w:tc>
        <w:tc>
          <w:tcPr>
            <w:tcW w:w="1257" w:type="pct"/>
            <w:shd w:val="clear" w:color="auto" w:fill="FFFFFF"/>
            <w:vAlign w:val="center"/>
          </w:tcPr>
          <w:p w14:paraId="79B246A3">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1.</w:t>
            </w:r>
            <w:r>
              <w:rPr>
                <w:rFonts w:hint="eastAsia" w:ascii="Times New Roman Regular" w:hAnsi="Times New Roman Regular" w:eastAsia="华文楷体" w:cs="Times New Roman Regular"/>
                <w:bCs/>
                <w:color w:val="000000" w:themeColor="text1"/>
                <w:kern w:val="0"/>
                <w:sz w:val="20"/>
                <w:szCs w:val="21"/>
                <w:lang w:val="en-US" w:eastAsia="zh-CN"/>
                <w14:textFill>
                  <w14:solidFill>
                    <w14:schemeClr w14:val="tx1"/>
                  </w14:solidFill>
                </w14:textFill>
              </w:rPr>
              <w:t>45</w:t>
            </w:r>
          </w:p>
        </w:tc>
      </w:tr>
      <w:tr w14:paraId="1BA7C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5000" w:type="pct"/>
            <w:gridSpan w:val="4"/>
            <w:shd w:val="clear" w:color="auto" w:fill="FFFFFF"/>
            <w:vAlign w:val="center"/>
          </w:tcPr>
          <w:p w14:paraId="4B671DA8">
            <w:pPr>
              <w:widowControl/>
              <w:adjustRightInd w:val="0"/>
              <w:snapToGrid w:val="0"/>
              <w:spacing w:line="240" w:lineRule="auto"/>
              <w:jc w:val="center"/>
              <w:rPr>
                <w:rFonts w:hint="eastAsia" w:ascii="Times New Roman Regular" w:hAnsi="Times New Roman Regular" w:eastAsia="华文楷体" w:cs="Times New Roman Regular"/>
                <w:bCs/>
                <w:color w:val="000000" w:themeColor="text1"/>
                <w:kern w:val="0"/>
                <w:sz w:val="20"/>
                <w:szCs w:val="21"/>
                <w:lang w:val="en-US" w:eastAsia="zh-CN"/>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val="en-US" w:eastAsia="zh-CN"/>
                <w14:textFill>
                  <w14:solidFill>
                    <w14:schemeClr w14:val="tx1"/>
                  </w14:solidFill>
                </w14:textFill>
              </w:rPr>
              <w:t>指标完成情况</w:t>
            </w:r>
          </w:p>
        </w:tc>
      </w:tr>
      <w:tr w14:paraId="079B2F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1242" w:type="pct"/>
            <w:shd w:val="clear" w:color="auto" w:fill="FFFFFF"/>
            <w:vAlign w:val="center"/>
          </w:tcPr>
          <w:p w14:paraId="06D8BA43">
            <w:pPr>
              <w:widowControl/>
              <w:adjustRightInd w:val="0"/>
              <w:snapToGrid w:val="0"/>
              <w:spacing w:line="240" w:lineRule="auto"/>
              <w:jc w:val="cente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万元产值碳排放强度</w:t>
            </w:r>
          </w:p>
          <w:p w14:paraId="2B2F906B">
            <w:pPr>
              <w:widowControl/>
              <w:adjustRightInd w:val="0"/>
              <w:snapToGrid w:val="0"/>
              <w:spacing w:line="240" w:lineRule="auto"/>
              <w:jc w:val="cente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（吨CO</w:t>
            </w:r>
            <w:r>
              <w:rPr>
                <w:rFonts w:hint="eastAsia" w:ascii="Times New Roman Regular" w:hAnsi="Times New Roman Regular" w:eastAsia="华文楷体" w:cs="Times New Roman Regular"/>
                <w:bCs/>
                <w:color w:val="000000" w:themeColor="text1"/>
                <w:kern w:val="0"/>
                <w:sz w:val="20"/>
                <w:szCs w:val="21"/>
                <w:vertAlign w:val="subscript"/>
                <w:lang w:val="en-US" w:eastAsia="zh-CN"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vertAlign w:val="baseline"/>
                <w:lang w:val="en-US" w:eastAsia="zh-CN" w:bidi="ar"/>
                <w14:textFill>
                  <w14:solidFill>
                    <w14:schemeClr w14:val="tx1"/>
                  </w14:solidFill>
                </w14:textFill>
              </w:rPr>
              <w:t>/吨）</w:t>
            </w:r>
          </w:p>
        </w:tc>
        <w:tc>
          <w:tcPr>
            <w:tcW w:w="1250" w:type="pct"/>
            <w:shd w:val="clear" w:color="auto" w:fill="FFFFFF"/>
            <w:vAlign w:val="center"/>
          </w:tcPr>
          <w:p w14:paraId="01D10C22">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val="en-US" w:eastAsia="zh-CN" w:bidi="ar"/>
                <w14:textFill>
                  <w14:solidFill>
                    <w14:schemeClr w14:val="tx1"/>
                  </w14:solidFill>
                </w14:textFill>
              </w:rPr>
              <w:t>略高于规划值</w:t>
            </w:r>
          </w:p>
        </w:tc>
        <w:tc>
          <w:tcPr>
            <w:tcW w:w="1250" w:type="pct"/>
            <w:shd w:val="clear" w:color="auto" w:fill="FFFFFF"/>
            <w:vAlign w:val="center"/>
          </w:tcPr>
          <w:p w14:paraId="3F9F731C">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lang w:val="en-US" w:eastAsia="zh-CN"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val="en-US" w:eastAsia="zh-CN" w:bidi="ar"/>
                <w14:textFill>
                  <w14:solidFill>
                    <w14:schemeClr w14:val="tx1"/>
                  </w14:solidFill>
                </w14:textFill>
              </w:rPr>
              <w:t>低于规划值</w:t>
            </w:r>
          </w:p>
        </w:tc>
        <w:tc>
          <w:tcPr>
            <w:tcW w:w="1257" w:type="pct"/>
            <w:shd w:val="clear" w:color="auto" w:fill="FFFFFF"/>
            <w:vAlign w:val="center"/>
          </w:tcPr>
          <w:p w14:paraId="5881238F">
            <w:pPr>
              <w:widowControl/>
              <w:adjustRightInd w:val="0"/>
              <w:snapToGrid w:val="0"/>
              <w:spacing w:line="240" w:lineRule="auto"/>
              <w:jc w:val="center"/>
              <w:rPr>
                <w:rFonts w:hint="default" w:ascii="Times New Roman Regular" w:hAnsi="Times New Roman Regular" w:eastAsia="华文楷体" w:cs="Times New Roman Regular"/>
                <w:bCs/>
                <w:color w:val="000000" w:themeColor="text1"/>
                <w:kern w:val="0"/>
                <w:sz w:val="20"/>
                <w:szCs w:val="21"/>
                <w:lang w:val="en-US" w:eastAsia="zh-CN"/>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highlight w:val="yellow"/>
                <w:lang w:val="en-US" w:eastAsia="zh-CN"/>
                <w14:textFill>
                  <w14:solidFill>
                    <w14:schemeClr w14:val="tx1"/>
                  </w14:solidFill>
                </w14:textFill>
              </w:rPr>
              <w:t>高于规划值</w:t>
            </w:r>
          </w:p>
        </w:tc>
      </w:tr>
    </w:tbl>
    <w:p w14:paraId="43FE22A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2AD8A60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根据表2-1分析可得：</w:t>
      </w:r>
    </w:p>
    <w:p w14:paraId="7806A52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1）从碳排放总量来看，“十四五”期间，中化能源的碳排放总量整体呈现先增后减的趋势，2021年达到排放峰值后开始下降，2021年排放量为15</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40.25</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，较上一年度增加36.31%，其中主要由泉州基地产量增加引起的，</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2021年泉州基地已具备1500 万吨/ 年原油加工、100 万吨/年乙烯生产能力，乙烯产量97.5 万吨；</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东营基地能源消费总量与上一年度基本持平。2024年碳排放总量降至1184.57万tCO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泉州</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基地自2021年后碳排放总量较为稳定</w:t>
      </w:r>
      <w:r>
        <w:rPr>
          <w:rFonts w:hint="eastAsia" w:ascii="Times New Roman Regular" w:hAnsi="Times New Roman Regular" w:eastAsia="仿宋_GB2312" w:cs="Times New Roman Regular"/>
          <w:color w:val="000000" w:themeColor="text1"/>
          <w:kern w:val="0"/>
          <w:sz w:val="28"/>
          <w:szCs w:val="28"/>
          <w:lang w:eastAsia="zh-CN"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主要因为2021年泉州基地100万吨乙烯及300万吨/年炼油改扩建项目17涛装置全部投产运行，标志着泉州基地实现“炼化一体化”运营</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，碳排放总量下降主要因为东营基地、大庆中蓝的业务调整、装置停产造成的。</w:t>
      </w:r>
    </w:p>
    <w:p w14:paraId="56EE877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）从碳排放强度来看，“十四五”期间，中化能源工业产值（可比价）的趋势与碳排放总量趋势基本一致。万元产值碳排放强度（可比价）维持在1.04-1.45 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e/万元之间，2024年较2020年的变化较大，主要是“十四五”期间泉州基地乙烯和PX全面投产、大庆中蓝和东营基地停产等多种因素综合影响导致的。</w:t>
      </w:r>
    </w:p>
    <w:p w14:paraId="1120798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3</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从碳排放指标完成情况来看，2024年度节能低碳指标为万元产值综合能耗（可比价）不超过0.539吨标煤/万元，工业万元产值二氧化碳（可比价）不高于1.140吨/万元，且二氧化碳排放总量不高于1496</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25</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万</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吨。</w:t>
      </w:r>
    </w:p>
    <w:p w14:paraId="323D034A">
      <w:pPr>
        <w:widowControl/>
        <w:spacing w:line="560" w:lineRule="exact"/>
        <w:ind w:firstLine="562"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b/>
          <w:bCs/>
          <w:color w:val="000000" w:themeColor="text1"/>
          <w:kern w:val="0"/>
          <w:sz w:val="28"/>
          <w:szCs w:val="28"/>
          <w:lang w:val="en-US" w:eastAsia="zh-CN" w:bidi="ar"/>
          <w14:textFill>
            <w14:solidFill>
              <w14:schemeClr w14:val="tx1"/>
            </w14:solidFill>
          </w14:textFill>
        </w:rPr>
        <w:t>2024年指标未完成的原因</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2024年二氧化碳排放预测值与实际值偏差较大，2024年二氧化碳排放强度为 1.45 tCO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2e</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未完成年度指标要求，主要原因为年度原油加工量同比下降29%，工业总产值（可比价）同比下降31%导致；具体分析为年初指标制定依据为正和石化5至6月检修后开工，华星石化、昌邑石化全年正常生产。年度执行过程中，因生产经营调整，正和石化5月检修后停工，昌邑石化6月下旬停工，华星石化11月停工，导致低于整体能耗、碳排放强度指标要求的炼油企业运行时间片段，故能耗强度、碳排放强度均高于年度指标要求，未能完成年度要求。</w:t>
      </w:r>
    </w:p>
    <w:p w14:paraId="2D56EBED">
      <w:pPr>
        <w:widowControl/>
        <w:jc w:val="center"/>
        <w:rPr>
          <w:rFonts w:ascii="Times New Roman Regular" w:hAnsi="Times New Roman Regular" w:cs="Times New Roman Regular"/>
          <w:color w:val="000000" w:themeColor="text1"/>
          <w14:textFill>
            <w14:solidFill>
              <w14:schemeClr w14:val="tx1"/>
            </w14:solidFill>
          </w14:textFill>
        </w:rPr>
      </w:pPr>
      <w:r>
        <w:drawing>
          <wp:inline distT="0" distB="0" distL="114300" distR="114300">
            <wp:extent cx="5289550" cy="2755265"/>
            <wp:effectExtent l="4445" t="4445" r="14605" b="8890"/>
            <wp:docPr id="2"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154109A">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图2-</w: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begin"/>
      </w:r>
      <w:r>
        <w:rPr>
          <w:rFonts w:ascii="Times New Roman Regular" w:hAnsi="Times New Roman Regular" w:eastAsia="黑体" w:cs="Times New Roman Regular"/>
          <w:color w:val="000000" w:themeColor="text1"/>
          <w:sz w:val="20"/>
          <w:szCs w:val="20"/>
          <w14:textFill>
            <w14:solidFill>
              <w14:schemeClr w14:val="tx1"/>
            </w14:solidFill>
          </w14:textFill>
        </w:rPr>
        <w:instrText xml:space="preserve"> SEQ 图2- \* ARABIC </w:instrTex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separate"/>
      </w:r>
      <w:r>
        <w:rPr>
          <w:rFonts w:ascii="Times New Roman Regular" w:hAnsi="Times New Roman Regular" w:eastAsia="黑体" w:cs="Times New Roman Regular"/>
          <w:color w:val="000000" w:themeColor="text1"/>
          <w:sz w:val="20"/>
          <w:szCs w:val="20"/>
          <w14:textFill>
            <w14:solidFill>
              <w14:schemeClr w14:val="tx1"/>
            </w14:solidFill>
          </w14:textFill>
        </w:rPr>
        <w:t>1</w: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end"/>
      </w:r>
      <w:r>
        <w:rPr>
          <w:rFonts w:ascii="Times New Roman Regular" w:hAnsi="Times New Roman Regular" w:eastAsia="黑体" w:cs="Times New Roman Regular"/>
          <w:color w:val="000000" w:themeColor="text1"/>
          <w:sz w:val="20"/>
          <w:szCs w:val="20"/>
          <w14:textFill>
            <w14:solidFill>
              <w14:schemeClr w14:val="tx1"/>
            </w14:solidFill>
          </w14:textFill>
        </w:rPr>
        <w:t>中化能源碳排放总量及单位产值碳排放强度</w:t>
      </w:r>
    </w:p>
    <w:p w14:paraId="42420564">
      <w:pPr>
        <w:widowControl/>
        <w:rPr>
          <w:rFonts w:ascii="Times New Roman Regular" w:hAnsi="Times New Roman Regular" w:cs="Times New Roman Regular"/>
          <w:color w:val="000000" w:themeColor="text1"/>
          <w14:textFill>
            <w14:solidFill>
              <w14:schemeClr w14:val="tx1"/>
            </w14:solidFill>
          </w14:textFill>
        </w:rPr>
      </w:pPr>
    </w:p>
    <w:p w14:paraId="7F754D0B">
      <w:pPr>
        <w:widowControl/>
        <w:jc w:val="center"/>
        <w:rPr>
          <w:rFonts w:ascii="Times New Roman Regular" w:hAnsi="Times New Roman Regular" w:cs="Times New Roman Regular"/>
          <w:color w:val="000000" w:themeColor="text1"/>
          <w14:textFill>
            <w14:solidFill>
              <w14:schemeClr w14:val="tx1"/>
            </w14:solidFill>
          </w14:textFill>
        </w:rPr>
      </w:pPr>
      <w:r>
        <w:rPr>
          <w:rFonts w:ascii="Times New Roman Regular" w:hAnsi="Times New Roman Regular" w:cs="Times New Roman Regular"/>
          <w:color w:val="000000" w:themeColor="text1"/>
          <w14:textFill>
            <w14:solidFill>
              <w14:schemeClr w14:val="tx1"/>
            </w14:solidFill>
          </w14:textFill>
        </w:rPr>
        <w:drawing>
          <wp:inline distT="0" distB="0" distL="114300" distR="114300">
            <wp:extent cx="4564380" cy="2858770"/>
            <wp:effectExtent l="6350" t="6350" r="26670" b="30480"/>
            <wp:docPr id="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F97A94F">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图2-2中化能源碳排放结构</w:t>
      </w:r>
    </w:p>
    <w:p w14:paraId="10F8D45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2023年中化能源万元产值碳排放强度为1.12 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/万元，优于2020年度石油化工行业2.49 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/万元的碳排放强度平均水平，但中石油、中石化、中海油等的碳排放强度相对较低。表2-2为相关企业的万元产值碳排放强度对比数据。</w:t>
      </w:r>
    </w:p>
    <w:p w14:paraId="1A85B1FF">
      <w:pPr>
        <w:widowControl/>
        <w:spacing w:line="560" w:lineRule="exact"/>
        <w:ind w:firstLine="560" w:firstLineChars="200"/>
        <w:jc w:val="cente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2E78BABF">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表2-2 万元产值碳排放强度对比（2023年）</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22"/>
        <w:gridCol w:w="5100"/>
      </w:tblGrid>
      <w:tr w14:paraId="77B49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blHeader/>
        </w:trPr>
        <w:tc>
          <w:tcPr>
            <w:tcW w:w="2008" w:type="pct"/>
            <w:shd w:val="clear" w:color="auto" w:fill="D7D7D7" w:themeFill="background1" w:themeFillShade="D8"/>
            <w:vAlign w:val="center"/>
          </w:tcPr>
          <w:p w14:paraId="42CD761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w:t>
            </w:r>
          </w:p>
        </w:tc>
        <w:tc>
          <w:tcPr>
            <w:tcW w:w="2991" w:type="pct"/>
            <w:shd w:val="clear" w:color="auto" w:fill="D7D7D7" w:themeFill="background1" w:themeFillShade="D8"/>
            <w:vAlign w:val="center"/>
          </w:tcPr>
          <w:p w14:paraId="3A434CEA">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万元产值碳排放强度（tCO</w:t>
            </w:r>
            <w:r>
              <w:rPr>
                <w:rFonts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w:t>
            </w:r>
          </w:p>
        </w:tc>
      </w:tr>
      <w:tr w14:paraId="0597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pct"/>
          </w:tcPr>
          <w:p w14:paraId="69BD09B2">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一.中化能源</w:t>
            </w:r>
          </w:p>
        </w:tc>
        <w:tc>
          <w:tcPr>
            <w:tcW w:w="2991" w:type="pct"/>
          </w:tcPr>
          <w:p w14:paraId="21705CFD">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1.45</w:t>
            </w:r>
          </w:p>
        </w:tc>
      </w:tr>
      <w:tr w14:paraId="6CEA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184" w:hRule="atLeast"/>
        </w:trPr>
        <w:tc>
          <w:tcPr>
            <w:tcW w:w="2008" w:type="pct"/>
          </w:tcPr>
          <w:p w14:paraId="16F27336">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二.石化行业</w:t>
            </w:r>
          </w:p>
        </w:tc>
        <w:tc>
          <w:tcPr>
            <w:tcW w:w="2991" w:type="pct"/>
          </w:tcPr>
          <w:p w14:paraId="452E3C9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commentRangeStart w:id="2"/>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2.49</w:t>
            </w:r>
            <w:commentRangeEnd w:id="2"/>
            <w:r>
              <w:commentReference w:id="2"/>
            </w:r>
          </w:p>
        </w:tc>
      </w:tr>
      <w:tr w14:paraId="5E97C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trHeight w:val="273" w:hRule="atLeast"/>
        </w:trPr>
        <w:tc>
          <w:tcPr>
            <w:tcW w:w="2008" w:type="pct"/>
          </w:tcPr>
          <w:p w14:paraId="1798A48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三.石化企业</w:t>
            </w:r>
          </w:p>
        </w:tc>
        <w:tc>
          <w:tcPr>
            <w:tcW w:w="2991" w:type="pct"/>
          </w:tcPr>
          <w:p w14:paraId="46290FD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r>
      <w:tr w14:paraId="06811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pct"/>
          </w:tcPr>
          <w:p w14:paraId="19A526E9">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1.中国石化</w:t>
            </w:r>
          </w:p>
        </w:tc>
        <w:tc>
          <w:tcPr>
            <w:tcW w:w="2991" w:type="pct"/>
          </w:tcPr>
          <w:p w14:paraId="6B66527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0.53</w:t>
            </w:r>
          </w:p>
        </w:tc>
      </w:tr>
      <w:tr w14:paraId="5D9CF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pct"/>
          </w:tcPr>
          <w:p w14:paraId="586BA86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2.中国石油</w:t>
            </w:r>
          </w:p>
        </w:tc>
        <w:tc>
          <w:tcPr>
            <w:tcW w:w="2991" w:type="pct"/>
          </w:tcPr>
          <w:p w14:paraId="2213DD5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0.57</w:t>
            </w:r>
          </w:p>
        </w:tc>
      </w:tr>
      <w:tr w14:paraId="7A9BE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08" w:type="pct"/>
          </w:tcPr>
          <w:p w14:paraId="78E0A918">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3.中国海洋石油</w:t>
            </w:r>
          </w:p>
        </w:tc>
        <w:tc>
          <w:tcPr>
            <w:tcW w:w="2991" w:type="pct"/>
          </w:tcPr>
          <w:p w14:paraId="307E6D4B">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0.31</w:t>
            </w:r>
          </w:p>
        </w:tc>
      </w:tr>
      <w:tr w14:paraId="0149A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5000" w:type="pct"/>
            <w:gridSpan w:val="2"/>
          </w:tcPr>
          <w:p w14:paraId="49B98BFB">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数据来源：公司年报、石化联合会、《中国上市公司碳排放排行榜（2024）》（目前仅发布至2023年度数据）</w:t>
            </w:r>
          </w:p>
        </w:tc>
      </w:tr>
    </w:tbl>
    <w:p w14:paraId="6DB9B822">
      <w:pPr>
        <w:rPr>
          <w:rFonts w:ascii="Times New Roman Regular" w:hAnsi="Times New Roman Regular" w:eastAsia="黑体" w:cs="Times New Roman Regular"/>
          <w:color w:val="000000" w:themeColor="text1"/>
          <w:sz w:val="20"/>
          <w:szCs w:val="21"/>
          <w14:textFill>
            <w14:solidFill>
              <w14:schemeClr w14:val="tx1"/>
            </w14:solidFill>
          </w14:textFill>
        </w:rPr>
      </w:pPr>
    </w:p>
    <w:p w14:paraId="445FB12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2、泉州基地</w:t>
      </w:r>
    </w:p>
    <w:p w14:paraId="172072D1">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随着泉州石化公司2021年100万吨/年的乙烯项目、80万吨/年的PX正式投产，泉州园区110MW发电机组作为泉州石化的配套项目2021年正式投入使用，其供电和供热排放强度高于外购电力和热力。在上述2个因素综合作用之下，造成泉州基地2021年的碳排放量总体呈较快的增长态势，同时万元产值碳排放量较2020年上升51%。</w:t>
      </w:r>
    </w:p>
    <w:p w14:paraId="4726774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2021年至2024年，随着生产步入正轨，碳排放总量及单位产值碳排放强度无较大的变化波动，其中碳排放总量每年稳定在950万tCO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-1000万吨CO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；万元产值碳排放量稳定在1.55</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/万元-1.76</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/万元之间。</w:t>
      </w:r>
    </w:p>
    <w:p w14:paraId="4E7CC32C">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p>
    <w:p w14:paraId="5716FEBA">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表2-3 泉州基地近五年碳排放及强度</w:t>
      </w:r>
    </w:p>
    <w:tbl>
      <w:tblPr>
        <w:tblStyle w:val="16"/>
        <w:tblW w:w="8319" w:type="dxa"/>
        <w:jc w:val="center"/>
        <w:tblLayout w:type="autofit"/>
        <w:tblCellMar>
          <w:top w:w="0" w:type="dxa"/>
          <w:left w:w="108" w:type="dxa"/>
          <w:bottom w:w="0" w:type="dxa"/>
          <w:right w:w="108" w:type="dxa"/>
        </w:tblCellMar>
      </w:tblPr>
      <w:tblGrid>
        <w:gridCol w:w="1069"/>
        <w:gridCol w:w="1813"/>
        <w:gridCol w:w="1379"/>
        <w:gridCol w:w="1330"/>
        <w:gridCol w:w="1330"/>
        <w:gridCol w:w="1398"/>
      </w:tblGrid>
      <w:tr w14:paraId="00A9FF7E">
        <w:tblPrEx>
          <w:tblCellMar>
            <w:top w:w="0" w:type="dxa"/>
            <w:left w:w="108" w:type="dxa"/>
            <w:bottom w:w="0" w:type="dxa"/>
            <w:right w:w="108" w:type="dxa"/>
          </w:tblCellMar>
        </w:tblPrEx>
        <w:trPr>
          <w:trHeight w:val="913" w:hRule="atLeast"/>
          <w:tblHeader/>
          <w:jc w:val="center"/>
        </w:trPr>
        <w:tc>
          <w:tcPr>
            <w:tcW w:w="1069" w:type="dxa"/>
            <w:vMerge w:val="restart"/>
            <w:tcBorders>
              <w:top w:val="single" w:color="000000" w:sz="8" w:space="0"/>
              <w:left w:val="single" w:color="000000" w:sz="8" w:space="0"/>
              <w:bottom w:val="single" w:color="000000" w:sz="8" w:space="0"/>
              <w:right w:val="nil"/>
            </w:tcBorders>
            <w:shd w:val="clear" w:color="auto" w:fill="auto"/>
            <w:vAlign w:val="center"/>
          </w:tcPr>
          <w:p w14:paraId="7CD17BA6">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年份</w:t>
            </w:r>
          </w:p>
        </w:tc>
        <w:tc>
          <w:tcPr>
            <w:tcW w:w="1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9A06D4">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产值</w:t>
            </w:r>
          </w:p>
        </w:tc>
        <w:tc>
          <w:tcPr>
            <w:tcW w:w="13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F87FED">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总碳排放量</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2CBE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直接碳排放量</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F998F6">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间接碳排放量</w:t>
            </w:r>
          </w:p>
        </w:tc>
        <w:tc>
          <w:tcPr>
            <w:tcW w:w="1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409514">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万元产值碳排放量</w:t>
            </w:r>
          </w:p>
        </w:tc>
      </w:tr>
      <w:tr w14:paraId="5C1E5C7F">
        <w:tblPrEx>
          <w:tblCellMar>
            <w:top w:w="0" w:type="dxa"/>
            <w:left w:w="108" w:type="dxa"/>
            <w:bottom w:w="0" w:type="dxa"/>
            <w:right w:w="108" w:type="dxa"/>
          </w:tblCellMar>
        </w:tblPrEx>
        <w:trPr>
          <w:trHeight w:val="405" w:hRule="atLeast"/>
          <w:jc w:val="center"/>
        </w:trPr>
        <w:tc>
          <w:tcPr>
            <w:tcW w:w="1069" w:type="dxa"/>
            <w:vMerge w:val="continue"/>
            <w:tcBorders>
              <w:top w:val="single" w:color="000000" w:sz="8" w:space="0"/>
              <w:left w:val="single" w:color="000000" w:sz="8" w:space="0"/>
              <w:bottom w:val="single" w:color="000000" w:sz="8" w:space="0"/>
              <w:right w:val="nil"/>
            </w:tcBorders>
            <w:shd w:val="clear" w:color="auto" w:fill="auto"/>
            <w:vAlign w:val="center"/>
          </w:tcPr>
          <w:p w14:paraId="459CE64C">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p>
        </w:tc>
        <w:tc>
          <w:tcPr>
            <w:tcW w:w="1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3FED31">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(2020年不变价)/亿元</w:t>
            </w:r>
          </w:p>
        </w:tc>
        <w:tc>
          <w:tcPr>
            <w:tcW w:w="13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E0BE7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1B5B1D">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7672D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8D74D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tCO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w:t>
            </w:r>
          </w:p>
        </w:tc>
      </w:tr>
      <w:tr w14:paraId="08075E8E">
        <w:tblPrEx>
          <w:tblCellMar>
            <w:top w:w="0" w:type="dxa"/>
            <w:left w:w="108" w:type="dxa"/>
            <w:bottom w:w="0" w:type="dxa"/>
            <w:right w:w="108" w:type="dxa"/>
          </w:tblCellMar>
        </w:tblPrEx>
        <w:trPr>
          <w:trHeight w:val="325" w:hRule="atLeast"/>
          <w:jc w:val="center"/>
        </w:trPr>
        <w:tc>
          <w:tcPr>
            <w:tcW w:w="1069" w:type="dxa"/>
            <w:tcBorders>
              <w:top w:val="nil"/>
              <w:left w:val="single" w:color="000000" w:sz="8" w:space="0"/>
              <w:bottom w:val="single" w:color="000000" w:sz="8" w:space="0"/>
              <w:right w:val="nil"/>
            </w:tcBorders>
            <w:shd w:val="clear" w:color="auto" w:fill="auto"/>
            <w:vAlign w:val="center"/>
          </w:tcPr>
          <w:p w14:paraId="6A053A3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w:t>
            </w:r>
          </w:p>
        </w:tc>
        <w:tc>
          <w:tcPr>
            <w:tcW w:w="1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74C76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506.00 </w:t>
            </w:r>
          </w:p>
        </w:tc>
        <w:tc>
          <w:tcPr>
            <w:tcW w:w="1379" w:type="dxa"/>
            <w:tcBorders>
              <w:top w:val="single" w:color="000000" w:sz="4" w:space="0"/>
              <w:left w:val="single" w:color="000000" w:sz="4" w:space="0"/>
              <w:bottom w:val="single" w:color="000000" w:sz="4" w:space="0"/>
              <w:right w:val="single" w:color="000000" w:sz="4" w:space="0"/>
            </w:tcBorders>
            <w:shd w:val="clear" w:color="auto" w:fill="auto"/>
          </w:tcPr>
          <w:p w14:paraId="7ECCED6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577.78 </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406D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486.02</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6173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91.76</w:t>
            </w:r>
          </w:p>
        </w:tc>
        <w:tc>
          <w:tcPr>
            <w:tcW w:w="1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0A02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1.14 </w:t>
            </w:r>
          </w:p>
        </w:tc>
      </w:tr>
      <w:tr w14:paraId="09908F3D">
        <w:tblPrEx>
          <w:tblCellMar>
            <w:top w:w="0" w:type="dxa"/>
            <w:left w:w="108" w:type="dxa"/>
            <w:bottom w:w="0" w:type="dxa"/>
            <w:right w:w="108" w:type="dxa"/>
          </w:tblCellMar>
        </w:tblPrEx>
        <w:trPr>
          <w:trHeight w:val="325" w:hRule="atLeast"/>
          <w:jc w:val="center"/>
        </w:trPr>
        <w:tc>
          <w:tcPr>
            <w:tcW w:w="1069" w:type="dxa"/>
            <w:tcBorders>
              <w:top w:val="nil"/>
              <w:left w:val="single" w:color="000000" w:sz="8" w:space="0"/>
              <w:bottom w:val="single" w:color="000000" w:sz="8" w:space="0"/>
              <w:right w:val="nil"/>
            </w:tcBorders>
            <w:shd w:val="clear" w:color="auto" w:fill="auto"/>
            <w:vAlign w:val="center"/>
          </w:tcPr>
          <w:p w14:paraId="3232DD5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w:t>
            </w:r>
          </w:p>
        </w:tc>
        <w:tc>
          <w:tcPr>
            <w:tcW w:w="1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79BFE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585.80 </w:t>
            </w:r>
          </w:p>
        </w:tc>
        <w:tc>
          <w:tcPr>
            <w:tcW w:w="1379" w:type="dxa"/>
            <w:tcBorders>
              <w:top w:val="single" w:color="000000" w:sz="4" w:space="0"/>
              <w:left w:val="single" w:color="000000" w:sz="4" w:space="0"/>
              <w:bottom w:val="single" w:color="000000" w:sz="4" w:space="0"/>
              <w:right w:val="single" w:color="000000" w:sz="4" w:space="0"/>
            </w:tcBorders>
            <w:shd w:val="clear" w:color="auto" w:fill="auto"/>
          </w:tcPr>
          <w:p w14:paraId="083057E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1008.05 </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2E5A0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625.31</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13C8F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382.74</w:t>
            </w:r>
          </w:p>
        </w:tc>
        <w:tc>
          <w:tcPr>
            <w:tcW w:w="1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9C1E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1.72 </w:t>
            </w:r>
          </w:p>
        </w:tc>
      </w:tr>
      <w:tr w14:paraId="24FB1361">
        <w:tblPrEx>
          <w:tblCellMar>
            <w:top w:w="0" w:type="dxa"/>
            <w:left w:w="108" w:type="dxa"/>
            <w:bottom w:w="0" w:type="dxa"/>
            <w:right w:w="108" w:type="dxa"/>
          </w:tblCellMar>
        </w:tblPrEx>
        <w:trPr>
          <w:trHeight w:val="325" w:hRule="atLeast"/>
          <w:jc w:val="center"/>
        </w:trPr>
        <w:tc>
          <w:tcPr>
            <w:tcW w:w="1069" w:type="dxa"/>
            <w:tcBorders>
              <w:top w:val="nil"/>
              <w:left w:val="single" w:color="000000" w:sz="8" w:space="0"/>
              <w:bottom w:val="single" w:color="000000" w:sz="8" w:space="0"/>
              <w:right w:val="nil"/>
            </w:tcBorders>
            <w:shd w:val="clear" w:color="auto" w:fill="auto"/>
            <w:vAlign w:val="center"/>
          </w:tcPr>
          <w:p w14:paraId="45AD094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w:t>
            </w:r>
          </w:p>
        </w:tc>
        <w:tc>
          <w:tcPr>
            <w:tcW w:w="1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AD6E7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560.41 </w:t>
            </w:r>
          </w:p>
        </w:tc>
        <w:tc>
          <w:tcPr>
            <w:tcW w:w="13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6B3B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969.69 </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48E7E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616.67</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F278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353.02</w:t>
            </w:r>
          </w:p>
        </w:tc>
        <w:tc>
          <w:tcPr>
            <w:tcW w:w="1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38E0F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1.73 </w:t>
            </w:r>
          </w:p>
        </w:tc>
      </w:tr>
      <w:tr w14:paraId="01218239">
        <w:tblPrEx>
          <w:tblCellMar>
            <w:top w:w="0" w:type="dxa"/>
            <w:left w:w="108" w:type="dxa"/>
            <w:bottom w:w="0" w:type="dxa"/>
            <w:right w:w="108" w:type="dxa"/>
          </w:tblCellMar>
        </w:tblPrEx>
        <w:trPr>
          <w:trHeight w:val="325" w:hRule="atLeast"/>
          <w:jc w:val="center"/>
        </w:trPr>
        <w:tc>
          <w:tcPr>
            <w:tcW w:w="1069" w:type="dxa"/>
            <w:tcBorders>
              <w:top w:val="nil"/>
              <w:left w:val="single" w:color="000000" w:sz="8" w:space="0"/>
              <w:bottom w:val="single" w:color="000000" w:sz="8" w:space="0"/>
              <w:right w:val="nil"/>
            </w:tcBorders>
            <w:shd w:val="clear" w:color="auto" w:fill="auto"/>
            <w:vAlign w:val="center"/>
          </w:tcPr>
          <w:p w14:paraId="1FB3EC0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w:t>
            </w:r>
          </w:p>
        </w:tc>
        <w:tc>
          <w:tcPr>
            <w:tcW w:w="1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B4750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613.41 </w:t>
            </w:r>
          </w:p>
        </w:tc>
        <w:tc>
          <w:tcPr>
            <w:tcW w:w="13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2251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949.85 </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5BEC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616.97</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71ABB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332.88</w:t>
            </w:r>
          </w:p>
        </w:tc>
        <w:tc>
          <w:tcPr>
            <w:tcW w:w="1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389B5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1.55 </w:t>
            </w:r>
          </w:p>
        </w:tc>
      </w:tr>
      <w:tr w14:paraId="55C5D32B">
        <w:tblPrEx>
          <w:tblCellMar>
            <w:top w:w="0" w:type="dxa"/>
            <w:left w:w="108" w:type="dxa"/>
            <w:bottom w:w="0" w:type="dxa"/>
            <w:right w:w="108" w:type="dxa"/>
          </w:tblCellMar>
        </w:tblPrEx>
        <w:trPr>
          <w:trHeight w:val="325" w:hRule="atLeast"/>
          <w:jc w:val="center"/>
        </w:trPr>
        <w:tc>
          <w:tcPr>
            <w:tcW w:w="1069" w:type="dxa"/>
            <w:tcBorders>
              <w:top w:val="nil"/>
              <w:left w:val="single" w:color="000000" w:sz="8" w:space="0"/>
              <w:bottom w:val="single" w:color="000000" w:sz="8" w:space="0"/>
              <w:right w:val="nil"/>
            </w:tcBorders>
            <w:shd w:val="clear" w:color="auto" w:fill="auto"/>
            <w:vAlign w:val="center"/>
          </w:tcPr>
          <w:p w14:paraId="08D7EFE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w:t>
            </w:r>
          </w:p>
        </w:tc>
        <w:tc>
          <w:tcPr>
            <w:tcW w:w="181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D0B9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550.75 </w:t>
            </w:r>
          </w:p>
        </w:tc>
        <w:tc>
          <w:tcPr>
            <w:tcW w:w="137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B76B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968.17 </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460CB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642.84</w:t>
            </w:r>
          </w:p>
        </w:tc>
        <w:tc>
          <w:tcPr>
            <w:tcW w:w="13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F4E89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325.33</w:t>
            </w:r>
          </w:p>
        </w:tc>
        <w:tc>
          <w:tcPr>
            <w:tcW w:w="13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7B196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1.76 </w:t>
            </w:r>
          </w:p>
        </w:tc>
      </w:tr>
    </w:tbl>
    <w:p w14:paraId="5A89712E">
      <w:pPr>
        <w:widowControl/>
        <w:spacing w:line="560" w:lineRule="exact"/>
        <w:rPr>
          <w:rFonts w:ascii="Times New Roman Regular" w:hAnsi="Times New Roman Regular" w:eastAsia="仿宋" w:cs="Times New Roman Regular"/>
          <w:b/>
          <w:bCs/>
          <w:color w:val="000000" w:themeColor="text1"/>
          <w:sz w:val="28"/>
          <w:szCs w:val="21"/>
          <w14:textFill>
            <w14:solidFill>
              <w14:schemeClr w14:val="tx1"/>
            </w14:solidFill>
          </w14:textFill>
        </w:rPr>
      </w:pPr>
    </w:p>
    <w:p w14:paraId="26C151C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碳排放构成中，直接碳排放占比较大，2020年直接碳排放和间接碳排放分别占比84.12和15.88%，随着生产的扩大以及热电联产项目的投入，2021年后，直接碳排放和间接碳排放均较大增长，至2024年期间较为稳定。其中间接碳排放增长更为明显，较2021年增长了317%，在碳排放总量中占比上升至37.97%；直接碳排放量增长28.66%，在碳排放总量中占比下降至62.03%。</w:t>
      </w:r>
    </w:p>
    <w:p w14:paraId="61B566F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3、东营基地</w:t>
      </w:r>
    </w:p>
    <w:p w14:paraId="373345A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东营基地主要以油气生产业务为主，2020年</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2023年产能产量维持在较稳定的水平，随着近几年节能降耗项目的实施，能耗消费总量和碳排放总量均同比有所下降。2024年，由于东营基地三家炼化企业的装置停产，碳排放总量、产值等较前几年出现较大的下降波动。</w:t>
      </w:r>
    </w:p>
    <w:p w14:paraId="4CE40D9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5CC7B002">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表2-4 东营基地近五年碳排放及强度</w:t>
      </w:r>
    </w:p>
    <w:tbl>
      <w:tblPr>
        <w:tblStyle w:val="16"/>
        <w:tblW w:w="7782" w:type="dxa"/>
        <w:jc w:val="center"/>
        <w:tblLayout w:type="autofit"/>
        <w:tblCellMar>
          <w:top w:w="0" w:type="dxa"/>
          <w:left w:w="108" w:type="dxa"/>
          <w:bottom w:w="0" w:type="dxa"/>
          <w:right w:w="108" w:type="dxa"/>
        </w:tblCellMar>
      </w:tblPr>
      <w:tblGrid>
        <w:gridCol w:w="1222"/>
        <w:gridCol w:w="1707"/>
        <w:gridCol w:w="1164"/>
        <w:gridCol w:w="1209"/>
        <w:gridCol w:w="1185"/>
        <w:gridCol w:w="1295"/>
      </w:tblGrid>
      <w:tr w14:paraId="5859E9E7">
        <w:tblPrEx>
          <w:tblCellMar>
            <w:top w:w="0" w:type="dxa"/>
            <w:left w:w="108" w:type="dxa"/>
            <w:bottom w:w="0" w:type="dxa"/>
            <w:right w:w="108" w:type="dxa"/>
          </w:tblCellMar>
        </w:tblPrEx>
        <w:trPr>
          <w:trHeight w:val="915" w:hRule="atLeast"/>
          <w:tblHeader/>
          <w:jc w:val="center"/>
        </w:trPr>
        <w:tc>
          <w:tcPr>
            <w:tcW w:w="1222" w:type="dxa"/>
            <w:vMerge w:val="restart"/>
            <w:tcBorders>
              <w:top w:val="single" w:color="000000" w:sz="8" w:space="0"/>
              <w:left w:val="single" w:color="000000" w:sz="8" w:space="0"/>
              <w:bottom w:val="single" w:color="000000" w:sz="8" w:space="0"/>
              <w:right w:val="nil"/>
            </w:tcBorders>
            <w:shd w:val="clear" w:color="auto" w:fill="auto"/>
            <w:vAlign w:val="center"/>
          </w:tcPr>
          <w:p w14:paraId="123E414D">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年份</w:t>
            </w:r>
          </w:p>
        </w:tc>
        <w:tc>
          <w:tcPr>
            <w:tcW w:w="1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600F29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产值</w:t>
            </w:r>
          </w:p>
        </w:tc>
        <w:tc>
          <w:tcPr>
            <w:tcW w:w="11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A4B7DEA">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总碳排放量</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95D5D87">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直接碳排放量</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66E481">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间接碳排放量</w:t>
            </w:r>
          </w:p>
        </w:tc>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A3AF7D">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万元产值碳排放量</w:t>
            </w:r>
          </w:p>
        </w:tc>
      </w:tr>
      <w:tr w14:paraId="12B9943A">
        <w:tblPrEx>
          <w:tblCellMar>
            <w:top w:w="0" w:type="dxa"/>
            <w:left w:w="108" w:type="dxa"/>
            <w:bottom w:w="0" w:type="dxa"/>
            <w:right w:w="108" w:type="dxa"/>
          </w:tblCellMar>
        </w:tblPrEx>
        <w:trPr>
          <w:trHeight w:val="405" w:hRule="atLeast"/>
          <w:tblHeader/>
          <w:jc w:val="center"/>
        </w:trPr>
        <w:tc>
          <w:tcPr>
            <w:tcW w:w="1222" w:type="dxa"/>
            <w:vMerge w:val="continue"/>
            <w:tcBorders>
              <w:top w:val="single" w:color="000000" w:sz="8" w:space="0"/>
              <w:left w:val="single" w:color="000000" w:sz="8" w:space="0"/>
              <w:bottom w:val="single" w:color="000000" w:sz="8" w:space="0"/>
              <w:right w:val="nil"/>
            </w:tcBorders>
            <w:shd w:val="clear" w:color="auto" w:fill="auto"/>
            <w:vAlign w:val="center"/>
          </w:tcPr>
          <w:p w14:paraId="5109E2E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p>
        </w:tc>
        <w:tc>
          <w:tcPr>
            <w:tcW w:w="1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2F44F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(2020年不变价)/亿元</w:t>
            </w:r>
          </w:p>
        </w:tc>
        <w:tc>
          <w:tcPr>
            <w:tcW w:w="11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DBBE45">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7349E0">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C7136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E2C18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tCO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w:t>
            </w:r>
          </w:p>
        </w:tc>
      </w:tr>
      <w:tr w14:paraId="763816ED">
        <w:tblPrEx>
          <w:tblCellMar>
            <w:top w:w="0" w:type="dxa"/>
            <w:left w:w="108" w:type="dxa"/>
            <w:bottom w:w="0" w:type="dxa"/>
            <w:right w:w="108" w:type="dxa"/>
          </w:tblCellMar>
        </w:tblPrEx>
        <w:trPr>
          <w:trHeight w:val="325" w:hRule="atLeast"/>
          <w:jc w:val="center"/>
        </w:trPr>
        <w:tc>
          <w:tcPr>
            <w:tcW w:w="1222" w:type="dxa"/>
            <w:tcBorders>
              <w:top w:val="nil"/>
              <w:left w:val="single" w:color="000000" w:sz="8" w:space="0"/>
              <w:bottom w:val="single" w:color="000000" w:sz="8" w:space="0"/>
              <w:right w:val="nil"/>
            </w:tcBorders>
            <w:shd w:val="clear" w:color="auto" w:fill="auto"/>
            <w:vAlign w:val="center"/>
          </w:tcPr>
          <w:p w14:paraId="47C248E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w:t>
            </w:r>
          </w:p>
        </w:tc>
        <w:tc>
          <w:tcPr>
            <w:tcW w:w="1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5DF70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524.78</w:t>
            </w:r>
          </w:p>
        </w:tc>
        <w:tc>
          <w:tcPr>
            <w:tcW w:w="11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0C380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467.00</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6FBAE7">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393.03</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E5AE23">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73.97</w:t>
            </w:r>
          </w:p>
        </w:tc>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7BA883">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0.89</w:t>
            </w:r>
          </w:p>
        </w:tc>
      </w:tr>
      <w:tr w14:paraId="7A690EB9">
        <w:tblPrEx>
          <w:tblCellMar>
            <w:top w:w="0" w:type="dxa"/>
            <w:left w:w="108" w:type="dxa"/>
            <w:bottom w:w="0" w:type="dxa"/>
            <w:right w:w="108" w:type="dxa"/>
          </w:tblCellMar>
        </w:tblPrEx>
        <w:trPr>
          <w:trHeight w:val="325" w:hRule="atLeast"/>
          <w:jc w:val="center"/>
        </w:trPr>
        <w:tc>
          <w:tcPr>
            <w:tcW w:w="1222" w:type="dxa"/>
            <w:tcBorders>
              <w:top w:val="nil"/>
              <w:left w:val="single" w:color="000000" w:sz="8" w:space="0"/>
              <w:bottom w:val="single" w:color="000000" w:sz="8" w:space="0"/>
              <w:right w:val="nil"/>
            </w:tcBorders>
            <w:shd w:val="clear" w:color="auto" w:fill="auto"/>
            <w:vAlign w:val="center"/>
          </w:tcPr>
          <w:p w14:paraId="0DA959C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2021</w:t>
            </w:r>
          </w:p>
        </w:tc>
        <w:tc>
          <w:tcPr>
            <w:tcW w:w="1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17E6FA">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698.94</w:t>
            </w:r>
          </w:p>
        </w:tc>
        <w:tc>
          <w:tcPr>
            <w:tcW w:w="11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01523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472.41</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4410B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391.28</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6DC816">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81.12</w:t>
            </w:r>
          </w:p>
        </w:tc>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79427">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0.68</w:t>
            </w:r>
          </w:p>
        </w:tc>
      </w:tr>
      <w:tr w14:paraId="1F74D233">
        <w:tblPrEx>
          <w:tblCellMar>
            <w:top w:w="0" w:type="dxa"/>
            <w:left w:w="108" w:type="dxa"/>
            <w:bottom w:w="0" w:type="dxa"/>
            <w:right w:w="108" w:type="dxa"/>
          </w:tblCellMar>
        </w:tblPrEx>
        <w:trPr>
          <w:trHeight w:val="325" w:hRule="atLeast"/>
          <w:jc w:val="center"/>
        </w:trPr>
        <w:tc>
          <w:tcPr>
            <w:tcW w:w="1222" w:type="dxa"/>
            <w:tcBorders>
              <w:top w:val="nil"/>
              <w:left w:val="single" w:color="000000" w:sz="8" w:space="0"/>
              <w:bottom w:val="single" w:color="000000" w:sz="8" w:space="0"/>
              <w:right w:val="nil"/>
            </w:tcBorders>
            <w:shd w:val="clear" w:color="auto" w:fill="auto"/>
            <w:vAlign w:val="center"/>
          </w:tcPr>
          <w:p w14:paraId="0A30F9DD">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2022</w:t>
            </w:r>
          </w:p>
        </w:tc>
        <w:tc>
          <w:tcPr>
            <w:tcW w:w="1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44710F">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497.87</w:t>
            </w:r>
          </w:p>
        </w:tc>
        <w:tc>
          <w:tcPr>
            <w:tcW w:w="11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19708F">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318.87</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C1413F">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279.32</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189DE9">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39.55</w:t>
            </w:r>
          </w:p>
        </w:tc>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7332D3">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0.64</w:t>
            </w:r>
          </w:p>
        </w:tc>
      </w:tr>
      <w:tr w14:paraId="67078D31">
        <w:tblPrEx>
          <w:tblCellMar>
            <w:top w:w="0" w:type="dxa"/>
            <w:left w:w="108" w:type="dxa"/>
            <w:bottom w:w="0" w:type="dxa"/>
            <w:right w:w="108" w:type="dxa"/>
          </w:tblCellMar>
        </w:tblPrEx>
        <w:trPr>
          <w:trHeight w:val="325" w:hRule="atLeast"/>
          <w:jc w:val="center"/>
        </w:trPr>
        <w:tc>
          <w:tcPr>
            <w:tcW w:w="1222" w:type="dxa"/>
            <w:tcBorders>
              <w:top w:val="nil"/>
              <w:left w:val="single" w:color="000000" w:sz="8" w:space="0"/>
              <w:bottom w:val="single" w:color="000000" w:sz="8" w:space="0"/>
              <w:right w:val="nil"/>
            </w:tcBorders>
            <w:shd w:val="clear" w:color="auto" w:fill="auto"/>
            <w:vAlign w:val="center"/>
          </w:tcPr>
          <w:p w14:paraId="5B2A8EF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2023</w:t>
            </w:r>
          </w:p>
        </w:tc>
        <w:tc>
          <w:tcPr>
            <w:tcW w:w="1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F3CF35">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568.08</w:t>
            </w:r>
          </w:p>
        </w:tc>
        <w:tc>
          <w:tcPr>
            <w:tcW w:w="11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4F60E9">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364.11</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706029">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321.44</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5A362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42.68</w:t>
            </w:r>
          </w:p>
        </w:tc>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5865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0.64</w:t>
            </w:r>
          </w:p>
        </w:tc>
      </w:tr>
      <w:tr w14:paraId="3935C75D">
        <w:tblPrEx>
          <w:tblCellMar>
            <w:top w:w="0" w:type="dxa"/>
            <w:left w:w="108" w:type="dxa"/>
            <w:bottom w:w="0" w:type="dxa"/>
            <w:right w:w="108" w:type="dxa"/>
          </w:tblCellMar>
        </w:tblPrEx>
        <w:trPr>
          <w:trHeight w:val="325" w:hRule="atLeast"/>
          <w:jc w:val="center"/>
        </w:trPr>
        <w:tc>
          <w:tcPr>
            <w:tcW w:w="1222" w:type="dxa"/>
            <w:tcBorders>
              <w:top w:val="nil"/>
              <w:left w:val="single" w:color="000000" w:sz="8" w:space="0"/>
              <w:bottom w:val="single" w:color="000000" w:sz="8" w:space="0"/>
              <w:right w:val="nil"/>
            </w:tcBorders>
            <w:shd w:val="clear" w:color="auto" w:fill="auto"/>
            <w:vAlign w:val="center"/>
          </w:tcPr>
          <w:p w14:paraId="3730C91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2024</w:t>
            </w:r>
          </w:p>
        </w:tc>
        <w:tc>
          <w:tcPr>
            <w:tcW w:w="170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C57B2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265.16</w:t>
            </w:r>
          </w:p>
        </w:tc>
        <w:tc>
          <w:tcPr>
            <w:tcW w:w="116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81A21C">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209.63</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32B9B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186.46</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DBDD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23.17</w:t>
            </w:r>
          </w:p>
        </w:tc>
        <w:tc>
          <w:tcPr>
            <w:tcW w:w="12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25A19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0.79</w:t>
            </w:r>
          </w:p>
        </w:tc>
      </w:tr>
    </w:tbl>
    <w:p w14:paraId="22FB9B05">
      <w:pPr>
        <w:widowControl/>
        <w:rPr>
          <w:rFonts w:ascii="Times New Roman Regular" w:hAnsi="Times New Roman Regular" w:cs="Times New Roman Regular"/>
          <w:color w:val="000000" w:themeColor="text1"/>
          <w14:textFill>
            <w14:solidFill>
              <w14:schemeClr w14:val="tx1"/>
            </w14:solidFill>
          </w14:textFill>
        </w:rPr>
      </w:pPr>
    </w:p>
    <w:p w14:paraId="28B029AA">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2020年到2023年，东营基地的生产总体维持在相对稳定的状态，2021年达到阶段性排放峰值，主要是因为2021年原油加工量上升，随后由于节能技改项目的实施，碳排放总量呈略有下降的状态。到2024年由于装置停产原因，碳排放总量</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降</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至209.63</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，较2020年下降55%。东营基地产值的变化趋势与碳排放总量趋势基本一致。</w:t>
      </w:r>
    </w:p>
    <w:p w14:paraId="28BA4D1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碳排放构成方面，2020年到2024年东营基地总体碳排放构成中直接排放与间接排放的占比基本维持在稳定状态，其中直接碳排放占比在82.83%</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88.95%之间，间接碳排放占比在11.05%</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17.17%之间。主要是因为“十四五”期间，东营基地未发生较大的能源结构调整。</w:t>
      </w:r>
    </w:p>
    <w:p w14:paraId="129E92B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4、大庆中蓝</w:t>
      </w:r>
    </w:p>
    <w:p w14:paraId="1B2F79E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近五年，大庆中蓝的碳排放量波动较大。</w:t>
      </w:r>
    </w:p>
    <w:p w14:paraId="1C06D009">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p>
    <w:p w14:paraId="063A7E23">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表2-5 大庆中蓝近五年碳排放及强度</w:t>
      </w:r>
    </w:p>
    <w:tbl>
      <w:tblPr>
        <w:tblStyle w:val="16"/>
        <w:tblW w:w="7712" w:type="dxa"/>
        <w:jc w:val="center"/>
        <w:tblLayout w:type="autofit"/>
        <w:tblCellMar>
          <w:top w:w="0" w:type="dxa"/>
          <w:left w:w="108" w:type="dxa"/>
          <w:bottom w:w="0" w:type="dxa"/>
          <w:right w:w="108" w:type="dxa"/>
        </w:tblCellMar>
      </w:tblPr>
      <w:tblGrid>
        <w:gridCol w:w="977"/>
        <w:gridCol w:w="1882"/>
        <w:gridCol w:w="1163"/>
        <w:gridCol w:w="1209"/>
        <w:gridCol w:w="1185"/>
        <w:gridCol w:w="1296"/>
      </w:tblGrid>
      <w:tr w14:paraId="3999683F">
        <w:tblPrEx>
          <w:tblCellMar>
            <w:top w:w="0" w:type="dxa"/>
            <w:left w:w="108" w:type="dxa"/>
            <w:bottom w:w="0" w:type="dxa"/>
            <w:right w:w="108" w:type="dxa"/>
          </w:tblCellMar>
        </w:tblPrEx>
        <w:trPr>
          <w:trHeight w:val="915" w:hRule="atLeast"/>
          <w:tblHeader/>
          <w:jc w:val="center"/>
        </w:trPr>
        <w:tc>
          <w:tcPr>
            <w:tcW w:w="977" w:type="dxa"/>
            <w:vMerge w:val="restart"/>
            <w:tcBorders>
              <w:top w:val="single" w:color="000000" w:sz="8" w:space="0"/>
              <w:left w:val="single" w:color="000000" w:sz="8" w:space="0"/>
              <w:bottom w:val="single" w:color="000000" w:sz="8" w:space="0"/>
              <w:right w:val="nil"/>
            </w:tcBorders>
            <w:shd w:val="clear" w:color="auto" w:fill="auto"/>
            <w:vAlign w:val="center"/>
          </w:tcPr>
          <w:p w14:paraId="1FB35624">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年份</w:t>
            </w:r>
          </w:p>
        </w:tc>
        <w:tc>
          <w:tcPr>
            <w:tcW w:w="18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DC50C1">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产值</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DFBD3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总碳排放量</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ADF71">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直接碳排放量</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DDC789">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间接碳排放量</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8A236C">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万元产值碳排放量</w:t>
            </w:r>
          </w:p>
        </w:tc>
      </w:tr>
      <w:tr w14:paraId="3E35E3E7">
        <w:tblPrEx>
          <w:tblCellMar>
            <w:top w:w="0" w:type="dxa"/>
            <w:left w:w="108" w:type="dxa"/>
            <w:bottom w:w="0" w:type="dxa"/>
            <w:right w:w="108" w:type="dxa"/>
          </w:tblCellMar>
        </w:tblPrEx>
        <w:trPr>
          <w:trHeight w:val="405" w:hRule="atLeast"/>
          <w:tblHeader/>
          <w:jc w:val="center"/>
        </w:trPr>
        <w:tc>
          <w:tcPr>
            <w:tcW w:w="977" w:type="dxa"/>
            <w:vMerge w:val="continue"/>
            <w:tcBorders>
              <w:top w:val="single" w:color="000000" w:sz="8" w:space="0"/>
              <w:left w:val="single" w:color="000000" w:sz="8" w:space="0"/>
              <w:bottom w:val="single" w:color="000000" w:sz="8" w:space="0"/>
              <w:right w:val="nil"/>
            </w:tcBorders>
            <w:shd w:val="clear" w:color="auto" w:fill="auto"/>
            <w:vAlign w:val="center"/>
          </w:tcPr>
          <w:p w14:paraId="4BAB3FCC">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p>
        </w:tc>
        <w:tc>
          <w:tcPr>
            <w:tcW w:w="18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DB584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(2020年不变价)/亿元</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7C06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DAC9C1">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3725D1">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7742B6">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tCO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w:t>
            </w:r>
          </w:p>
        </w:tc>
      </w:tr>
      <w:tr w14:paraId="6582DE59">
        <w:tblPrEx>
          <w:tblCellMar>
            <w:top w:w="0" w:type="dxa"/>
            <w:left w:w="108" w:type="dxa"/>
            <w:bottom w:w="0" w:type="dxa"/>
            <w:right w:w="108" w:type="dxa"/>
          </w:tblCellMar>
        </w:tblPrEx>
        <w:trPr>
          <w:trHeight w:val="325" w:hRule="atLeast"/>
          <w:jc w:val="center"/>
        </w:trPr>
        <w:tc>
          <w:tcPr>
            <w:tcW w:w="977" w:type="dxa"/>
            <w:tcBorders>
              <w:top w:val="nil"/>
              <w:left w:val="single" w:color="000000" w:sz="8" w:space="0"/>
              <w:bottom w:val="single" w:color="000000" w:sz="8" w:space="0"/>
              <w:right w:val="nil"/>
            </w:tcBorders>
            <w:shd w:val="clear" w:color="auto" w:fill="auto"/>
            <w:vAlign w:val="center"/>
          </w:tcPr>
          <w:p w14:paraId="42AC3A1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w:t>
            </w:r>
          </w:p>
        </w:tc>
        <w:tc>
          <w:tcPr>
            <w:tcW w:w="18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0059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39.00 </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78ED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54.78 </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EADB1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44.76 </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FA7BF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10.02 </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1370A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1.40 </w:t>
            </w:r>
          </w:p>
        </w:tc>
      </w:tr>
      <w:tr w14:paraId="47EA028B">
        <w:tblPrEx>
          <w:tblCellMar>
            <w:top w:w="0" w:type="dxa"/>
            <w:left w:w="108" w:type="dxa"/>
            <w:bottom w:w="0" w:type="dxa"/>
            <w:right w:w="108" w:type="dxa"/>
          </w:tblCellMar>
        </w:tblPrEx>
        <w:trPr>
          <w:trHeight w:val="325" w:hRule="atLeast"/>
          <w:jc w:val="center"/>
        </w:trPr>
        <w:tc>
          <w:tcPr>
            <w:tcW w:w="977" w:type="dxa"/>
            <w:tcBorders>
              <w:top w:val="nil"/>
              <w:left w:val="single" w:color="000000" w:sz="8" w:space="0"/>
              <w:bottom w:val="single" w:color="000000" w:sz="8" w:space="0"/>
              <w:right w:val="nil"/>
            </w:tcBorders>
            <w:shd w:val="clear" w:color="auto" w:fill="auto"/>
            <w:vAlign w:val="center"/>
          </w:tcPr>
          <w:p w14:paraId="630035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w:t>
            </w:r>
          </w:p>
        </w:tc>
        <w:tc>
          <w:tcPr>
            <w:tcW w:w="18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25B21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23.31 </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A3D80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31.85 </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E616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25.31 </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2D848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6.54 </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77E0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1.37</w:t>
            </w:r>
          </w:p>
        </w:tc>
      </w:tr>
      <w:tr w14:paraId="728F3063">
        <w:tblPrEx>
          <w:tblCellMar>
            <w:top w:w="0" w:type="dxa"/>
            <w:left w:w="108" w:type="dxa"/>
            <w:bottom w:w="0" w:type="dxa"/>
            <w:right w:w="108" w:type="dxa"/>
          </w:tblCellMar>
        </w:tblPrEx>
        <w:trPr>
          <w:trHeight w:val="325" w:hRule="atLeast"/>
          <w:jc w:val="center"/>
        </w:trPr>
        <w:tc>
          <w:tcPr>
            <w:tcW w:w="977" w:type="dxa"/>
            <w:tcBorders>
              <w:top w:val="nil"/>
              <w:left w:val="single" w:color="000000" w:sz="8" w:space="0"/>
              <w:bottom w:val="single" w:color="000000" w:sz="8" w:space="0"/>
              <w:right w:val="nil"/>
            </w:tcBorders>
            <w:shd w:val="clear" w:color="auto" w:fill="auto"/>
            <w:vAlign w:val="center"/>
          </w:tcPr>
          <w:p w14:paraId="4B1DA5A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w:t>
            </w:r>
          </w:p>
        </w:tc>
        <w:tc>
          <w:tcPr>
            <w:tcW w:w="18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9CD80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1.10 </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2FB73B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4.70 </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EFF3F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1.25 </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8D6E8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3.45 </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4815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4.27 </w:t>
            </w:r>
          </w:p>
        </w:tc>
      </w:tr>
      <w:tr w14:paraId="154D3AE2">
        <w:tblPrEx>
          <w:tblCellMar>
            <w:top w:w="0" w:type="dxa"/>
            <w:left w:w="108" w:type="dxa"/>
            <w:bottom w:w="0" w:type="dxa"/>
            <w:right w:w="108" w:type="dxa"/>
          </w:tblCellMar>
        </w:tblPrEx>
        <w:trPr>
          <w:trHeight w:val="325" w:hRule="atLeast"/>
          <w:jc w:val="center"/>
        </w:trPr>
        <w:tc>
          <w:tcPr>
            <w:tcW w:w="977" w:type="dxa"/>
            <w:tcBorders>
              <w:top w:val="nil"/>
              <w:left w:val="single" w:color="000000" w:sz="8" w:space="0"/>
              <w:bottom w:val="single" w:color="000000" w:sz="8" w:space="0"/>
              <w:right w:val="nil"/>
            </w:tcBorders>
            <w:shd w:val="clear" w:color="auto" w:fill="auto"/>
            <w:vAlign w:val="center"/>
          </w:tcPr>
          <w:p w14:paraId="63BDE78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w:t>
            </w:r>
          </w:p>
        </w:tc>
        <w:tc>
          <w:tcPr>
            <w:tcW w:w="18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9D09A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0.61 </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6DFBD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2.09 </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E011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1.65 </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25A59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0.44 </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E0F7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3.44 </w:t>
            </w:r>
          </w:p>
        </w:tc>
      </w:tr>
      <w:tr w14:paraId="0ECDD184">
        <w:tblPrEx>
          <w:tblCellMar>
            <w:top w:w="0" w:type="dxa"/>
            <w:left w:w="108" w:type="dxa"/>
            <w:bottom w:w="0" w:type="dxa"/>
            <w:right w:w="108" w:type="dxa"/>
          </w:tblCellMar>
        </w:tblPrEx>
        <w:trPr>
          <w:trHeight w:val="325" w:hRule="atLeast"/>
          <w:jc w:val="center"/>
        </w:trPr>
        <w:tc>
          <w:tcPr>
            <w:tcW w:w="977" w:type="dxa"/>
            <w:tcBorders>
              <w:top w:val="nil"/>
              <w:left w:val="single" w:color="000000" w:sz="8" w:space="0"/>
              <w:bottom w:val="single" w:color="000000" w:sz="8" w:space="0"/>
              <w:right w:val="nil"/>
            </w:tcBorders>
            <w:shd w:val="clear" w:color="auto" w:fill="auto"/>
            <w:vAlign w:val="center"/>
          </w:tcPr>
          <w:p w14:paraId="7757D6A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w:t>
            </w:r>
          </w:p>
        </w:tc>
        <w:tc>
          <w:tcPr>
            <w:tcW w:w="18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5D348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0.33 </w:t>
            </w:r>
          </w:p>
        </w:tc>
        <w:tc>
          <w:tcPr>
            <w:tcW w:w="116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A7259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1.61 </w:t>
            </w:r>
          </w:p>
        </w:tc>
        <w:tc>
          <w:tcPr>
            <w:tcW w:w="120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9FB6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1.14 </w:t>
            </w:r>
          </w:p>
        </w:tc>
        <w:tc>
          <w:tcPr>
            <w:tcW w:w="118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059E3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0.47 </w:t>
            </w:r>
          </w:p>
        </w:tc>
        <w:tc>
          <w:tcPr>
            <w:tcW w:w="129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C5C9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4.90 </w:t>
            </w:r>
          </w:p>
        </w:tc>
      </w:tr>
    </w:tbl>
    <w:p w14:paraId="2521F80C">
      <w:pPr>
        <w:widowControl/>
        <w:spacing w:line="560" w:lineRule="exact"/>
        <w:rPr>
          <w:rFonts w:ascii="Times New Roman Regular" w:hAnsi="Times New Roman Regular" w:eastAsia="仿宋" w:cs="Times New Roman Regular"/>
          <w:b/>
          <w:bCs/>
          <w:color w:val="000000" w:themeColor="text1"/>
          <w:sz w:val="28"/>
          <w:szCs w:val="21"/>
          <w14:textFill>
            <w14:solidFill>
              <w14:schemeClr w14:val="tx1"/>
            </w14:solidFill>
          </w14:textFill>
        </w:rPr>
      </w:pPr>
    </w:p>
    <w:p w14:paraId="2205250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2021年起，由于生产装置逐步停产，大庆中蓝碳排放总量呈现下降趋势，2021年大庆中蓝碳排放总量较2020年下降42%，产值下降40%左右。到2022年，大庆中蓝生产装置大规模停产，因此碳排放总量和产值较上一年度骤降，此后至2024年，生产装置进一步停产，最终碳排放总量及产值（2020年不变价）分别下降至1.61万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、0.33亿元。2022年生产装置大规模停产后，导致万元产值碳排放较2021年和2020年上升200%左右。</w:t>
      </w:r>
    </w:p>
    <w:p w14:paraId="6D9D584E">
      <w:pPr>
        <w:widowControl/>
        <w:spacing w:line="560" w:lineRule="exact"/>
        <w:outlineLvl w:val="2"/>
        <w:rPr>
          <w:rFonts w:ascii="Times New Roman Regular" w:hAnsi="Times New Roman Regular" w:eastAsia="楷体_GB2312" w:cs="Times New Roman Regular"/>
          <w:color w:val="000000" w:themeColor="text1"/>
          <w:sz w:val="28"/>
          <w:szCs w:val="28"/>
          <w14:textFill>
            <w14:solidFill>
              <w14:schemeClr w14:val="tx1"/>
            </w14:solidFill>
          </w14:textFill>
        </w:rPr>
      </w:pPr>
      <w:r>
        <w:rPr>
          <w:rFonts w:ascii="Times New Roman Regular" w:hAnsi="Times New Roman Regular" w:eastAsia="楷体_GB2312" w:cs="Times New Roman Regular"/>
          <w:color w:val="000000" w:themeColor="text1"/>
          <w:sz w:val="28"/>
          <w:szCs w:val="28"/>
          <w14:textFill>
            <w14:solidFill>
              <w14:schemeClr w14:val="tx1"/>
            </w14:solidFill>
          </w14:textFill>
        </w:rPr>
        <w:t>2.1.</w:t>
      </w:r>
      <w:r>
        <w:rPr>
          <w:rFonts w:hint="eastAsia" w:ascii="Times New Roman Regular" w:hAnsi="Times New Roman Regular" w:eastAsia="楷体_GB2312" w:cs="Times New Roman Regular"/>
          <w:color w:val="000000" w:themeColor="text1"/>
          <w:sz w:val="28"/>
          <w:szCs w:val="28"/>
          <w14:textFill>
            <w14:solidFill>
              <w14:schemeClr w14:val="tx1"/>
            </w14:solidFill>
          </w14:textFill>
        </w:rPr>
        <w:t>2</w:t>
      </w:r>
      <w:r>
        <w:rPr>
          <w:rFonts w:ascii="Times New Roman Regular" w:hAnsi="Times New Roman Regular" w:eastAsia="楷体_GB2312" w:cs="Times New Roman Regular"/>
          <w:color w:val="000000" w:themeColor="text1"/>
          <w:sz w:val="28"/>
          <w:szCs w:val="28"/>
          <w14:textFill>
            <w14:solidFill>
              <w14:schemeClr w14:val="tx1"/>
            </w14:solidFill>
          </w14:textFill>
        </w:rPr>
        <w:t xml:space="preserve"> </w:t>
      </w:r>
      <w:r>
        <w:rPr>
          <w:rFonts w:hint="eastAsia" w:ascii="Times New Roman Regular" w:hAnsi="Times New Roman Regular" w:eastAsia="楷体_GB2312" w:cs="Times New Roman Regular"/>
          <w:color w:val="000000" w:themeColor="text1"/>
          <w:sz w:val="28"/>
          <w:szCs w:val="28"/>
          <w14:textFill>
            <w14:solidFill>
              <w14:schemeClr w14:val="tx1"/>
            </w14:solidFill>
          </w14:textFill>
        </w:rPr>
        <w:t>碳排放结构分析</w:t>
      </w:r>
    </w:p>
    <w:p w14:paraId="725EF354">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从“十四五”期间的排放结构来看，中化能源旗下五大主要石化生产企业的碳排放持续以直接排放为主，但随着能源结构和生产用能结构的变化，间接排放占比出现了明显提升，并在2021年之后趋于稳定。</w:t>
      </w:r>
    </w:p>
    <w:p w14:paraId="03A3E1BB">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2020年，直接排放为923.81万吨CO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2e</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，占总排放的84.02%，间接排放仅占15.98%。这一年体现了传统炼化行业以燃料燃烧和工艺过程排放为主的排放特征。</w:t>
      </w:r>
    </w:p>
    <w:p w14:paraId="7D24BF3B">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2021年，总排放上升至1535.24万吨，其中间接排放增长显著，达到473.89万吨，占比升至30.87%。这一年是能源消费结构转型的拐点，电力和热力需求增加，推动了间接排放占比快速上升。</w:t>
      </w:r>
    </w:p>
    <w:p w14:paraId="4BA0561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2022–2024年，间接排放占比在28–31%之间波动，基本稳定在30%上下。这说明“十四五”后期企业的用电、用热模式已基本定型，虽然绝对排放量略有下降，但结构比例保持相对平衡。</w:t>
      </w:r>
    </w:p>
    <w:p w14:paraId="76C928F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十四五”期间，中化能源五大主要生产企业的直接碳排放来源可以分为三大类：化石燃料燃烧、火炬燃烧和工业生产过程排放。总体来看，化石燃料燃烧是最主要的直接排放来源，占比在70–78%之间波动；工业生产过程排放次之，占比大致在20–27%；火炬燃烧排放量最小，占比不足1–1.5%。</w:t>
      </w:r>
    </w:p>
    <w:p w14:paraId="1F90F0B0">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p>
    <w:p w14:paraId="4CDD84D5">
      <w:pPr>
        <w:widowControl/>
        <w:jc w:val="cente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w:t>
      </w:r>
      <w:r>
        <w:rPr>
          <w:rFonts w:hint="eastAsia" w:ascii="Times New Roman Regular" w:hAnsi="Times New Roman Regular" w:eastAsia="黑体" w:cs="Times New Roman Regular"/>
          <w:color w:val="000000" w:themeColor="text1"/>
          <w:sz w:val="20"/>
          <w:szCs w:val="20"/>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中化能源碳排放结构</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5"/>
        <w:gridCol w:w="1065"/>
        <w:gridCol w:w="1065"/>
        <w:gridCol w:w="1065"/>
        <w:gridCol w:w="1065"/>
        <w:gridCol w:w="1065"/>
        <w:gridCol w:w="1066"/>
        <w:gridCol w:w="1066"/>
      </w:tblGrid>
      <w:tr w14:paraId="6A51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05F6306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年份</w:t>
            </w:r>
          </w:p>
        </w:tc>
        <w:tc>
          <w:tcPr>
            <w:tcW w:w="1065" w:type="dxa"/>
            <w:vAlign w:val="center"/>
          </w:tcPr>
          <w:p w14:paraId="592086D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总排放</w:t>
            </w:r>
          </w:p>
        </w:tc>
        <w:tc>
          <w:tcPr>
            <w:tcW w:w="1065" w:type="dxa"/>
            <w:vAlign w:val="center"/>
          </w:tcPr>
          <w:p w14:paraId="5903848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化石燃料燃烧排放</w:t>
            </w:r>
          </w:p>
        </w:tc>
        <w:tc>
          <w:tcPr>
            <w:tcW w:w="1065" w:type="dxa"/>
            <w:vAlign w:val="center"/>
          </w:tcPr>
          <w:p w14:paraId="756EDBC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火炬燃烧排放</w:t>
            </w:r>
          </w:p>
        </w:tc>
        <w:tc>
          <w:tcPr>
            <w:tcW w:w="1065" w:type="dxa"/>
            <w:vAlign w:val="center"/>
          </w:tcPr>
          <w:p w14:paraId="226A901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工业生产过程排放</w:t>
            </w:r>
          </w:p>
        </w:tc>
        <w:tc>
          <w:tcPr>
            <w:tcW w:w="1065" w:type="dxa"/>
            <w:vAlign w:val="center"/>
          </w:tcPr>
          <w:p w14:paraId="42A0680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二氧化碳回收利用</w:t>
            </w:r>
          </w:p>
        </w:tc>
        <w:tc>
          <w:tcPr>
            <w:tcW w:w="1066" w:type="dxa"/>
            <w:vAlign w:val="center"/>
          </w:tcPr>
          <w:p w14:paraId="7AB05CF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净购入电力排放</w:t>
            </w:r>
          </w:p>
        </w:tc>
        <w:tc>
          <w:tcPr>
            <w:tcW w:w="1066" w:type="dxa"/>
            <w:vAlign w:val="center"/>
          </w:tcPr>
          <w:p w14:paraId="28288A4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净购入热力排放</w:t>
            </w:r>
          </w:p>
        </w:tc>
      </w:tr>
      <w:tr w14:paraId="39344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191EF2C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w:t>
            </w:r>
          </w:p>
        </w:tc>
        <w:tc>
          <w:tcPr>
            <w:tcW w:w="1065" w:type="dxa"/>
            <w:vAlign w:val="center"/>
          </w:tcPr>
          <w:p w14:paraId="748993F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1113.09</w:t>
            </w:r>
          </w:p>
        </w:tc>
        <w:tc>
          <w:tcPr>
            <w:tcW w:w="1065" w:type="dxa"/>
            <w:vAlign w:val="center"/>
          </w:tcPr>
          <w:p w14:paraId="28982E0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670.58</w:t>
            </w:r>
          </w:p>
        </w:tc>
        <w:tc>
          <w:tcPr>
            <w:tcW w:w="1065" w:type="dxa"/>
            <w:vAlign w:val="center"/>
          </w:tcPr>
          <w:p w14:paraId="58E9728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8.91</w:t>
            </w:r>
          </w:p>
        </w:tc>
        <w:tc>
          <w:tcPr>
            <w:tcW w:w="1065" w:type="dxa"/>
            <w:vAlign w:val="center"/>
          </w:tcPr>
          <w:p w14:paraId="7838231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249.16</w:t>
            </w:r>
          </w:p>
        </w:tc>
        <w:tc>
          <w:tcPr>
            <w:tcW w:w="1065" w:type="dxa"/>
            <w:vAlign w:val="center"/>
          </w:tcPr>
          <w:p w14:paraId="2542F75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1066" w:type="dxa"/>
            <w:vAlign w:val="center"/>
          </w:tcPr>
          <w:p w14:paraId="29F0E58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200.79</w:t>
            </w:r>
          </w:p>
        </w:tc>
        <w:tc>
          <w:tcPr>
            <w:tcW w:w="1066" w:type="dxa"/>
            <w:vAlign w:val="center"/>
          </w:tcPr>
          <w:p w14:paraId="303BC4C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-13.35</w:t>
            </w:r>
          </w:p>
        </w:tc>
      </w:tr>
      <w:tr w14:paraId="7FFBF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4BD3268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w:t>
            </w:r>
          </w:p>
        </w:tc>
        <w:tc>
          <w:tcPr>
            <w:tcW w:w="1065" w:type="dxa"/>
            <w:vAlign w:val="center"/>
          </w:tcPr>
          <w:p w14:paraId="2874BAD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1540.25</w:t>
            </w:r>
          </w:p>
        </w:tc>
        <w:tc>
          <w:tcPr>
            <w:tcW w:w="1065" w:type="dxa"/>
            <w:vAlign w:val="center"/>
          </w:tcPr>
          <w:p w14:paraId="5BCDBA0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828.19</w:t>
            </w:r>
          </w:p>
        </w:tc>
        <w:tc>
          <w:tcPr>
            <w:tcW w:w="1065" w:type="dxa"/>
            <w:vAlign w:val="center"/>
          </w:tcPr>
          <w:p w14:paraId="6CA3508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16.07</w:t>
            </w:r>
          </w:p>
        </w:tc>
        <w:tc>
          <w:tcPr>
            <w:tcW w:w="1065" w:type="dxa"/>
            <w:vAlign w:val="center"/>
          </w:tcPr>
          <w:p w14:paraId="11D94D8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218.90</w:t>
            </w:r>
          </w:p>
        </w:tc>
        <w:tc>
          <w:tcPr>
            <w:tcW w:w="1065" w:type="dxa"/>
            <w:vAlign w:val="center"/>
          </w:tcPr>
          <w:p w14:paraId="723A299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1066" w:type="dxa"/>
            <w:vAlign w:val="center"/>
          </w:tcPr>
          <w:p w14:paraId="5ECB2AC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266.66</w:t>
            </w:r>
          </w:p>
        </w:tc>
        <w:tc>
          <w:tcPr>
            <w:tcW w:w="1066" w:type="dxa"/>
            <w:vAlign w:val="center"/>
          </w:tcPr>
          <w:p w14:paraId="48494E4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210.42</w:t>
            </w:r>
          </w:p>
        </w:tc>
      </w:tr>
      <w:tr w14:paraId="2E0E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13AB61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w:t>
            </w:r>
          </w:p>
        </w:tc>
        <w:tc>
          <w:tcPr>
            <w:tcW w:w="1065" w:type="dxa"/>
            <w:vAlign w:val="center"/>
          </w:tcPr>
          <w:p w14:paraId="68A2EC9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1298.37</w:t>
            </w:r>
          </w:p>
        </w:tc>
        <w:tc>
          <w:tcPr>
            <w:tcW w:w="1065" w:type="dxa"/>
            <w:vAlign w:val="center"/>
          </w:tcPr>
          <w:p w14:paraId="67C2F5F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681.78</w:t>
            </w:r>
          </w:p>
        </w:tc>
        <w:tc>
          <w:tcPr>
            <w:tcW w:w="1065" w:type="dxa"/>
            <w:vAlign w:val="center"/>
          </w:tcPr>
          <w:p w14:paraId="0A9D7AA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8.39</w:t>
            </w:r>
          </w:p>
        </w:tc>
        <w:tc>
          <w:tcPr>
            <w:tcW w:w="1065" w:type="dxa"/>
            <w:vAlign w:val="center"/>
          </w:tcPr>
          <w:p w14:paraId="55CEC36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209.02</w:t>
            </w:r>
          </w:p>
        </w:tc>
        <w:tc>
          <w:tcPr>
            <w:tcW w:w="1065" w:type="dxa"/>
            <w:vAlign w:val="center"/>
          </w:tcPr>
          <w:p w14:paraId="1DAE76C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1066" w:type="dxa"/>
            <w:vAlign w:val="center"/>
          </w:tcPr>
          <w:p w14:paraId="275C797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228.05</w:t>
            </w:r>
          </w:p>
        </w:tc>
        <w:tc>
          <w:tcPr>
            <w:tcW w:w="1066" w:type="dxa"/>
            <w:vAlign w:val="center"/>
          </w:tcPr>
          <w:p w14:paraId="7BEF8E7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171.13</w:t>
            </w:r>
          </w:p>
        </w:tc>
      </w:tr>
      <w:tr w14:paraId="231A4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530B34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w:t>
            </w:r>
          </w:p>
        </w:tc>
        <w:tc>
          <w:tcPr>
            <w:tcW w:w="1065" w:type="dxa"/>
            <w:vAlign w:val="center"/>
          </w:tcPr>
          <w:p w14:paraId="679A5D9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1321.82</w:t>
            </w:r>
          </w:p>
        </w:tc>
        <w:tc>
          <w:tcPr>
            <w:tcW w:w="1065" w:type="dxa"/>
            <w:vAlign w:val="center"/>
          </w:tcPr>
          <w:p w14:paraId="72C2B40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697.17</w:t>
            </w:r>
          </w:p>
        </w:tc>
        <w:tc>
          <w:tcPr>
            <w:tcW w:w="1065" w:type="dxa"/>
            <w:vAlign w:val="center"/>
          </w:tcPr>
          <w:p w14:paraId="0547D4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6.48</w:t>
            </w:r>
          </w:p>
        </w:tc>
        <w:tc>
          <w:tcPr>
            <w:tcW w:w="1065" w:type="dxa"/>
            <w:vAlign w:val="center"/>
          </w:tcPr>
          <w:p w14:paraId="59D9855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238.74</w:t>
            </w:r>
          </w:p>
        </w:tc>
        <w:tc>
          <w:tcPr>
            <w:tcW w:w="1065" w:type="dxa"/>
            <w:vAlign w:val="center"/>
          </w:tcPr>
          <w:p w14:paraId="632F1C2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1066" w:type="dxa"/>
            <w:vAlign w:val="center"/>
          </w:tcPr>
          <w:p w14:paraId="281F149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228.15</w:t>
            </w:r>
          </w:p>
        </w:tc>
        <w:tc>
          <w:tcPr>
            <w:tcW w:w="1066" w:type="dxa"/>
            <w:vAlign w:val="center"/>
          </w:tcPr>
          <w:p w14:paraId="23DF183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149.87</w:t>
            </w:r>
          </w:p>
        </w:tc>
      </w:tr>
      <w:tr w14:paraId="21D81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5" w:type="dxa"/>
            <w:vAlign w:val="center"/>
          </w:tcPr>
          <w:p w14:paraId="4FA9BE3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w:t>
            </w:r>
          </w:p>
        </w:tc>
        <w:tc>
          <w:tcPr>
            <w:tcW w:w="1065" w:type="dxa"/>
            <w:vAlign w:val="center"/>
          </w:tcPr>
          <w:p w14:paraId="432F6B7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1184.57</w:t>
            </w:r>
          </w:p>
        </w:tc>
        <w:tc>
          <w:tcPr>
            <w:tcW w:w="1065" w:type="dxa"/>
            <w:vAlign w:val="center"/>
          </w:tcPr>
          <w:p w14:paraId="2F3F918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609.11</w:t>
            </w:r>
          </w:p>
        </w:tc>
        <w:tc>
          <w:tcPr>
            <w:tcW w:w="1065" w:type="dxa"/>
            <w:vAlign w:val="center"/>
          </w:tcPr>
          <w:p w14:paraId="7594CDA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3.05</w:t>
            </w:r>
          </w:p>
        </w:tc>
        <w:tc>
          <w:tcPr>
            <w:tcW w:w="1065" w:type="dxa"/>
            <w:vAlign w:val="center"/>
          </w:tcPr>
          <w:p w14:paraId="0EBE3A4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220.31</w:t>
            </w:r>
          </w:p>
        </w:tc>
        <w:tc>
          <w:tcPr>
            <w:tcW w:w="1065" w:type="dxa"/>
            <w:vAlign w:val="center"/>
          </w:tcPr>
          <w:p w14:paraId="3633B1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1066" w:type="dxa"/>
            <w:vAlign w:val="center"/>
          </w:tcPr>
          <w:p w14:paraId="2E09ED7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214.04</w:t>
            </w:r>
          </w:p>
        </w:tc>
        <w:tc>
          <w:tcPr>
            <w:tcW w:w="1066" w:type="dxa"/>
            <w:vAlign w:val="center"/>
          </w:tcPr>
          <w:p w14:paraId="7BD718A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136.58</w:t>
            </w:r>
          </w:p>
        </w:tc>
      </w:tr>
    </w:tbl>
    <w:p w14:paraId="2B3BEE6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762235FD">
      <w:pPr>
        <w:widowControl/>
        <w:spacing w:line="560" w:lineRule="exact"/>
        <w:outlineLvl w:val="2"/>
        <w:rPr>
          <w:rFonts w:ascii="Times New Roman Regular" w:hAnsi="Times New Roman Regular" w:eastAsia="楷体_GB2312" w:cs="Times New Roman Regular"/>
          <w:color w:val="000000" w:themeColor="text1"/>
          <w:sz w:val="28"/>
          <w:szCs w:val="28"/>
          <w14:textFill>
            <w14:solidFill>
              <w14:schemeClr w14:val="tx1"/>
            </w14:solidFill>
          </w14:textFill>
        </w:rPr>
      </w:pPr>
      <w:r>
        <w:rPr>
          <w:rFonts w:ascii="Times New Roman Regular" w:hAnsi="Times New Roman Regular" w:eastAsia="楷体_GB2312" w:cs="Times New Roman Regular"/>
          <w:color w:val="000000" w:themeColor="text1"/>
          <w:sz w:val="28"/>
          <w:szCs w:val="28"/>
          <w14:textFill>
            <w14:solidFill>
              <w14:schemeClr w14:val="tx1"/>
            </w14:solidFill>
          </w14:textFill>
        </w:rPr>
        <w:t>2.1.</w:t>
      </w:r>
      <w:r>
        <w:rPr>
          <w:rFonts w:hint="eastAsia" w:ascii="Times New Roman Regular" w:hAnsi="Times New Roman Regular" w:eastAsia="楷体_GB2312" w:cs="Times New Roman Regular"/>
          <w:color w:val="000000" w:themeColor="text1"/>
          <w:sz w:val="28"/>
          <w:szCs w:val="28"/>
          <w14:textFill>
            <w14:solidFill>
              <w14:schemeClr w14:val="tx1"/>
            </w14:solidFill>
          </w14:textFill>
        </w:rPr>
        <w:t>3</w:t>
      </w:r>
      <w:r>
        <w:rPr>
          <w:rFonts w:ascii="Times New Roman Regular" w:hAnsi="Times New Roman Regular" w:eastAsia="楷体_GB2312" w:cs="Times New Roman Regular"/>
          <w:color w:val="000000" w:themeColor="text1"/>
          <w:sz w:val="28"/>
          <w:szCs w:val="28"/>
          <w14:textFill>
            <w14:solidFill>
              <w14:schemeClr w14:val="tx1"/>
            </w14:solidFill>
          </w14:textFill>
        </w:rPr>
        <w:t xml:space="preserve"> 能耗总量、强度及趋势分析</w:t>
      </w:r>
    </w:p>
    <w:p w14:paraId="25D0229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1、中化能源整体</w:t>
      </w:r>
    </w:p>
    <w:p w14:paraId="49FFC6BB">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根据表2-1分析可得：</w:t>
      </w:r>
    </w:p>
    <w:p w14:paraId="2C053E8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从能耗总量来看，“十四五”期间，中化能源的能耗总量整体呈现增长的趋势，自2021年增长达到峰值后，基本稳定1100万吨标煤附近。2021年能耗总量较上一年度呈现较大增长波动，增长128.42%，主要由泉州基地产量增加引起的，东营基地能源消费总量与2020年基本持平。2024年能耗总量略有下降，泉化基地自2021年后能耗总量较为稳定，下降的主要因为东营基地、大庆中蓝的业务调整、装置停产造成的。能耗总量变化趋势与碳排放总量趋势基本一致。</w:t>
      </w:r>
    </w:p>
    <w:p w14:paraId="473F36D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2）从单位产值能耗强度来看，“十四五”期间，中化能源工业产值（可比价）的趋势与碳排放总量和能耗总量趋势基本一致。万元产值能耗强度（可比价）逐年上升，其中2021年</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2023年稳定在1.0tce/万元，2024年单位产值能耗强度提升，2024年较2020年的增长达到174%，主要是由于大庆中蓝和东营基地等装置停产等因素导致的。</w:t>
      </w:r>
    </w:p>
    <w:p w14:paraId="63DE7C20">
      <w:pPr>
        <w:widowControl/>
        <w:spacing w:line="560" w:lineRule="exact"/>
        <w:rPr>
          <w:rFonts w:ascii="Times New Roman Regular" w:hAnsi="Times New Roman Regular" w:eastAsia="楷体" w:cs="Times New Roman Regular"/>
          <w:color w:val="000000" w:themeColor="text1"/>
          <w:kern w:val="0"/>
          <w:sz w:val="28"/>
          <w:szCs w:val="28"/>
          <w:lang w:bidi="ar"/>
          <w14:textFill>
            <w14:solidFill>
              <w14:schemeClr w14:val="tx1"/>
            </w14:solidFill>
          </w14:textFill>
        </w:rPr>
      </w:pPr>
    </w:p>
    <w:p w14:paraId="674D4819">
      <w:pPr>
        <w:widowControl/>
        <w:rPr>
          <w:rFonts w:ascii="Times New Roman Regular" w:hAnsi="Times New Roman Regular" w:cs="Times New Roman Regular"/>
          <w:color w:val="000000" w:themeColor="text1"/>
          <w14:textFill>
            <w14:solidFill>
              <w14:schemeClr w14:val="tx1"/>
            </w14:solidFill>
          </w14:textFill>
        </w:rPr>
      </w:pPr>
      <w:r>
        <w:rPr>
          <w:rFonts w:ascii="Times New Roman Regular" w:hAnsi="Times New Roman Regular" w:cs="Times New Roman Regular"/>
          <w:color w:val="000000" w:themeColor="text1"/>
          <w14:textFill>
            <w14:solidFill>
              <w14:schemeClr w14:val="tx1"/>
            </w14:solidFill>
          </w14:textFill>
        </w:rPr>
        <w:drawing>
          <wp:inline distT="0" distB="0" distL="114300" distR="114300">
            <wp:extent cx="4713605" cy="3028950"/>
            <wp:effectExtent l="6350" t="6350" r="29845" b="12700"/>
            <wp:docPr id="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500F784">
      <w:pPr>
        <w:jc w:val="center"/>
        <w:rPr>
          <w:rFonts w:ascii="Times New Roman Regular" w:hAnsi="Times New Roman Regular" w:eastAsia="黑体" w:cs="Times New Roman Regular"/>
          <w:color w:val="000000" w:themeColor="text1"/>
          <w:sz w:val="20"/>
          <w:szCs w:val="21"/>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图2-3</w:t>
      </w:r>
      <w:r>
        <w:rPr>
          <w:rFonts w:ascii="Times New Roman Regular" w:hAnsi="Times New Roman Regular" w:eastAsia="黑体" w:cs="Times New Roman Regular"/>
          <w:color w:val="000000" w:themeColor="text1"/>
          <w:sz w:val="20"/>
          <w:szCs w:val="21"/>
          <w14:textFill>
            <w14:solidFill>
              <w14:schemeClr w14:val="tx1"/>
            </w14:solidFill>
          </w14:textFill>
        </w:rPr>
        <w:t>中化能源能耗总量及单位产值能耗强度</w:t>
      </w:r>
    </w:p>
    <w:p w14:paraId="7CDF4039">
      <w:pPr>
        <w:rPr>
          <w:rFonts w:ascii="Times New Roman Regular" w:hAnsi="Times New Roman Regular" w:eastAsia="黑体" w:cs="Times New Roman Regular"/>
          <w:color w:val="000000" w:themeColor="text1"/>
          <w:sz w:val="20"/>
          <w:szCs w:val="21"/>
          <w14:textFill>
            <w14:solidFill>
              <w14:schemeClr w14:val="tx1"/>
            </w14:solidFill>
          </w14:textFill>
        </w:rPr>
      </w:pPr>
    </w:p>
    <w:p w14:paraId="65B6078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2、泉州基地</w:t>
      </w:r>
    </w:p>
    <w:p w14:paraId="4A47184B">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泉州基地近五年的能耗总量和万元产值能耗强度波动较大。随着泉州石化公司2021年100万吨/年的乙烯项目、80万吨/年的PX正式投产，泉州园区110MW发电机组作为泉州石化的配套项目2021年正式投入使用，综合作用之下，造成泉州基地2021年的能源消耗总体呈较快的增长态势。2021年至2024年，随着生产步入正轨，能耗总量无较大的变化波动，稳定在1000吨标煤/年的状态。能耗总量与碳排放总量变化趋势基本一致。</w:t>
      </w:r>
    </w:p>
    <w:p w14:paraId="2F81339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6B0E2FF1">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表2-6 泉州基地近五年能耗及强度</w:t>
      </w:r>
    </w:p>
    <w:tbl>
      <w:tblPr>
        <w:tblStyle w:val="16"/>
        <w:tblW w:w="7419" w:type="dxa"/>
        <w:jc w:val="center"/>
        <w:tblLayout w:type="autofit"/>
        <w:tblCellMar>
          <w:top w:w="0" w:type="dxa"/>
          <w:left w:w="108" w:type="dxa"/>
          <w:bottom w:w="0" w:type="dxa"/>
          <w:right w:w="108" w:type="dxa"/>
        </w:tblCellMar>
      </w:tblPr>
      <w:tblGrid>
        <w:gridCol w:w="1221"/>
        <w:gridCol w:w="2719"/>
        <w:gridCol w:w="1740"/>
        <w:gridCol w:w="1739"/>
      </w:tblGrid>
      <w:tr w14:paraId="26AAF4C6">
        <w:tblPrEx>
          <w:tblCellMar>
            <w:top w:w="0" w:type="dxa"/>
            <w:left w:w="108" w:type="dxa"/>
            <w:bottom w:w="0" w:type="dxa"/>
            <w:right w:w="108" w:type="dxa"/>
          </w:tblCellMar>
        </w:tblPrEx>
        <w:trPr>
          <w:trHeight w:val="495" w:hRule="atLeast"/>
          <w:jc w:val="center"/>
        </w:trPr>
        <w:tc>
          <w:tcPr>
            <w:tcW w:w="1221" w:type="dxa"/>
            <w:vMerge w:val="restart"/>
            <w:tcBorders>
              <w:top w:val="single" w:color="000000" w:sz="8" w:space="0"/>
              <w:left w:val="single" w:color="000000" w:sz="8" w:space="0"/>
              <w:bottom w:val="single" w:color="000000" w:sz="8" w:space="0"/>
              <w:right w:val="nil"/>
            </w:tcBorders>
            <w:shd w:val="clear" w:color="auto" w:fill="auto"/>
            <w:vAlign w:val="center"/>
          </w:tcPr>
          <w:p w14:paraId="3831D0D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年份</w:t>
            </w:r>
          </w:p>
        </w:tc>
        <w:tc>
          <w:tcPr>
            <w:tcW w:w="2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56496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产值</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093FE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能耗总量</w:t>
            </w:r>
          </w:p>
        </w:tc>
        <w:tc>
          <w:tcPr>
            <w:tcW w:w="17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51D0D6">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万元产值能耗</w:t>
            </w:r>
          </w:p>
        </w:tc>
      </w:tr>
      <w:tr w14:paraId="0FE16576">
        <w:tblPrEx>
          <w:tblCellMar>
            <w:top w:w="0" w:type="dxa"/>
            <w:left w:w="108" w:type="dxa"/>
            <w:bottom w:w="0" w:type="dxa"/>
            <w:right w:w="108" w:type="dxa"/>
          </w:tblCellMar>
        </w:tblPrEx>
        <w:trPr>
          <w:trHeight w:val="405" w:hRule="atLeast"/>
          <w:jc w:val="center"/>
        </w:trPr>
        <w:tc>
          <w:tcPr>
            <w:tcW w:w="1221" w:type="dxa"/>
            <w:vMerge w:val="continue"/>
            <w:tcBorders>
              <w:top w:val="single" w:color="000000" w:sz="8" w:space="0"/>
              <w:left w:val="single" w:color="000000" w:sz="8" w:space="0"/>
              <w:bottom w:val="single" w:color="000000" w:sz="8" w:space="0"/>
              <w:right w:val="nil"/>
            </w:tcBorders>
            <w:shd w:val="clear" w:color="auto" w:fill="auto"/>
            <w:vAlign w:val="center"/>
          </w:tcPr>
          <w:p w14:paraId="66287824">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p>
        </w:tc>
        <w:tc>
          <w:tcPr>
            <w:tcW w:w="2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B97303">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(2020年不变价)/亿元</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292D11">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万吨标煤</w:t>
            </w:r>
          </w:p>
        </w:tc>
        <w:tc>
          <w:tcPr>
            <w:tcW w:w="17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DE263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tce/万元</w:t>
            </w:r>
          </w:p>
        </w:tc>
      </w:tr>
      <w:tr w14:paraId="06BCD3BE">
        <w:tblPrEx>
          <w:tblCellMar>
            <w:top w:w="0" w:type="dxa"/>
            <w:left w:w="108" w:type="dxa"/>
            <w:bottom w:w="0" w:type="dxa"/>
            <w:right w:w="108" w:type="dxa"/>
          </w:tblCellMar>
        </w:tblPrEx>
        <w:trPr>
          <w:trHeight w:val="325" w:hRule="atLeast"/>
          <w:jc w:val="center"/>
        </w:trPr>
        <w:tc>
          <w:tcPr>
            <w:tcW w:w="1221" w:type="dxa"/>
            <w:tcBorders>
              <w:top w:val="nil"/>
              <w:left w:val="single" w:color="000000" w:sz="8" w:space="0"/>
              <w:bottom w:val="single" w:color="000000" w:sz="8" w:space="0"/>
              <w:right w:val="nil"/>
            </w:tcBorders>
            <w:shd w:val="clear" w:color="auto" w:fill="auto"/>
            <w:vAlign w:val="center"/>
          </w:tcPr>
          <w:p w14:paraId="4F4CC46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w:t>
            </w:r>
          </w:p>
        </w:tc>
        <w:tc>
          <w:tcPr>
            <w:tcW w:w="2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7AEEC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506.00 </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B6306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304.09 </w:t>
            </w:r>
          </w:p>
        </w:tc>
        <w:tc>
          <w:tcPr>
            <w:tcW w:w="17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E78CA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0.60 </w:t>
            </w:r>
          </w:p>
        </w:tc>
      </w:tr>
      <w:tr w14:paraId="14EEC278">
        <w:tblPrEx>
          <w:tblCellMar>
            <w:top w:w="0" w:type="dxa"/>
            <w:left w:w="108" w:type="dxa"/>
            <w:bottom w:w="0" w:type="dxa"/>
            <w:right w:w="108" w:type="dxa"/>
          </w:tblCellMar>
        </w:tblPrEx>
        <w:trPr>
          <w:trHeight w:val="325" w:hRule="atLeast"/>
          <w:jc w:val="center"/>
        </w:trPr>
        <w:tc>
          <w:tcPr>
            <w:tcW w:w="1221" w:type="dxa"/>
            <w:tcBorders>
              <w:top w:val="nil"/>
              <w:left w:val="single" w:color="000000" w:sz="8" w:space="0"/>
              <w:bottom w:val="single" w:color="000000" w:sz="8" w:space="0"/>
              <w:right w:val="nil"/>
            </w:tcBorders>
            <w:shd w:val="clear" w:color="auto" w:fill="auto"/>
            <w:vAlign w:val="center"/>
          </w:tcPr>
          <w:p w14:paraId="4EB2F17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w:t>
            </w:r>
          </w:p>
        </w:tc>
        <w:tc>
          <w:tcPr>
            <w:tcW w:w="2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299C1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585.80 </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1D8E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1015.34 </w:t>
            </w:r>
          </w:p>
        </w:tc>
        <w:tc>
          <w:tcPr>
            <w:tcW w:w="17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6EADF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1.73 </w:t>
            </w:r>
          </w:p>
        </w:tc>
      </w:tr>
      <w:tr w14:paraId="41F21E18">
        <w:tblPrEx>
          <w:tblCellMar>
            <w:top w:w="0" w:type="dxa"/>
            <w:left w:w="108" w:type="dxa"/>
            <w:bottom w:w="0" w:type="dxa"/>
            <w:right w:w="108" w:type="dxa"/>
          </w:tblCellMar>
        </w:tblPrEx>
        <w:trPr>
          <w:trHeight w:val="325" w:hRule="atLeast"/>
          <w:jc w:val="center"/>
        </w:trPr>
        <w:tc>
          <w:tcPr>
            <w:tcW w:w="1221" w:type="dxa"/>
            <w:tcBorders>
              <w:top w:val="nil"/>
              <w:left w:val="single" w:color="000000" w:sz="8" w:space="0"/>
              <w:bottom w:val="single" w:color="000000" w:sz="8" w:space="0"/>
              <w:right w:val="nil"/>
            </w:tcBorders>
            <w:shd w:val="clear" w:color="auto" w:fill="auto"/>
            <w:vAlign w:val="center"/>
          </w:tcPr>
          <w:p w14:paraId="36DE64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w:t>
            </w:r>
          </w:p>
        </w:tc>
        <w:tc>
          <w:tcPr>
            <w:tcW w:w="2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316CE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560.41 </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67CCB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945.73 </w:t>
            </w:r>
          </w:p>
        </w:tc>
        <w:tc>
          <w:tcPr>
            <w:tcW w:w="17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509E6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1.69 </w:t>
            </w:r>
          </w:p>
        </w:tc>
      </w:tr>
      <w:tr w14:paraId="33C86DF9">
        <w:tblPrEx>
          <w:tblCellMar>
            <w:top w:w="0" w:type="dxa"/>
            <w:left w:w="108" w:type="dxa"/>
            <w:bottom w:w="0" w:type="dxa"/>
            <w:right w:w="108" w:type="dxa"/>
          </w:tblCellMar>
        </w:tblPrEx>
        <w:trPr>
          <w:trHeight w:val="325" w:hRule="atLeast"/>
          <w:jc w:val="center"/>
        </w:trPr>
        <w:tc>
          <w:tcPr>
            <w:tcW w:w="1221" w:type="dxa"/>
            <w:tcBorders>
              <w:top w:val="nil"/>
              <w:left w:val="single" w:color="000000" w:sz="8" w:space="0"/>
              <w:bottom w:val="single" w:color="000000" w:sz="8" w:space="0"/>
              <w:right w:val="nil"/>
            </w:tcBorders>
            <w:shd w:val="clear" w:color="auto" w:fill="auto"/>
            <w:vAlign w:val="center"/>
          </w:tcPr>
          <w:p w14:paraId="6EC1379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w:t>
            </w:r>
          </w:p>
        </w:tc>
        <w:tc>
          <w:tcPr>
            <w:tcW w:w="2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1679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613.41 </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FF4A9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992.92 </w:t>
            </w:r>
          </w:p>
        </w:tc>
        <w:tc>
          <w:tcPr>
            <w:tcW w:w="17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0886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1.62 </w:t>
            </w:r>
          </w:p>
        </w:tc>
      </w:tr>
      <w:tr w14:paraId="50E1EC60">
        <w:tblPrEx>
          <w:tblCellMar>
            <w:top w:w="0" w:type="dxa"/>
            <w:left w:w="108" w:type="dxa"/>
            <w:bottom w:w="0" w:type="dxa"/>
            <w:right w:w="108" w:type="dxa"/>
          </w:tblCellMar>
        </w:tblPrEx>
        <w:trPr>
          <w:trHeight w:val="325" w:hRule="atLeast"/>
          <w:jc w:val="center"/>
        </w:trPr>
        <w:tc>
          <w:tcPr>
            <w:tcW w:w="1221" w:type="dxa"/>
            <w:tcBorders>
              <w:top w:val="nil"/>
              <w:left w:val="single" w:color="000000" w:sz="8" w:space="0"/>
              <w:bottom w:val="single" w:color="000000" w:sz="8" w:space="0"/>
              <w:right w:val="nil"/>
            </w:tcBorders>
            <w:shd w:val="clear" w:color="auto" w:fill="auto"/>
            <w:vAlign w:val="center"/>
          </w:tcPr>
          <w:p w14:paraId="5F15626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w:t>
            </w:r>
          </w:p>
        </w:tc>
        <w:tc>
          <w:tcPr>
            <w:tcW w:w="271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4AFA9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550.75 </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03501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982.11 </w:t>
            </w:r>
          </w:p>
        </w:tc>
        <w:tc>
          <w:tcPr>
            <w:tcW w:w="1739"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3ECBE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1.78 </w:t>
            </w:r>
          </w:p>
        </w:tc>
      </w:tr>
    </w:tbl>
    <w:p w14:paraId="5BA3C319">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2020年泉化基地的单位产值能耗强度仅为0.6 tce/万元。2021年，泉州园区110MW发电机组作为泉州石化的配套项目正式投入使用，产品产量代替外购电和热，发电机组耗能较大；同时动力中心热电联产项目投入运行，2021年泉州基地供电量较上年增加41.48万MWh，供热量较上年增加2057.92万GJ；因此泉州基地总耗能增加，在产值未发生较大变化的基础上，能耗总量提升导致万元产值能耗增长比重较大（2021年较2022年增长188%）。此后几年，随着生产步入正轨，万元产值能耗强度稳定在1.7 tce/万元。</w:t>
      </w:r>
    </w:p>
    <w:p w14:paraId="7A5F7A22">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3、东营基地</w:t>
      </w:r>
    </w:p>
    <w:p w14:paraId="10A1F49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2020年</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2023年，东营基地的生产较为稳定，产值和能耗总量均无较大波动。2021年随着原油加工量的上升，产值呈现短高峰，但能耗总量却较2020年有所下降，主要是因为节能降耗项目的投入实施，同时也造成2021年万元产值能耗强度低于其余年份。</w:t>
      </w:r>
    </w:p>
    <w:p w14:paraId="1EA01DF4">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2024年东营基地三家企业受装置低负荷、检修及破产清算等影响，产值和能耗总量均较前几年度发生较大的下降，其中产值较2023年度下降53%，能耗总量较2023年度下降44%。</w:t>
      </w:r>
    </w:p>
    <w:p w14:paraId="5AC37C9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1AA63FDC">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表2-7 东营基地近五年能耗及强度</w:t>
      </w:r>
    </w:p>
    <w:tbl>
      <w:tblPr>
        <w:tblStyle w:val="16"/>
        <w:tblW w:w="7048" w:type="dxa"/>
        <w:jc w:val="center"/>
        <w:tblLayout w:type="autofit"/>
        <w:tblCellMar>
          <w:top w:w="0" w:type="dxa"/>
          <w:left w:w="108" w:type="dxa"/>
          <w:bottom w:w="0" w:type="dxa"/>
          <w:right w:w="108" w:type="dxa"/>
        </w:tblCellMar>
      </w:tblPr>
      <w:tblGrid>
        <w:gridCol w:w="1217"/>
        <w:gridCol w:w="2624"/>
        <w:gridCol w:w="1457"/>
        <w:gridCol w:w="1750"/>
      </w:tblGrid>
      <w:tr w14:paraId="5A5D842B">
        <w:tblPrEx>
          <w:tblCellMar>
            <w:top w:w="0" w:type="dxa"/>
            <w:left w:w="108" w:type="dxa"/>
            <w:bottom w:w="0" w:type="dxa"/>
            <w:right w:w="108" w:type="dxa"/>
          </w:tblCellMar>
        </w:tblPrEx>
        <w:trPr>
          <w:trHeight w:val="505" w:hRule="atLeast"/>
          <w:tblHeader/>
          <w:jc w:val="center"/>
        </w:trPr>
        <w:tc>
          <w:tcPr>
            <w:tcW w:w="1217" w:type="dxa"/>
            <w:vMerge w:val="restart"/>
            <w:tcBorders>
              <w:top w:val="single" w:color="000000" w:sz="8" w:space="0"/>
              <w:left w:val="single" w:color="000000" w:sz="8" w:space="0"/>
              <w:bottom w:val="single" w:color="000000" w:sz="8" w:space="0"/>
              <w:right w:val="nil"/>
            </w:tcBorders>
            <w:shd w:val="clear" w:color="auto" w:fill="auto"/>
            <w:vAlign w:val="center"/>
          </w:tcPr>
          <w:p w14:paraId="41D157C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年份</w:t>
            </w:r>
          </w:p>
        </w:tc>
        <w:tc>
          <w:tcPr>
            <w:tcW w:w="26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A6C5B5">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产值</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6FBFE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能耗总量</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581D2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万元产值能耗</w:t>
            </w:r>
          </w:p>
        </w:tc>
      </w:tr>
      <w:tr w14:paraId="751869A6">
        <w:tblPrEx>
          <w:tblCellMar>
            <w:top w:w="0" w:type="dxa"/>
            <w:left w:w="108" w:type="dxa"/>
            <w:bottom w:w="0" w:type="dxa"/>
            <w:right w:w="108" w:type="dxa"/>
          </w:tblCellMar>
        </w:tblPrEx>
        <w:trPr>
          <w:trHeight w:val="405" w:hRule="atLeast"/>
          <w:tblHeader/>
          <w:jc w:val="center"/>
        </w:trPr>
        <w:tc>
          <w:tcPr>
            <w:tcW w:w="1217" w:type="dxa"/>
            <w:vMerge w:val="continue"/>
            <w:tcBorders>
              <w:top w:val="single" w:color="000000" w:sz="8" w:space="0"/>
              <w:left w:val="single" w:color="000000" w:sz="8" w:space="0"/>
              <w:bottom w:val="single" w:color="000000" w:sz="8" w:space="0"/>
              <w:right w:val="nil"/>
            </w:tcBorders>
            <w:shd w:val="clear" w:color="auto" w:fill="auto"/>
            <w:vAlign w:val="center"/>
          </w:tcPr>
          <w:p w14:paraId="29C64E48">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p>
        </w:tc>
        <w:tc>
          <w:tcPr>
            <w:tcW w:w="26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A771616">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(2020年不变价)/亿元</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165447">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万吨标煤</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39D53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tce/万元</w:t>
            </w:r>
          </w:p>
        </w:tc>
      </w:tr>
      <w:tr w14:paraId="055968D0">
        <w:tblPrEx>
          <w:tblCellMar>
            <w:top w:w="0" w:type="dxa"/>
            <w:left w:w="108" w:type="dxa"/>
            <w:bottom w:w="0" w:type="dxa"/>
            <w:right w:w="108" w:type="dxa"/>
          </w:tblCellMar>
        </w:tblPrEx>
        <w:trPr>
          <w:trHeight w:val="325" w:hRule="atLeast"/>
          <w:jc w:val="center"/>
        </w:trPr>
        <w:tc>
          <w:tcPr>
            <w:tcW w:w="1217" w:type="dxa"/>
            <w:tcBorders>
              <w:top w:val="nil"/>
              <w:left w:val="single" w:color="000000" w:sz="8" w:space="0"/>
              <w:bottom w:val="single" w:color="000000" w:sz="8" w:space="0"/>
              <w:right w:val="nil"/>
            </w:tcBorders>
            <w:shd w:val="clear" w:color="auto" w:fill="auto"/>
            <w:vAlign w:val="center"/>
          </w:tcPr>
          <w:p w14:paraId="5AA512C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w:t>
            </w:r>
          </w:p>
        </w:tc>
        <w:tc>
          <w:tcPr>
            <w:tcW w:w="26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A8C26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524.78</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12E74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211.86</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11AA8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0.40</w:t>
            </w:r>
          </w:p>
        </w:tc>
      </w:tr>
      <w:tr w14:paraId="78868107">
        <w:tblPrEx>
          <w:tblCellMar>
            <w:top w:w="0" w:type="dxa"/>
            <w:left w:w="108" w:type="dxa"/>
            <w:bottom w:w="0" w:type="dxa"/>
            <w:right w:w="108" w:type="dxa"/>
          </w:tblCellMar>
        </w:tblPrEx>
        <w:trPr>
          <w:trHeight w:val="325" w:hRule="atLeast"/>
          <w:jc w:val="center"/>
        </w:trPr>
        <w:tc>
          <w:tcPr>
            <w:tcW w:w="1217" w:type="dxa"/>
            <w:tcBorders>
              <w:top w:val="nil"/>
              <w:left w:val="single" w:color="000000" w:sz="8" w:space="0"/>
              <w:bottom w:val="single" w:color="000000" w:sz="8" w:space="0"/>
              <w:right w:val="nil"/>
            </w:tcBorders>
            <w:shd w:val="clear" w:color="auto" w:fill="auto"/>
            <w:vAlign w:val="center"/>
          </w:tcPr>
          <w:p w14:paraId="3376A72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w:t>
            </w:r>
          </w:p>
        </w:tc>
        <w:tc>
          <w:tcPr>
            <w:tcW w:w="26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E8161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698.94</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C8A59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193.88</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42D966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0.28</w:t>
            </w:r>
          </w:p>
        </w:tc>
      </w:tr>
      <w:tr w14:paraId="116090FA">
        <w:tblPrEx>
          <w:tblCellMar>
            <w:top w:w="0" w:type="dxa"/>
            <w:left w:w="108" w:type="dxa"/>
            <w:bottom w:w="0" w:type="dxa"/>
            <w:right w:w="108" w:type="dxa"/>
          </w:tblCellMar>
        </w:tblPrEx>
        <w:trPr>
          <w:trHeight w:val="325" w:hRule="atLeast"/>
          <w:jc w:val="center"/>
        </w:trPr>
        <w:tc>
          <w:tcPr>
            <w:tcW w:w="1217" w:type="dxa"/>
            <w:tcBorders>
              <w:top w:val="nil"/>
              <w:left w:val="single" w:color="000000" w:sz="8" w:space="0"/>
              <w:bottom w:val="single" w:color="000000" w:sz="8" w:space="0"/>
              <w:right w:val="nil"/>
            </w:tcBorders>
            <w:shd w:val="clear" w:color="auto" w:fill="auto"/>
            <w:vAlign w:val="center"/>
          </w:tcPr>
          <w:p w14:paraId="450C11E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w:t>
            </w:r>
          </w:p>
        </w:tc>
        <w:tc>
          <w:tcPr>
            <w:tcW w:w="26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AC272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497.87</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960CD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149.82</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EE77E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0.30</w:t>
            </w:r>
          </w:p>
        </w:tc>
      </w:tr>
      <w:tr w14:paraId="6D605BD7">
        <w:tblPrEx>
          <w:tblCellMar>
            <w:top w:w="0" w:type="dxa"/>
            <w:left w:w="108" w:type="dxa"/>
            <w:bottom w:w="0" w:type="dxa"/>
            <w:right w:w="108" w:type="dxa"/>
          </w:tblCellMar>
        </w:tblPrEx>
        <w:trPr>
          <w:trHeight w:val="325" w:hRule="atLeast"/>
          <w:jc w:val="center"/>
        </w:trPr>
        <w:tc>
          <w:tcPr>
            <w:tcW w:w="1217" w:type="dxa"/>
            <w:tcBorders>
              <w:top w:val="nil"/>
              <w:left w:val="single" w:color="000000" w:sz="8" w:space="0"/>
              <w:bottom w:val="single" w:color="000000" w:sz="8" w:space="0"/>
              <w:right w:val="nil"/>
            </w:tcBorders>
            <w:shd w:val="clear" w:color="auto" w:fill="auto"/>
            <w:vAlign w:val="center"/>
          </w:tcPr>
          <w:p w14:paraId="75CF67A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w:t>
            </w:r>
          </w:p>
        </w:tc>
        <w:tc>
          <w:tcPr>
            <w:tcW w:w="26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E6D53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568.08</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9232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230.77</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9A261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0.41</w:t>
            </w:r>
          </w:p>
        </w:tc>
      </w:tr>
      <w:tr w14:paraId="2A41FC5D">
        <w:tblPrEx>
          <w:tblCellMar>
            <w:top w:w="0" w:type="dxa"/>
            <w:left w:w="108" w:type="dxa"/>
            <w:bottom w:w="0" w:type="dxa"/>
            <w:right w:w="108" w:type="dxa"/>
          </w:tblCellMar>
        </w:tblPrEx>
        <w:trPr>
          <w:trHeight w:val="325" w:hRule="atLeast"/>
          <w:jc w:val="center"/>
        </w:trPr>
        <w:tc>
          <w:tcPr>
            <w:tcW w:w="1217" w:type="dxa"/>
            <w:tcBorders>
              <w:top w:val="nil"/>
              <w:left w:val="single" w:color="000000" w:sz="8" w:space="0"/>
              <w:bottom w:val="single" w:color="000000" w:sz="8" w:space="0"/>
              <w:right w:val="nil"/>
            </w:tcBorders>
            <w:shd w:val="clear" w:color="auto" w:fill="auto"/>
            <w:vAlign w:val="center"/>
          </w:tcPr>
          <w:p w14:paraId="3507E3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w:t>
            </w:r>
          </w:p>
        </w:tc>
        <w:tc>
          <w:tcPr>
            <w:tcW w:w="262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B7BB8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265.16</w:t>
            </w:r>
          </w:p>
        </w:tc>
        <w:tc>
          <w:tcPr>
            <w:tcW w:w="145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BA352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129.84</w:t>
            </w:r>
          </w:p>
        </w:tc>
        <w:tc>
          <w:tcPr>
            <w:tcW w:w="17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F3C23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0.49</w:t>
            </w:r>
          </w:p>
        </w:tc>
      </w:tr>
    </w:tbl>
    <w:p w14:paraId="6BCEEC43">
      <w:pPr>
        <w:widowControl/>
        <w:rPr>
          <w:rFonts w:ascii="Times New Roman Regular" w:hAnsi="Times New Roman Regular" w:cs="Times New Roman Regular"/>
          <w:color w:val="000000" w:themeColor="text1"/>
          <w14:textFill>
            <w14:solidFill>
              <w14:schemeClr w14:val="tx1"/>
            </w14:solidFill>
          </w14:textFill>
        </w:rPr>
      </w:pPr>
    </w:p>
    <w:p w14:paraId="01041EE9">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4、大庆中蓝</w:t>
      </w:r>
    </w:p>
    <w:p w14:paraId="1155A174">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近五年，大庆中蓝的产值及能耗总量波动较大。</w:t>
      </w:r>
    </w:p>
    <w:p w14:paraId="094A581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797BE17D">
      <w:pPr>
        <w:widowControl/>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表2-8 大庆中蓝近五年能耗及强度</w:t>
      </w:r>
    </w:p>
    <w:tbl>
      <w:tblPr>
        <w:tblStyle w:val="16"/>
        <w:tblW w:w="7338" w:type="dxa"/>
        <w:jc w:val="center"/>
        <w:tblLayout w:type="autofit"/>
        <w:tblCellMar>
          <w:top w:w="0" w:type="dxa"/>
          <w:left w:w="108" w:type="dxa"/>
          <w:bottom w:w="0" w:type="dxa"/>
          <w:right w:w="108" w:type="dxa"/>
        </w:tblCellMar>
      </w:tblPr>
      <w:tblGrid>
        <w:gridCol w:w="1040"/>
        <w:gridCol w:w="2650"/>
        <w:gridCol w:w="1610"/>
        <w:gridCol w:w="2038"/>
      </w:tblGrid>
      <w:tr w14:paraId="5D696679">
        <w:tblPrEx>
          <w:tblCellMar>
            <w:top w:w="0" w:type="dxa"/>
            <w:left w:w="108" w:type="dxa"/>
            <w:bottom w:w="0" w:type="dxa"/>
            <w:right w:w="108" w:type="dxa"/>
          </w:tblCellMar>
        </w:tblPrEx>
        <w:trPr>
          <w:trHeight w:val="425" w:hRule="atLeast"/>
          <w:jc w:val="center"/>
        </w:trPr>
        <w:tc>
          <w:tcPr>
            <w:tcW w:w="1040" w:type="dxa"/>
            <w:vMerge w:val="restart"/>
            <w:tcBorders>
              <w:top w:val="single" w:color="000000" w:sz="8" w:space="0"/>
              <w:left w:val="single" w:color="000000" w:sz="8" w:space="0"/>
              <w:bottom w:val="single" w:color="000000" w:sz="8" w:space="0"/>
              <w:right w:val="nil"/>
            </w:tcBorders>
            <w:shd w:val="clear" w:color="auto" w:fill="auto"/>
            <w:vAlign w:val="center"/>
          </w:tcPr>
          <w:p w14:paraId="3EEA7A67">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年份</w:t>
            </w:r>
          </w:p>
        </w:tc>
        <w:tc>
          <w:tcPr>
            <w:tcW w:w="26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3629C0">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产值</w:t>
            </w:r>
          </w:p>
        </w:tc>
        <w:tc>
          <w:tcPr>
            <w:tcW w:w="16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D1B47B">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能耗总量</w:t>
            </w:r>
          </w:p>
        </w:tc>
        <w:tc>
          <w:tcPr>
            <w:tcW w:w="2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8A0E92">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万元产值能耗</w:t>
            </w:r>
          </w:p>
        </w:tc>
      </w:tr>
      <w:tr w14:paraId="1C76F6A9">
        <w:tblPrEx>
          <w:tblCellMar>
            <w:top w:w="0" w:type="dxa"/>
            <w:left w:w="108" w:type="dxa"/>
            <w:bottom w:w="0" w:type="dxa"/>
            <w:right w:w="108" w:type="dxa"/>
          </w:tblCellMar>
        </w:tblPrEx>
        <w:trPr>
          <w:trHeight w:val="405" w:hRule="atLeast"/>
          <w:jc w:val="center"/>
        </w:trPr>
        <w:tc>
          <w:tcPr>
            <w:tcW w:w="1040" w:type="dxa"/>
            <w:vMerge w:val="continue"/>
            <w:tcBorders>
              <w:top w:val="single" w:color="000000" w:sz="8" w:space="0"/>
              <w:left w:val="single" w:color="000000" w:sz="8" w:space="0"/>
              <w:bottom w:val="single" w:color="000000" w:sz="8" w:space="0"/>
              <w:right w:val="nil"/>
            </w:tcBorders>
            <w:shd w:val="clear" w:color="auto" w:fill="auto"/>
            <w:vAlign w:val="center"/>
          </w:tcPr>
          <w:p w14:paraId="6C85BA77">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p>
        </w:tc>
        <w:tc>
          <w:tcPr>
            <w:tcW w:w="26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077C73">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(2020年不变价)/亿元</w:t>
            </w:r>
          </w:p>
        </w:tc>
        <w:tc>
          <w:tcPr>
            <w:tcW w:w="16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DF73E">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万吨标煤</w:t>
            </w:r>
          </w:p>
        </w:tc>
        <w:tc>
          <w:tcPr>
            <w:tcW w:w="2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275C7EC">
            <w:pPr>
              <w:widowControl/>
              <w:adjustRightInd w:val="0"/>
              <w:snapToGrid w:val="0"/>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tce/万元</w:t>
            </w:r>
          </w:p>
        </w:tc>
      </w:tr>
      <w:tr w14:paraId="3DEB8229">
        <w:tblPrEx>
          <w:tblCellMar>
            <w:top w:w="0" w:type="dxa"/>
            <w:left w:w="108" w:type="dxa"/>
            <w:bottom w:w="0" w:type="dxa"/>
            <w:right w:w="108" w:type="dxa"/>
          </w:tblCellMar>
        </w:tblPrEx>
        <w:trPr>
          <w:trHeight w:val="325" w:hRule="atLeast"/>
          <w:jc w:val="center"/>
        </w:trPr>
        <w:tc>
          <w:tcPr>
            <w:tcW w:w="1040" w:type="dxa"/>
            <w:tcBorders>
              <w:top w:val="nil"/>
              <w:left w:val="single" w:color="000000" w:sz="8" w:space="0"/>
              <w:bottom w:val="single" w:color="000000" w:sz="8" w:space="0"/>
              <w:right w:val="nil"/>
            </w:tcBorders>
            <w:shd w:val="clear" w:color="auto" w:fill="auto"/>
            <w:vAlign w:val="center"/>
          </w:tcPr>
          <w:p w14:paraId="1E91EB9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w:t>
            </w:r>
          </w:p>
        </w:tc>
        <w:tc>
          <w:tcPr>
            <w:tcW w:w="26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5DB98A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39.00 </w:t>
            </w:r>
          </w:p>
        </w:tc>
        <w:tc>
          <w:tcPr>
            <w:tcW w:w="16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7F19F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16.51 </w:t>
            </w:r>
          </w:p>
        </w:tc>
        <w:tc>
          <w:tcPr>
            <w:tcW w:w="2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B828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0.42 </w:t>
            </w:r>
          </w:p>
        </w:tc>
      </w:tr>
      <w:tr w14:paraId="48675FB4">
        <w:tblPrEx>
          <w:tblCellMar>
            <w:top w:w="0" w:type="dxa"/>
            <w:left w:w="108" w:type="dxa"/>
            <w:bottom w:w="0" w:type="dxa"/>
            <w:right w:w="108" w:type="dxa"/>
          </w:tblCellMar>
        </w:tblPrEx>
        <w:trPr>
          <w:trHeight w:val="325" w:hRule="atLeast"/>
          <w:jc w:val="center"/>
        </w:trPr>
        <w:tc>
          <w:tcPr>
            <w:tcW w:w="1040" w:type="dxa"/>
            <w:tcBorders>
              <w:top w:val="nil"/>
              <w:left w:val="single" w:color="000000" w:sz="8" w:space="0"/>
              <w:bottom w:val="single" w:color="000000" w:sz="8" w:space="0"/>
              <w:right w:val="nil"/>
            </w:tcBorders>
            <w:shd w:val="clear" w:color="auto" w:fill="auto"/>
            <w:vAlign w:val="center"/>
          </w:tcPr>
          <w:p w14:paraId="36731D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w:t>
            </w:r>
          </w:p>
        </w:tc>
        <w:tc>
          <w:tcPr>
            <w:tcW w:w="26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0819CF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23.31 </w:t>
            </w:r>
          </w:p>
        </w:tc>
        <w:tc>
          <w:tcPr>
            <w:tcW w:w="16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B61E4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9.14 </w:t>
            </w:r>
          </w:p>
        </w:tc>
        <w:tc>
          <w:tcPr>
            <w:tcW w:w="2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B64125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0.39 </w:t>
            </w:r>
          </w:p>
        </w:tc>
      </w:tr>
      <w:tr w14:paraId="096E9F59">
        <w:tblPrEx>
          <w:tblCellMar>
            <w:top w:w="0" w:type="dxa"/>
            <w:left w:w="108" w:type="dxa"/>
            <w:bottom w:w="0" w:type="dxa"/>
            <w:right w:w="108" w:type="dxa"/>
          </w:tblCellMar>
        </w:tblPrEx>
        <w:trPr>
          <w:trHeight w:val="325" w:hRule="atLeast"/>
          <w:jc w:val="center"/>
        </w:trPr>
        <w:tc>
          <w:tcPr>
            <w:tcW w:w="1040" w:type="dxa"/>
            <w:tcBorders>
              <w:top w:val="nil"/>
              <w:left w:val="single" w:color="000000" w:sz="8" w:space="0"/>
              <w:bottom w:val="single" w:color="000000" w:sz="8" w:space="0"/>
              <w:right w:val="nil"/>
            </w:tcBorders>
            <w:shd w:val="clear" w:color="auto" w:fill="auto"/>
            <w:vAlign w:val="center"/>
          </w:tcPr>
          <w:p w14:paraId="41CCE19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w:t>
            </w:r>
          </w:p>
        </w:tc>
        <w:tc>
          <w:tcPr>
            <w:tcW w:w="26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1271A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1.10 </w:t>
            </w:r>
          </w:p>
        </w:tc>
        <w:tc>
          <w:tcPr>
            <w:tcW w:w="16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009F6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2.33 </w:t>
            </w:r>
          </w:p>
        </w:tc>
        <w:tc>
          <w:tcPr>
            <w:tcW w:w="2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52668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2.12 </w:t>
            </w:r>
          </w:p>
        </w:tc>
      </w:tr>
      <w:tr w14:paraId="7E45902F">
        <w:tblPrEx>
          <w:tblCellMar>
            <w:top w:w="0" w:type="dxa"/>
            <w:left w:w="108" w:type="dxa"/>
            <w:bottom w:w="0" w:type="dxa"/>
            <w:right w:w="108" w:type="dxa"/>
          </w:tblCellMar>
        </w:tblPrEx>
        <w:trPr>
          <w:trHeight w:val="325" w:hRule="atLeast"/>
          <w:jc w:val="center"/>
        </w:trPr>
        <w:tc>
          <w:tcPr>
            <w:tcW w:w="1040" w:type="dxa"/>
            <w:tcBorders>
              <w:top w:val="nil"/>
              <w:left w:val="single" w:color="000000" w:sz="8" w:space="0"/>
              <w:bottom w:val="single" w:color="000000" w:sz="8" w:space="0"/>
              <w:right w:val="nil"/>
            </w:tcBorders>
            <w:shd w:val="clear" w:color="auto" w:fill="auto"/>
            <w:vAlign w:val="center"/>
          </w:tcPr>
          <w:p w14:paraId="3BBAE9A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w:t>
            </w:r>
          </w:p>
        </w:tc>
        <w:tc>
          <w:tcPr>
            <w:tcW w:w="26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4F3CA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0.61 </w:t>
            </w:r>
          </w:p>
        </w:tc>
        <w:tc>
          <w:tcPr>
            <w:tcW w:w="16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FCD16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1.12 </w:t>
            </w:r>
          </w:p>
        </w:tc>
        <w:tc>
          <w:tcPr>
            <w:tcW w:w="2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D8F4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1.84 </w:t>
            </w:r>
          </w:p>
        </w:tc>
      </w:tr>
      <w:tr w14:paraId="13C86EE9">
        <w:tblPrEx>
          <w:tblCellMar>
            <w:top w:w="0" w:type="dxa"/>
            <w:left w:w="108" w:type="dxa"/>
            <w:bottom w:w="0" w:type="dxa"/>
            <w:right w:w="108" w:type="dxa"/>
          </w:tblCellMar>
        </w:tblPrEx>
        <w:trPr>
          <w:trHeight w:val="325" w:hRule="atLeast"/>
          <w:jc w:val="center"/>
        </w:trPr>
        <w:tc>
          <w:tcPr>
            <w:tcW w:w="1040" w:type="dxa"/>
            <w:tcBorders>
              <w:top w:val="nil"/>
              <w:left w:val="single" w:color="000000" w:sz="8" w:space="0"/>
              <w:bottom w:val="single" w:color="000000" w:sz="8" w:space="0"/>
              <w:right w:val="nil"/>
            </w:tcBorders>
            <w:shd w:val="clear" w:color="auto" w:fill="auto"/>
            <w:vAlign w:val="center"/>
          </w:tcPr>
          <w:p w14:paraId="0967BD8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w:t>
            </w:r>
          </w:p>
        </w:tc>
        <w:tc>
          <w:tcPr>
            <w:tcW w:w="265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2F57B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0.33 </w:t>
            </w:r>
          </w:p>
        </w:tc>
        <w:tc>
          <w:tcPr>
            <w:tcW w:w="16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1A469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0.77 </w:t>
            </w:r>
          </w:p>
        </w:tc>
        <w:tc>
          <w:tcPr>
            <w:tcW w:w="20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4F0E0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2.36 </w:t>
            </w:r>
          </w:p>
        </w:tc>
      </w:tr>
    </w:tbl>
    <w:p w14:paraId="353FB6F1">
      <w:pPr>
        <w:widowControl/>
        <w:spacing w:line="560" w:lineRule="exact"/>
        <w:rPr>
          <w:rFonts w:ascii="Times New Roman Regular" w:hAnsi="Times New Roman Regular" w:eastAsia="仿宋" w:cs="Times New Roman Regular"/>
          <w:b/>
          <w:bCs/>
          <w:color w:val="000000" w:themeColor="text1"/>
          <w:sz w:val="28"/>
          <w:szCs w:val="21"/>
          <w14:textFill>
            <w14:solidFill>
              <w14:schemeClr w14:val="tx1"/>
            </w14:solidFill>
          </w14:textFill>
        </w:rPr>
      </w:pPr>
    </w:p>
    <w:p w14:paraId="167873F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2021年，大庆中蓝部分生产装置关停，其产值与能耗总量分别较2020年度下降45%和40%。自2022年起，随着生产装置的大规模关停，大庆中蓝的产值与能耗总量骤降，至2024年，年产值下降至0.33亿元，仅为2020年的1%左右；能耗总量下降至0.77万吨标煤，仅为2020年的5%左右。2022年生产装置大规模停产也导致了万元产值能耗较2020年和2021年上升400%左右。</w:t>
      </w:r>
    </w:p>
    <w:p w14:paraId="1920E35D">
      <w:pPr>
        <w:widowControl/>
        <w:spacing w:line="560" w:lineRule="exact"/>
        <w:rPr>
          <w:rFonts w:ascii="Times New Roman Regular" w:hAnsi="Times New Roman Regular" w:eastAsia="楷体" w:cs="Times New Roman Regular"/>
          <w:color w:val="000000" w:themeColor="text1"/>
          <w:kern w:val="0"/>
          <w:sz w:val="28"/>
          <w:szCs w:val="28"/>
          <w:lang w:bidi="ar"/>
          <w14:textFill>
            <w14:solidFill>
              <w14:schemeClr w14:val="tx1"/>
            </w14:solidFill>
          </w14:textFill>
        </w:rPr>
      </w:pPr>
    </w:p>
    <w:p w14:paraId="71D5E9CC">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53" w:name="_Toc1648689318"/>
      <w:bookmarkStart w:id="54" w:name="_Toc9605"/>
      <w:bookmarkStart w:id="55" w:name="_Toc1698574949"/>
      <w:bookmarkStart w:id="56" w:name="_Toc1418354206"/>
      <w:bookmarkStart w:id="57" w:name="_Toc1827376554"/>
      <w:r>
        <w:rPr>
          <w:rFonts w:ascii="Times New Roman Regular" w:hAnsi="Times New Roman Regular" w:eastAsia="黑体" w:cs="Times New Roman Regular"/>
          <w:color w:val="000000" w:themeColor="text1"/>
          <w:sz w:val="28"/>
          <w:szCs w:val="28"/>
          <w:lang w:bidi="ar"/>
          <w14:textFill>
            <w14:solidFill>
              <w14:schemeClr w14:val="tx1"/>
            </w14:solidFill>
          </w14:textFill>
        </w:rPr>
        <w:t>2.2 重点节能降碳举措回顾</w:t>
      </w:r>
      <w:bookmarkEnd w:id="53"/>
      <w:bookmarkEnd w:id="54"/>
      <w:bookmarkEnd w:id="55"/>
      <w:bookmarkEnd w:id="56"/>
      <w:bookmarkEnd w:id="57"/>
    </w:p>
    <w:p w14:paraId="740FC438">
      <w:pPr>
        <w:widowControl/>
        <w:spacing w:line="56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58" w:name="_Toc1210658542"/>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2.2.1 节能低碳管理及制度建设</w:t>
      </w:r>
      <w:bookmarkEnd w:id="58"/>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（这些制度有无</w:t>
      </w:r>
      <w:r>
        <w:rPr>
          <w:rFonts w:hint="eastAsia" w:ascii="微软雅黑" w:hAnsi="微软雅黑" w:eastAsia="微软雅黑" w:cs="微软雅黑"/>
          <w:color w:val="000000" w:themeColor="text1"/>
          <w:kern w:val="0"/>
          <w:sz w:val="28"/>
          <w:szCs w:val="28"/>
          <w:lang w:bidi="ar"/>
          <w14:textFill>
            <w14:solidFill>
              <w14:schemeClr w14:val="tx1"/>
            </w14:solidFill>
          </w14:textFill>
        </w:rPr>
        <w:t>奖惩作用</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p>
    <w:p w14:paraId="5E366E9C">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组织体系方面，中化能源自2022中化能源自2022年起成立“碳达峰碳中和工作领导小组”及工作办公室，2024年由战略与投资部调整至质量健康安全环保部，明确二级企业也需建立</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“双碳”</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领导小组。各单位均设立专门部门或管理员，负责节能低碳工作，强化责任分工。集团及各下属企业相继出台或完善了节能低碳管理办法。例如，泉州石化有《能源管理规定》《碳排放管理规定》，正和石化、华星石化等也均制定了相应的低碳管理办法与实施细则，并建立持续更新机制，适应政策变化和市场需求。</w:t>
      </w:r>
    </w:p>
    <w:p w14:paraId="55781CE9">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59" w:name="_Toc130560069"/>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2.2.1.1 泉州石化</w:t>
      </w:r>
      <w:bookmarkEnd w:id="59"/>
    </w:p>
    <w:p w14:paraId="3EABC55B">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在低碳管理与制度建设领域，泉州石化始终紧跟集团及能源板块新发布的制度要求，积极推进相关工作的开展与落实。在制度建设上，按照集团和能源板块相关制度，及时发布并持续更新了两项有关能源低碳的制度，分别是《中化泉州石化能源管理规定》和《中化泉州石化碳排放管理规定》</w:t>
      </w:r>
      <w:r>
        <w:rPr>
          <w:rFonts w:hint="eastAsia" w:ascii="Times New Roman Regular" w:hAnsi="Times New Roman Regular" w:eastAsia="仿宋_GB2312" w:cs="Times New Roman Regular"/>
          <w:color w:val="000000" w:themeColor="text1"/>
          <w:kern w:val="0"/>
          <w:sz w:val="28"/>
          <w:szCs w:val="28"/>
          <w:lang w:eastAsia="zh-CN"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其中《中化泉州石化有限公司碳排放管理办法》旨在加强公司碳排放管理，明确了工艺技术管理等部门在碳排放规划计划、指标分解、监测核算、核查、交易履约、碳减排及固定资产投资项目评价等方面的职责分工与管理要求，适用于公司各部门，子（分）公司参照执行</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。为确保制度能够与时俱进，适应不断变化的市场环境和政策要求，泉州石化建立了持续更新机制，保障两项制度始终发挥最优效能，引领公司低碳管理工作沿着科学、规范的轨道前进。</w:t>
      </w:r>
    </w:p>
    <w:p w14:paraId="6C2DCDE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在</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“双碳”行动</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规划领域，泉州石化以“近期达峰”“中期下降”“远期中和”三个阶段愿景为指引，全面深入地完成了中化泉州石化（含动力中心）</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“双碳”行动</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方案的制定工作。该方案系统性地制定了三个阶段的具体实施计划，包括明确的时间节点安排、详细的技术路径规划以及可操作的任务分解清单。为确保方案的可行性和有效性，公司通过多轮次、多层次的沟通讨论，广泛征求各部门意见，并组织专家论证。经充分完善后，方案已正式通过公司领导班子审批并发布实施。该方案的实施将有效推动企业低碳转型，切实满足公司在节能减排和绿色发展方面的各项要求。</w:t>
      </w:r>
    </w:p>
    <w:p w14:paraId="4CA5458F">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0" w:name="_Toc1742276096"/>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2.2.1.2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正和石化</w:t>
      </w:r>
      <w:bookmarkEnd w:id="60"/>
    </w:p>
    <w:p w14:paraId="1F0B411C">
      <w:pPr>
        <w:widowControl/>
        <w:spacing w:line="560" w:lineRule="exact"/>
        <w:ind w:firstLine="560" w:firstLineChars="200"/>
        <w:rPr>
          <w:rFonts w:ascii="Times New Roman Regular" w:hAnsi="Times New Roman Regular" w:eastAsia="仿宋" w:cs="Times New Roman Regular"/>
          <w:color w:val="000000" w:themeColor="text1"/>
          <w:sz w:val="30"/>
          <w:szCs w:val="30"/>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正和石化已制定并执行了《正和集团股份有限公司节能低碳管理办法》，明确了节能低碳工作的责任部门及其职责范围。该办法的实施，不仅体现了公司对环境保护和可持续发展的承诺，而且也标志着正和石化在推动绿色低碳转型方面迈出了坚实的步伐。通过这一系列措施，公司旨在降低能耗，减少温室气体排放，同时提高资源利用效率，确保经济效益与环境保护的双赢。</w:t>
      </w:r>
    </w:p>
    <w:p w14:paraId="27AAF5A7">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1" w:name="_Toc1494818627"/>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2.2.1.</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3</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华星石化</w:t>
      </w:r>
      <w:bookmarkEnd w:id="61"/>
    </w:p>
    <w:p w14:paraId="0822067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华星石化积极推进低碳管理体系建设，通过制度完善与组织优化夯实管理基础。在制度建设方面，公司制定《华星石油化工集团有限公司能源低碳管理办法》，明确适用范围、责任部门及审核流程，配套《山东华星石油化工集团有限公司低碳管理制度》《蒸汽节能优化管理细则》等文件，形成规范化管理依据。制度规定技术质量部为节能低碳归口管理部门，下设2名厂级专职管理员，各生产装置工艺员负责本部门低碳管理，计量中心专项承担能源计量仪表检定及全厂计量管理工作。</w:t>
      </w:r>
    </w:p>
    <w:p w14:paraId="62019AB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组织架构层面，公司成立</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“双碳”</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领导小组，由企业负责人担任组长，统筹部署节能低碳工作。通过制定专项行动方案、定期召开专题会议，系统推进节能目标落实。管理机制上，依托既有制度体系对蒸汽系统优化等重点环节实施管控，确保节能措施有序落地。</w:t>
      </w:r>
    </w:p>
    <w:p w14:paraId="754E8454">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2" w:name="_Toc5477736"/>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2.2.1.</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4</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大庆中蓝</w:t>
      </w:r>
      <w:bookmarkEnd w:id="62"/>
    </w:p>
    <w:p w14:paraId="74A62ED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为全面贯彻落实温室气体排放管控政策及相关法律法规要求，积极推动大庆中蓝石化有限公司实现低碳转型与可持续发展，经审慎研究与充分论证，大庆中蓝特制定《大庆中蓝石化有限公司能源管理规定》与《大庆中蓝石化有限公司温室气体排放管理规定》，并发布了《大庆中蓝石化有限公司关于成立温室气体排放工作领导小组的通知》，明确了公司温室气体排放专项工作领导小组及有关部门的职责。此外，大庆中蓝还建立了计量管理规定和节能管理规定。</w:t>
      </w:r>
    </w:p>
    <w:p w14:paraId="323F651C">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3" w:name="_Toc1869995778"/>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2.2.1.</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5</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石化院</w:t>
      </w:r>
      <w:bookmarkEnd w:id="63"/>
    </w:p>
    <w:p w14:paraId="223023F1">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在制度建设领域，石化院正积极推进相关管理措施的制定工作。目前，石化院正处于“石化院节能低碳管理办法”的起草阶段。该办法的制定旨在规范和指导石化院在节能和低碳发展方面的行动与实践，确保在日常运营和项目实施过程中，有效地降低能源消耗，减少温室气体排放，以促进可持续发展。</w:t>
      </w:r>
    </w:p>
    <w:p w14:paraId="168A230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预计该办法的初稿</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已完成修订并已</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进入征求意见阶段，最终形成一套科学、合理、具备操作性的节能低碳管理规范。</w:t>
      </w:r>
    </w:p>
    <w:p w14:paraId="05AE3CF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6BBCCD04">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4" w:name="_Toc595867001"/>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2.2.1.</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6</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非生产企业</w:t>
      </w:r>
      <w:bookmarkEnd w:id="64"/>
    </w:p>
    <w:p w14:paraId="125CE9AB">
      <w:pPr>
        <w:widowControl/>
        <w:spacing w:line="560" w:lineRule="exact"/>
        <w:ind w:firstLine="562"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石油销售</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：下属公司均已制定节能与低碳管理的相关办法。然而，这些办法中尚未充分涵盖低碳方面的具体描述和约束，迫切需要进一步完善。现有节能与低碳管理办法包括：《中化石油福建石油节能管理办法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中化石油安徽石油节能管理办法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中化石油湖南有限公司节能管理办法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中化石油广东有限公司节能管理办法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湖北石油节能管理办法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北京吉利石油产品服务有限公司节能管理办法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江苏石油节能管理办法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中化石油浙江有限公司节能管理办法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中化石油东北有限公司（筹）节能管理办法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中化石油山东有限公司节能管理办法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中化石油（天津）有限公司节能管理办法》以及《中化道达尔油品有限公司节能管理制度》等。</w:t>
      </w:r>
    </w:p>
    <w:p w14:paraId="4118980B">
      <w:pPr>
        <w:widowControl/>
        <w:spacing w:line="560" w:lineRule="exact"/>
        <w:ind w:firstLine="562"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石化销售</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：现阶段已在公司层面制定了《中化石化销售有限公司节能低碳管理办法》，明确了下属诚信仓储公司的节能低碳管理职责。同时，诚信仓储也已建立起了相应的节能低碳管理相关制度。</w:t>
      </w:r>
    </w:p>
    <w:p w14:paraId="7F511E76">
      <w:pPr>
        <w:widowControl/>
        <w:spacing w:line="560" w:lineRule="exact"/>
        <w:ind w:firstLine="562" w:firstLineChars="200"/>
        <w:rPr>
          <w:rFonts w:ascii="Times New Roman Regular" w:hAnsi="Times New Roman Regular" w:eastAsia="仿宋" w:cs="Times New Roman Regular"/>
          <w:b/>
          <w:bCs/>
          <w:color w:val="000000" w:themeColor="text1"/>
          <w:sz w:val="28"/>
          <w:szCs w:val="28"/>
          <w:lang w:bidi="ar"/>
          <w14:textFill>
            <w14:solidFill>
              <w14:schemeClr w14:val="tx1"/>
            </w14:solidFill>
          </w14:textFill>
        </w:rPr>
        <w:sectPr>
          <w:headerReference r:id="rId8" w:type="default"/>
          <w:pgSz w:w="11906" w:h="16838"/>
          <w:pgMar w:top="1440" w:right="1800" w:bottom="1440" w:left="1800" w:header="851" w:footer="992" w:gutter="0"/>
          <w:pgNumType w:fmt="numberInDash"/>
          <w:cols w:space="425" w:num="1"/>
          <w:docGrid w:type="lines" w:linePitch="312" w:charSpace="0"/>
        </w:sectPr>
      </w:pPr>
      <w:r>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中化能源物流</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：目前企业已制定适用于所有下属仓储企业的节能低碳管理办法，并</w:t>
      </w:r>
      <w:commentRangeStart w:id="3"/>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建立了计量管理规定</w:t>
      </w:r>
      <w:commentRangeEnd w:id="3"/>
      <w:r>
        <w:commentReference w:id="3"/>
      </w:r>
      <w:r>
        <w:rPr>
          <w:rFonts w:hint="eastAsia" w:ascii="Times New Roman Regular" w:hAnsi="Times New Roman Regular" w:eastAsia="仿宋_GB2312" w:cs="Times New Roman Regular"/>
          <w:color w:val="000000" w:themeColor="text1"/>
          <w:kern w:val="0"/>
          <w:sz w:val="28"/>
          <w:szCs w:val="28"/>
          <w:lang w:eastAsia="zh-CN" w:bidi="ar"/>
          <w14:textFill>
            <w14:solidFill>
              <w14:schemeClr w14:val="tx1"/>
            </w14:solidFill>
          </w14:textFill>
        </w:rPr>
        <w:t>。</w:t>
      </w:r>
    </w:p>
    <w:p w14:paraId="52353A60">
      <w:pPr>
        <w:widowControl/>
        <w:spacing w:line="560" w:lineRule="exact"/>
        <w:outlineLvl w:val="2"/>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5" w:name="_Toc1020439846"/>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2.2.2 </w:t>
      </w:r>
      <w:r>
        <w:rPr>
          <w:rFonts w:hint="eastAsia" w:ascii="Times New Roman Regular" w:hAnsi="Times New Roman Regular" w:eastAsia="仿宋_GB2312" w:cs="Times New Roman Regular"/>
          <w:color w:val="000000" w:themeColor="text1"/>
          <w:kern w:val="0"/>
          <w:sz w:val="28"/>
          <w:szCs w:val="28"/>
          <w:lang w:eastAsia="zh-CN"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十四五”</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节能低碳技术改造项目</w:t>
      </w:r>
      <w:bookmarkEnd w:id="65"/>
    </w:p>
    <w:p w14:paraId="0EA273E4">
      <w:pPr>
        <w:widowControl/>
        <w:spacing w:line="560" w:lineRule="exact"/>
        <w:ind w:firstLine="560" w:firstLineChars="200"/>
        <w:outlineLvl w:val="9"/>
        <w:rPr>
          <w:rFonts w:hint="default"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根据统计，“十四五”期间，中化能源累计实施各类节能改造项目44项，合计节能量3.48万吨标煤，减排量20.77万吨二氧化碳。</w:t>
      </w:r>
    </w:p>
    <w:p w14:paraId="2F11F97B">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6" w:name="_Toc728086780"/>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2.2.2.1 泉州石化</w:t>
      </w:r>
      <w:bookmarkEnd w:id="66"/>
    </w:p>
    <w:p w14:paraId="6CAA0971">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为持续优化生产过程、提高用能效率，泉州石化各业务板块积极开展节能改造，近五年，累计实施节能改造项目15项，合计节能量达1.49万tce/a。项目列表见附表1。在实施的节能技改项目中，以节能增效项目为主，包括设备改造、余能回收以及工艺优化等。</w:t>
      </w:r>
    </w:p>
    <w:p w14:paraId="55F35769">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1.设备升级与改造项目</w:t>
      </w:r>
    </w:p>
    <w:p w14:paraId="58215F09">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设备升级与改造项目是指通过改进设备结构、替代高效部件或精简冗余设备，直接降低能耗。</w:t>
      </w:r>
    </w:p>
    <w:p w14:paraId="196F86ED">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2.余能回收与再利用项目</w:t>
      </w:r>
    </w:p>
    <w:p w14:paraId="5F3E89CE">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余能回收与再利用也是实现节能增效的重要方式，节能增效项目中通过生产线优化以及增加余能回收设备和效率，实现回收废热、蒸汽凝结水、乏汽等余能，转化为可利用能源，实现资源节约。</w:t>
      </w:r>
    </w:p>
    <w:p w14:paraId="014C84DE">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3.工艺优化与智能控制项目</w:t>
      </w:r>
    </w:p>
    <w:p w14:paraId="4EFAD9D9">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工艺优化与智能控制项目通过流程优化、先进控制系统（APC）或智能调节技术等，达到精准节能，实现生产流程的精细化管控与能耗精准匹配。</w:t>
      </w:r>
    </w:p>
    <w:p w14:paraId="27C4E8BC">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4.废弃资源化利用项目</w:t>
      </w:r>
    </w:p>
    <w:p w14:paraId="7C32EF3D">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石化生产中不可避免将产生废气，通过将工业废气转化为高附加值产品，构建“减排-增值”闭环，能够兼顾减排与经济效益，实现开拓资源循环新模式。</w:t>
      </w:r>
    </w:p>
    <w:p w14:paraId="66623D26">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5.燃烧效率提高项目</w:t>
      </w:r>
    </w:p>
    <w:p w14:paraId="39537C26">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燃烧效率提高项目主要指通过优化燃烧技术或炉体结构，提高热效率，减少燃料消耗，能够直接降低燃料需求，实现节能降碳。</w:t>
      </w:r>
    </w:p>
    <w:p w14:paraId="5500C089">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附表1展示了泉州石化近5年中化能源实施的节能技改项目，以下就典型案例进行介绍。</w:t>
      </w:r>
    </w:p>
    <w:p w14:paraId="723C85F0">
      <w:pPr>
        <w:widowControl/>
        <w:spacing w:line="560" w:lineRule="exact"/>
        <w:ind w:firstLine="562" w:firstLineChars="200"/>
        <w:rPr>
          <w:rFonts w:ascii="Times New Roman Regular" w:hAnsi="Times New Roman Regular" w:eastAsia="仿宋" w:cs="Times New Roman Regular"/>
          <w:b/>
          <w:bCs/>
          <w:color w:val="000000" w:themeColor="text1"/>
          <w:sz w:val="28"/>
          <w:szCs w:val="28"/>
          <w:lang w:bidi="ar"/>
          <w14:textFill>
            <w14:solidFill>
              <w14:schemeClr w14:val="tx1"/>
            </w14:solidFill>
          </w14:textFill>
        </w:rPr>
      </w:pPr>
      <w:r>
        <w:rPr>
          <w:rFonts w:ascii="Times New Roman Regular" w:hAnsi="Times New Roman Regular" w:eastAsia="仿宋" w:cs="Times New Roman Regular"/>
          <w:b/>
          <w:bCs/>
          <w:color w:val="000000" w:themeColor="text1"/>
          <w:sz w:val="28"/>
          <w:szCs w:val="28"/>
          <w:lang w:bidi="ar"/>
          <w14:textFill>
            <w14:solidFill>
              <w14:schemeClr w14:val="tx1"/>
            </w14:solidFill>
          </w14:textFill>
        </w:rPr>
        <w:t>案例1：打造行业内首台延迟焦化加热炉热效率95+绿色升级技术攻关项目</w:t>
      </w:r>
    </w:p>
    <w:p w14:paraId="3D0B01A0">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2022年，泉州石化与SEI合作开展焦化加热炉95+绿色升级技术攻关项目，实施了多项绿色升级改造。通过技术攻关，排烟温度从127℃降低至81℃，热效率由92.9%提高至95.1%，每年可节约燃料气1200吨，节能1600吨标煤，减碳3600吨二氧化碳，实现年效益411万元。该项目打造加热炉热效率标杆新实践，实现行业内首套焦化装置加热炉热效率95+目标，创立了行业新标杆。</w:t>
      </w:r>
    </w:p>
    <w:p w14:paraId="23AF2164">
      <w:pPr>
        <w:widowControl/>
        <w:spacing w:line="560" w:lineRule="exact"/>
        <w:ind w:firstLine="562" w:firstLineChars="200"/>
        <w:rPr>
          <w:rFonts w:ascii="Times New Roman Regular" w:hAnsi="Times New Roman Regular" w:eastAsia="仿宋" w:cs="Times New Roman Regular"/>
          <w:b/>
          <w:bCs/>
          <w:color w:val="000000" w:themeColor="text1"/>
          <w:sz w:val="28"/>
          <w:szCs w:val="28"/>
          <w:lang w:bidi="ar"/>
          <w14:textFill>
            <w14:solidFill>
              <w14:schemeClr w14:val="tx1"/>
            </w14:solidFill>
          </w14:textFill>
        </w:rPr>
      </w:pPr>
      <w:r>
        <w:rPr>
          <w:rFonts w:ascii="Times New Roman Regular" w:hAnsi="Times New Roman Regular" w:eastAsia="仿宋" w:cs="Times New Roman Regular"/>
          <w:b/>
          <w:bCs/>
          <w:color w:val="000000" w:themeColor="text1"/>
          <w:sz w:val="28"/>
          <w:szCs w:val="28"/>
          <w:lang w:bidi="ar"/>
          <w14:textFill>
            <w14:solidFill>
              <w14:schemeClr w14:val="tx1"/>
            </w14:solidFill>
          </w14:textFill>
        </w:rPr>
        <w:t>案例2：1#连续重整方炉余热回收系统优化改造项目</w:t>
      </w:r>
    </w:p>
    <w:p w14:paraId="129ECBEB">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1#连续重整4台方炉采用自然通风，未设置空气余热回收系统，排烟温度160℃，热效率90.8%低于全厂平均水平。2022年1月，1#连续重整方炉在原有工艺流程的基础上，增加烟气-空气预热器余热回收系统。通过优化改造，排烟温度从167℃降低至100℃，热效率由90.8%提高至94%，每年可节约燃料气4000吨，节能5400吨标煤，减碳12000吨二氧化碳，实现年效益1371万元。该项目为采用UOP工艺的连续重整装置原始设计未设置空气预热器的方炉提供改造案例，且加热炉热效率提升明显。</w:t>
      </w:r>
    </w:p>
    <w:p w14:paraId="7E056E4D">
      <w:pPr>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br w:type="page"/>
      </w:r>
    </w:p>
    <w:p w14:paraId="512E5695">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7" w:name="_Toc592690854"/>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正和石化</w:t>
      </w:r>
      <w:bookmarkEnd w:id="67"/>
    </w:p>
    <w:p w14:paraId="1C9CB0D5">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近五年，正和石化累计实施节能改造项目15项，合计节能量达0.56万tce/a。项目列表见附表1。在实施的节能技改项目中，以节能增效项目为主，包括设备能效提升与改造、热能系统优化与余热回收以及控制系统与运行参数优化等。</w:t>
      </w:r>
    </w:p>
    <w:p w14:paraId="533D2D5D">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1.设备能效提升与改造项目</w:t>
      </w:r>
    </w:p>
    <w:p w14:paraId="273B454F">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设备能效提升与改造项目是指通过硬件升级与新技术应用，直接提高设备运行效率，降低能耗。正和石化通过替换高效电机、应用变频技术与永磁调速装置，显著降低关键设备能耗。例如，制硫风机加装变频器后年节电120万千瓦时，投资回报率达61.8%；更换479台高效电机实现年节电77.28万千瓦时，年收益51.78万元；永磁调速电机改造项目年节电35.2万千瓦时，节能收益23.58万元。</w:t>
      </w:r>
    </w:p>
    <w:p w14:paraId="359BA456">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2.热能系统优化与余热回收项目</w:t>
      </w:r>
    </w:p>
    <w:p w14:paraId="006A49E8">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热能系统优化与余热回收方面，正和石化重点改造加热炉余热回收系统，并通过热媒水替代蒸汽伴热实现节能。延迟焦化加热炉余热回收项目使排烟温度降至90℃，年节约燃料气310吨；蒸汽伴热改热媒水项目（如罐区、MTBE装置改造）年节约1.0MPa蒸汽近3000吨；凝结水热量综合利用项目通过跨装置热交换，年节蒸汽1.5万吨，收益达304.2万元。</w:t>
      </w:r>
    </w:p>
    <w:p w14:paraId="44F2555C">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3.控制系统与运行参数优化项目</w:t>
      </w:r>
    </w:p>
    <w:p w14:paraId="030343DD">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控制系统与运行参数优化项目聚焦动态调节与智能控制技术。富气压缩机新增3C控制系统后，年减少3.5MPa蒸汽消耗1.6万吨，收益32万元；汽油加氢压缩机无级调节改造实现0%-100%负荷精准匹配，年节电162.4万千瓦时，回报率128%；中变气余热回收项目结合空冷变频优化，年节电4.8万千瓦时并减少燃料气消耗72.6吨。</w:t>
      </w:r>
    </w:p>
    <w:p w14:paraId="5E6ED5CA">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4.水资源与冷却系统循环利用项目</w:t>
      </w:r>
    </w:p>
    <w:p w14:paraId="3181424E">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水资源与冷却系统循环利用通过闭式循环与跨装置整合降低水耗与冷却能耗。机泵冷却水循环系统年节约除盐水16万吨，同步节电22.4万千瓦时；停用焦化除氧器后，通过共享连续重整装置除氧水，年节电18.48万千瓦时并减少蒸汽消耗8400吨，收益174.5万元。</w:t>
      </w:r>
    </w:p>
    <w:p w14:paraId="088A1639">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8" w:name="_Toc1326028392"/>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3 华星石化</w:t>
      </w:r>
      <w:bookmarkEnd w:id="68"/>
    </w:p>
    <w:p w14:paraId="30C7EF4D">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近五年，</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华星</w:t>
      </w:r>
      <w:r>
        <w:rPr>
          <w:rFonts w:ascii="Times New Roman Regular" w:hAnsi="Times New Roman Regular" w:eastAsia="仿宋" w:cs="Times New Roman Regular"/>
          <w:color w:val="000000" w:themeColor="text1"/>
          <w:sz w:val="28"/>
          <w:szCs w:val="28"/>
          <w:lang w:bidi="ar"/>
          <w14:textFill>
            <w14:solidFill>
              <w14:schemeClr w14:val="tx1"/>
            </w14:solidFill>
          </w14:textFill>
        </w:rPr>
        <w:t>石化累计实施节能改造项目14项，合计节能量达1.43万tce/a。项目列表见附表1。在实施的节能技改项目中，华星石化通过系统性实施节能低碳措施，从工艺流程优化、热能管理与回收、设备升级与能效提升、资源循环利用四大方向推动能源效率提升与碳排放降低。</w:t>
      </w:r>
    </w:p>
    <w:p w14:paraId="04AFBE48">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1.工艺流程优化项目</w:t>
      </w:r>
    </w:p>
    <w:p w14:paraId="6956E014">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工艺流程优化项目通过优化生产工艺流程，减少能源浪费、提高反应效率或缩短生产周期，降低单位产品的能源消耗和碳排放。</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华星</w:t>
      </w:r>
      <w:r>
        <w:rPr>
          <w:rFonts w:ascii="Times New Roman Regular" w:hAnsi="Times New Roman Regular" w:eastAsia="仿宋" w:cs="Times New Roman Regular"/>
          <w:color w:val="000000" w:themeColor="text1"/>
          <w:sz w:val="28"/>
          <w:szCs w:val="28"/>
          <w:lang w:bidi="ar"/>
          <w14:textFill>
            <w14:solidFill>
              <w14:schemeClr w14:val="tx1"/>
            </w14:solidFill>
          </w14:textFill>
        </w:rPr>
        <w:t>石化重整预加氢含硫液化气流程改造项目通过流程改造减少硫化物处理能耗，节能量达到1304吨标煤，节能收益219万元，同时实现产品效益增加3700万元。</w:t>
      </w:r>
    </w:p>
    <w:p w14:paraId="099CC954">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2.热能管理与回收项目</w:t>
      </w:r>
    </w:p>
    <w:p w14:paraId="100F8DF4">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热能管理与回收项目主要指通过回收余热、优化加热/冷却系统或改进热能传递效率，减少燃料消耗和热量损失，降低碳排放。</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华星</w:t>
      </w:r>
      <w:r>
        <w:rPr>
          <w:rFonts w:ascii="Times New Roman Regular" w:hAnsi="Times New Roman Regular" w:eastAsia="仿宋" w:cs="Times New Roman Regular"/>
          <w:color w:val="000000" w:themeColor="text1"/>
          <w:sz w:val="28"/>
          <w:szCs w:val="28"/>
          <w:lang w:bidi="ar"/>
          <w14:textFill>
            <w14:solidFill>
              <w14:schemeClr w14:val="tx1"/>
            </w14:solidFill>
          </w14:textFill>
        </w:rPr>
        <w:t>石化重点聚焦热能高效利用，依托储运部罐区维温项目改善储罐保温系统以减少热能损失，间接减少CO</w:t>
      </w:r>
      <w:r>
        <w:rPr>
          <w:rFonts w:ascii="Times New Roman Regular" w:hAnsi="Times New Roman Regular" w:eastAsia="仿宋" w:cs="Times New Roman Regular"/>
          <w:color w:val="000000" w:themeColor="text1"/>
          <w:sz w:val="28"/>
          <w:szCs w:val="28"/>
          <w:vertAlign w:val="subscript"/>
          <w:lang w:bidi="ar"/>
          <w14:textFill>
            <w14:solidFill>
              <w14:schemeClr w14:val="tx1"/>
            </w14:solidFill>
          </w14:textFill>
        </w:rPr>
        <w:t>2</w:t>
      </w:r>
      <w:r>
        <w:rPr>
          <w:rFonts w:ascii="Times New Roman Regular" w:hAnsi="Times New Roman Regular" w:eastAsia="仿宋" w:cs="Times New Roman Regular"/>
          <w:color w:val="000000" w:themeColor="text1"/>
          <w:sz w:val="28"/>
          <w:szCs w:val="28"/>
          <w:lang w:bidi="ar"/>
          <w14:textFill>
            <w14:solidFill>
              <w14:schemeClr w14:val="tx1"/>
            </w14:solidFill>
          </w14:textFill>
        </w:rPr>
        <w:t>排放4700吨。</w:t>
      </w:r>
    </w:p>
    <w:p w14:paraId="55E92FCF">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3.设备升级与能效提升项目</w:t>
      </w:r>
    </w:p>
    <w:p w14:paraId="737B2FD4">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设备升级与能效提升项目</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通过更换高能效设备、优化设备运行参数或引入智能控制系统，直接提升设备能效，降低单位能耗。华星</w:t>
      </w:r>
      <w:r>
        <w:rPr>
          <w:rFonts w:ascii="Times New Roman Regular" w:hAnsi="Times New Roman Regular" w:eastAsia="仿宋" w:cs="Times New Roman Regular"/>
          <w:color w:val="000000" w:themeColor="text1"/>
          <w:sz w:val="28"/>
          <w:szCs w:val="28"/>
          <w:lang w:bidi="ar"/>
          <w14:textFill>
            <w14:solidFill>
              <w14:schemeClr w14:val="tx1"/>
            </w14:solidFill>
          </w14:textFill>
        </w:rPr>
        <w:t>石化通过技术改造提升设备运行效率，开展非临氢改质装置原料换热流程优化项目提高热能交换效率，依托连续重整安装空冷蒸发预冷器项目降低电力消耗，减少CO</w:t>
      </w:r>
      <w:r>
        <w:rPr>
          <w:rFonts w:ascii="Times New Roman Regular" w:hAnsi="Times New Roman Regular" w:eastAsia="仿宋" w:cs="Times New Roman Regular"/>
          <w:color w:val="000000" w:themeColor="text1"/>
          <w:sz w:val="28"/>
          <w:szCs w:val="28"/>
          <w:vertAlign w:val="subscript"/>
          <w:lang w:bidi="ar"/>
          <w14:textFill>
            <w14:solidFill>
              <w14:schemeClr w14:val="tx1"/>
            </w14:solidFill>
          </w14:textFill>
        </w:rPr>
        <w:t>2</w:t>
      </w:r>
      <w:r>
        <w:rPr>
          <w:rFonts w:ascii="Times New Roman Regular" w:hAnsi="Times New Roman Regular" w:eastAsia="仿宋" w:cs="Times New Roman Regular"/>
          <w:color w:val="000000" w:themeColor="text1"/>
          <w:sz w:val="28"/>
          <w:szCs w:val="28"/>
          <w:lang w:bidi="ar"/>
          <w14:textFill>
            <w14:solidFill>
              <w14:schemeClr w14:val="tx1"/>
            </w14:solidFill>
          </w14:textFill>
        </w:rPr>
        <w:t>排放2600吨。</w:t>
      </w:r>
    </w:p>
    <w:p w14:paraId="23C6450E">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4.资源循环利用项目</w:t>
      </w:r>
    </w:p>
    <w:p w14:paraId="0B1A91F5">
      <w:pPr>
        <w:widowControl/>
        <w:spacing w:line="560" w:lineRule="exact"/>
        <w:ind w:firstLine="560" w:firstLineChars="200"/>
        <w:rPr>
          <w:rFonts w:ascii="Times New Roman Regular" w:hAnsi="Times New Roman Regular" w:eastAsia="仿宋" w:cs="Times New Roman Regular"/>
          <w:color w:val="000000" w:themeColor="text1"/>
          <w:sz w:val="28"/>
          <w:szCs w:val="28"/>
          <w:lang w:bidi="ar"/>
          <w14:textFill>
            <w14:solidFill>
              <w14:schemeClr w14:val="tx1"/>
            </w14:solidFill>
          </w14:textFill>
        </w:rPr>
      </w:pPr>
      <w:r>
        <w:rPr>
          <w:rFonts w:ascii="Times New Roman Regular" w:hAnsi="Times New Roman Regular" w:eastAsia="仿宋" w:cs="Times New Roman Regular"/>
          <w:color w:val="000000" w:themeColor="text1"/>
          <w:sz w:val="28"/>
          <w:szCs w:val="28"/>
          <w:lang w:bidi="ar"/>
          <w14:textFill>
            <w14:solidFill>
              <w14:schemeClr w14:val="tx1"/>
            </w14:solidFill>
          </w14:textFill>
        </w:rPr>
        <w:t>资源循环利用项目</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通过回收利用废料、副产品或废弃能源，减少资源浪费和污染排放，实现循环经济。华星</w:t>
      </w:r>
      <w:r>
        <w:rPr>
          <w:rFonts w:ascii="Times New Roman Regular" w:hAnsi="Times New Roman Regular" w:eastAsia="仿宋" w:cs="Times New Roman Regular"/>
          <w:color w:val="000000" w:themeColor="text1"/>
          <w:sz w:val="28"/>
          <w:szCs w:val="28"/>
          <w:lang w:bidi="ar"/>
          <w14:textFill>
            <w14:solidFill>
              <w14:schemeClr w14:val="tx1"/>
            </w14:solidFill>
          </w14:textFill>
        </w:rPr>
        <w:t>石化强化水、气资源的循环回收，柴油加氢汽轮机汽封冷却水回收利用项目和DCC装置低压降水封罐项目分别实现冷却水回收与水封系统优化，减少水资源消耗。</w:t>
      </w:r>
    </w:p>
    <w:p w14:paraId="41B9DE5C">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4B6456F1">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4D653B27">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35E00ED6">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11E1615A">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1DF62375">
      <w:pP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br w:type="page"/>
      </w:r>
    </w:p>
    <w:p w14:paraId="02EDE202">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69" w:name="_Toc2121379425"/>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4</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大庆中蓝</w:t>
      </w:r>
      <w:bookmarkEnd w:id="69"/>
    </w:p>
    <w:p w14:paraId="31A1E85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2021年，大庆中蓝通过采取操作优化、流程优化、设备优化等措施，共完成降低DCC装置新鲜水单耗、降低汽油加氢装置蒸汽单耗、降低空分工段电耗、降低常压装置燃料气单耗等装置级项目22项，累计年创效445.07万元。下半年由于常压装置不符合国家产业政策而停产，炼油装置停工，节能项目也随之终止。</w:t>
      </w:r>
    </w:p>
    <w:p w14:paraId="4A94EEE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2022年，由于大庆中蓝运行生产装置减少，公用工程部的部分设备存在大马拉小车，有不同程度的供汽、供水过剩，存在能源浪费问题。针对此问题，公司对电、蒸汽、除盐水、新鲜水、循环水的消耗数据进行核算，在满足现运行条件的情况下，利用公司闲置机泵、变频器，对存在能源</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过剩</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且节能潜力大的工艺、流程、设备等有针对性地采取间歇运行、优化操作指标、优化工艺流程、机泵替代、变频改造等办法。基于这些措施，公司确立了降低壬烯装置能耗、降低公用工程部能耗以及燃气锅炉替代燃煤锅炉等关键攻关项目。</w:t>
      </w:r>
    </w:p>
    <w:p w14:paraId="783A32C8">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随着各项目实施计划以及实施方案的落地，节能项目按计划如期实施、完成、投入使用。通过对各项目投用前后运行数据收集与核算，年累计节能0.9万吨标准煤，减碳3.17万吨二氧化碳。</w:t>
      </w:r>
    </w:p>
    <w:p w14:paraId="477DC9B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2023年，大庆中蓝组织各部门针对具备节能潜力的设备和工艺，通过优化操作流程、实施技术改造等手段，运用FMEA风险辨识工具深入分析节能降碳的风险与机遇。在此过程中，确立了包括DCC燃气锅炉火嘴改造项目在内的7项技术改造和流程优化项目，年节能可达1238吨标准煤，同时减少二氧化碳排放2673吨当量。</w:t>
      </w:r>
    </w:p>
    <w:p w14:paraId="0820DABE">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26B9604A">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5047A740">
      <w:pP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br w:type="page"/>
      </w:r>
    </w:p>
    <w:p w14:paraId="64B9AD6B">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28C4C78D">
      <w:pPr>
        <w:widowControl/>
        <w:spacing w:line="560" w:lineRule="exact"/>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bookmarkStart w:id="70" w:name="_Toc1500488481"/>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2.5</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石化院</w:t>
      </w:r>
      <w:bookmarkEnd w:id="70"/>
    </w:p>
    <w:p w14:paraId="052F555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石化院原泉州科技未统计能耗相关数据，自2023年起统计综合能耗和CO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排放量。针对历史能耗数据统计体系不完善的情况，石化院近年来着力完善节能减排基础管理工作。现有统计数据显示，石化院2024年综合能耗较2023年下降14.2%（0.0023万吨标煤），同期二氧化碳排放量实现66.7%的显著下降（减少0.046万吨）。</w:t>
      </w:r>
    </w:p>
    <w:p w14:paraId="7252CFAA">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在节能降碳技术积累方面，石化院已完成多个前沿领域的预研布局。重点围绕石油化工流程优化、废旧资源循环利用等方向，形成了包括工艺能效提升、再生材料高值化应用等在内的技术储备体系，为后续深度实施低碳改造奠定基础。面向“十五五”阶段，计划在现有技术框架下深化炼厂智能优化、生物质衍生材料等关键领域的科研攻关。</w:t>
      </w:r>
    </w:p>
    <w:p w14:paraId="5AC0B2C5">
      <w:pPr>
        <w:widowControl/>
        <w:rPr>
          <w:rFonts w:ascii="Times New Roman Regular" w:hAnsi="Times New Roman Regular" w:eastAsia="仿宋" w:cs="Times New Roman Regular"/>
          <w:b/>
          <w:bCs/>
          <w:color w:val="000000" w:themeColor="text1"/>
          <w:sz w:val="28"/>
          <w:szCs w:val="28"/>
          <w:lang w:bidi="ar"/>
          <w14:textFill>
            <w14:solidFill>
              <w14:schemeClr w14:val="tx1"/>
            </w14:solidFill>
          </w14:textFill>
        </w:rPr>
        <w:sectPr>
          <w:headerReference r:id="rId9" w:type="default"/>
          <w:pgSz w:w="11906" w:h="16838"/>
          <w:pgMar w:top="1440" w:right="1800" w:bottom="1440" w:left="1800" w:header="851" w:footer="992" w:gutter="0"/>
          <w:pgNumType w:fmt="numberInDash"/>
          <w:cols w:space="425" w:num="1"/>
          <w:docGrid w:type="lines" w:linePitch="312" w:charSpace="0"/>
        </w:sectPr>
      </w:pPr>
    </w:p>
    <w:p w14:paraId="6485CE74">
      <w:pPr>
        <w:widowControl/>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附表1 节能降碳项目情况</w:t>
      </w:r>
    </w:p>
    <w:tbl>
      <w:tblPr>
        <w:tblStyle w:val="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3"/>
        <w:gridCol w:w="1078"/>
        <w:gridCol w:w="4996"/>
        <w:gridCol w:w="923"/>
        <w:gridCol w:w="801"/>
        <w:gridCol w:w="1736"/>
        <w:gridCol w:w="829"/>
        <w:gridCol w:w="984"/>
        <w:gridCol w:w="1551"/>
        <w:gridCol w:w="814"/>
      </w:tblGrid>
      <w:tr w14:paraId="735E4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3" w:type="pct"/>
            <w:vAlign w:val="center"/>
          </w:tcPr>
          <w:p w14:paraId="0F15EE03">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序号</w:t>
            </w:r>
          </w:p>
        </w:tc>
        <w:tc>
          <w:tcPr>
            <w:tcW w:w="380" w:type="pct"/>
            <w:vAlign w:val="center"/>
          </w:tcPr>
          <w:p w14:paraId="4E6149DE">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企业简称</w:t>
            </w:r>
          </w:p>
        </w:tc>
        <w:tc>
          <w:tcPr>
            <w:tcW w:w="1762" w:type="pct"/>
            <w:vAlign w:val="center"/>
          </w:tcPr>
          <w:p w14:paraId="58C0F40E">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节能技改项目名称</w:t>
            </w:r>
          </w:p>
        </w:tc>
        <w:tc>
          <w:tcPr>
            <w:tcW w:w="325" w:type="pct"/>
            <w:vAlign w:val="center"/>
          </w:tcPr>
          <w:p w14:paraId="505D0EFF">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实施时间</w:t>
            </w:r>
          </w:p>
        </w:tc>
        <w:tc>
          <w:tcPr>
            <w:tcW w:w="282" w:type="pct"/>
            <w:vAlign w:val="center"/>
          </w:tcPr>
          <w:p w14:paraId="0EA982DF">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投入量（万元）</w:t>
            </w:r>
          </w:p>
        </w:tc>
        <w:tc>
          <w:tcPr>
            <w:tcW w:w="612" w:type="pct"/>
            <w:vAlign w:val="center"/>
          </w:tcPr>
          <w:p w14:paraId="4378042E">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节能实物量</w:t>
            </w:r>
          </w:p>
          <w:p w14:paraId="723FF12D">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（千瓦时、吨）</w:t>
            </w:r>
          </w:p>
        </w:tc>
        <w:tc>
          <w:tcPr>
            <w:tcW w:w="292" w:type="pct"/>
            <w:vAlign w:val="center"/>
          </w:tcPr>
          <w:p w14:paraId="6ED55142">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节能量</w:t>
            </w:r>
          </w:p>
          <w:p w14:paraId="6D1024F9">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（吨标煤）</w:t>
            </w:r>
          </w:p>
        </w:tc>
        <w:tc>
          <w:tcPr>
            <w:tcW w:w="347" w:type="pct"/>
            <w:vAlign w:val="center"/>
          </w:tcPr>
          <w:p w14:paraId="7AACAF20">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减少CO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排放量</w:t>
            </w:r>
          </w:p>
          <w:p w14:paraId="3A5C9564">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（吨）</w:t>
            </w:r>
          </w:p>
        </w:tc>
        <w:tc>
          <w:tcPr>
            <w:tcW w:w="547" w:type="pct"/>
            <w:vAlign w:val="center"/>
          </w:tcPr>
          <w:p w14:paraId="2116E41A">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节能收益</w:t>
            </w:r>
          </w:p>
          <w:p w14:paraId="42DCA3C2">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（万元）</w:t>
            </w:r>
          </w:p>
        </w:tc>
        <w:tc>
          <w:tcPr>
            <w:tcW w:w="287" w:type="pct"/>
            <w:vAlign w:val="center"/>
          </w:tcPr>
          <w:p w14:paraId="62394110">
            <w:pPr>
              <w:widowControl/>
              <w:adjustRightInd w:val="0"/>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项目说明</w:t>
            </w:r>
          </w:p>
        </w:tc>
      </w:tr>
      <w:tr w14:paraId="2D35D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67A00E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520C7388">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59E8B46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延迟焦化加热炉热效率95+绿色升级技术攻关项目</w:t>
            </w:r>
          </w:p>
        </w:tc>
        <w:tc>
          <w:tcPr>
            <w:tcW w:w="325" w:type="pct"/>
            <w:vAlign w:val="center"/>
          </w:tcPr>
          <w:p w14:paraId="08F2FC7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2022年1月</w:t>
            </w:r>
          </w:p>
        </w:tc>
        <w:tc>
          <w:tcPr>
            <w:tcW w:w="282" w:type="pct"/>
            <w:tcBorders>
              <w:top w:val="single" w:color="auto" w:sz="4" w:space="0"/>
              <w:left w:val="single" w:color="auto" w:sz="4" w:space="0"/>
              <w:bottom w:val="single" w:color="auto" w:sz="4" w:space="0"/>
              <w:right w:val="single" w:color="auto" w:sz="4" w:space="0"/>
            </w:tcBorders>
            <w:shd w:val="clear" w:color="auto" w:fill="auto"/>
            <w:vAlign w:val="center"/>
          </w:tcPr>
          <w:p w14:paraId="0AF868E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2000</w:t>
            </w:r>
          </w:p>
        </w:tc>
        <w:tc>
          <w:tcPr>
            <w:tcW w:w="612" w:type="pct"/>
            <w:vAlign w:val="center"/>
          </w:tcPr>
          <w:p w14:paraId="54E3AF5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燃料气1200吨/年</w:t>
            </w:r>
          </w:p>
        </w:tc>
        <w:tc>
          <w:tcPr>
            <w:tcW w:w="292" w:type="pct"/>
            <w:tcBorders>
              <w:top w:val="single" w:color="auto" w:sz="4" w:space="0"/>
              <w:left w:val="single" w:color="auto" w:sz="4" w:space="0"/>
              <w:bottom w:val="single" w:color="auto" w:sz="4" w:space="0"/>
              <w:right w:val="single" w:color="auto" w:sz="4" w:space="0"/>
            </w:tcBorders>
            <w:shd w:val="clear" w:color="auto" w:fill="auto"/>
            <w:vAlign w:val="center"/>
          </w:tcPr>
          <w:p w14:paraId="02F9304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1600</w:t>
            </w:r>
          </w:p>
        </w:tc>
        <w:tc>
          <w:tcPr>
            <w:tcW w:w="347" w:type="pct"/>
            <w:tcBorders>
              <w:top w:val="single" w:color="auto" w:sz="4" w:space="0"/>
              <w:left w:val="single" w:color="auto" w:sz="4" w:space="0"/>
              <w:bottom w:val="single" w:color="auto" w:sz="4" w:space="0"/>
              <w:right w:val="single" w:color="auto" w:sz="4" w:space="0"/>
            </w:tcBorders>
            <w:shd w:val="clear" w:color="auto" w:fill="auto"/>
            <w:vAlign w:val="center"/>
          </w:tcPr>
          <w:p w14:paraId="5BD97CF3">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3600</w:t>
            </w:r>
          </w:p>
        </w:tc>
        <w:tc>
          <w:tcPr>
            <w:tcW w:w="547" w:type="pct"/>
            <w:tcBorders>
              <w:top w:val="single" w:color="auto" w:sz="4" w:space="0"/>
              <w:left w:val="single" w:color="auto" w:sz="4" w:space="0"/>
              <w:bottom w:val="single" w:color="auto" w:sz="4" w:space="0"/>
              <w:right w:val="single" w:color="auto" w:sz="4" w:space="0"/>
            </w:tcBorders>
            <w:shd w:val="clear" w:color="auto" w:fill="auto"/>
            <w:vAlign w:val="center"/>
          </w:tcPr>
          <w:p w14:paraId="02A6E8B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411</w:t>
            </w:r>
          </w:p>
        </w:tc>
        <w:tc>
          <w:tcPr>
            <w:tcW w:w="287" w:type="pct"/>
            <w:vAlign w:val="center"/>
          </w:tcPr>
          <w:p w14:paraId="569F7E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7ADDF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0A495B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380" w:type="pct"/>
            <w:tcBorders>
              <w:top w:val="nil"/>
              <w:left w:val="single" w:color="auto" w:sz="4" w:space="0"/>
              <w:bottom w:val="single" w:color="auto" w:sz="4" w:space="0"/>
              <w:right w:val="single" w:color="auto" w:sz="4" w:space="0"/>
            </w:tcBorders>
            <w:shd w:val="clear" w:color="auto" w:fill="auto"/>
            <w:vAlign w:val="center"/>
          </w:tcPr>
          <w:p w14:paraId="47275D2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nil"/>
              <w:left w:val="nil"/>
              <w:bottom w:val="single" w:color="auto" w:sz="4" w:space="0"/>
              <w:right w:val="single" w:color="auto" w:sz="4" w:space="0"/>
            </w:tcBorders>
            <w:shd w:val="clear" w:color="auto" w:fill="auto"/>
            <w:vAlign w:val="center"/>
          </w:tcPr>
          <w:p w14:paraId="27B7BC1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以EO/EG装置CO2废气为原料合成碳酸酯</w:t>
            </w:r>
          </w:p>
        </w:tc>
        <w:tc>
          <w:tcPr>
            <w:tcW w:w="325" w:type="pct"/>
            <w:vAlign w:val="center"/>
          </w:tcPr>
          <w:p w14:paraId="1ADA444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2022年1月</w:t>
            </w:r>
          </w:p>
        </w:tc>
        <w:tc>
          <w:tcPr>
            <w:tcW w:w="282" w:type="pct"/>
            <w:tcBorders>
              <w:top w:val="nil"/>
              <w:left w:val="single" w:color="auto" w:sz="4" w:space="0"/>
              <w:bottom w:val="single" w:color="auto" w:sz="4" w:space="0"/>
              <w:right w:val="single" w:color="auto" w:sz="4" w:space="0"/>
            </w:tcBorders>
            <w:shd w:val="clear" w:color="auto" w:fill="auto"/>
            <w:vAlign w:val="center"/>
          </w:tcPr>
          <w:p w14:paraId="0C957FB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75548</w:t>
            </w:r>
          </w:p>
        </w:tc>
        <w:tc>
          <w:tcPr>
            <w:tcW w:w="612" w:type="pct"/>
            <w:vAlign w:val="center"/>
          </w:tcPr>
          <w:p w14:paraId="50A2924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292" w:type="pct"/>
            <w:tcBorders>
              <w:top w:val="nil"/>
              <w:left w:val="single" w:color="auto" w:sz="4" w:space="0"/>
              <w:bottom w:val="single" w:color="auto" w:sz="4" w:space="0"/>
              <w:right w:val="single" w:color="auto" w:sz="4" w:space="0"/>
            </w:tcBorders>
            <w:shd w:val="clear" w:color="auto" w:fill="auto"/>
            <w:vAlign w:val="center"/>
          </w:tcPr>
          <w:p w14:paraId="14C16E4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347" w:type="pct"/>
            <w:tcBorders>
              <w:top w:val="nil"/>
              <w:left w:val="single" w:color="auto" w:sz="4" w:space="0"/>
              <w:bottom w:val="single" w:color="auto" w:sz="4" w:space="0"/>
              <w:right w:val="single" w:color="auto" w:sz="4" w:space="0"/>
            </w:tcBorders>
            <w:shd w:val="clear" w:color="auto" w:fill="auto"/>
            <w:vAlign w:val="center"/>
          </w:tcPr>
          <w:p w14:paraId="0F51DE5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140000</w:t>
            </w:r>
          </w:p>
        </w:tc>
        <w:tc>
          <w:tcPr>
            <w:tcW w:w="547" w:type="pct"/>
            <w:tcBorders>
              <w:top w:val="nil"/>
              <w:left w:val="single" w:color="auto" w:sz="4" w:space="0"/>
              <w:bottom w:val="single" w:color="auto" w:sz="4" w:space="0"/>
              <w:right w:val="single" w:color="auto" w:sz="4" w:space="0"/>
            </w:tcBorders>
            <w:shd w:val="clear" w:color="auto" w:fill="auto"/>
            <w:vAlign w:val="center"/>
          </w:tcPr>
          <w:p w14:paraId="337D772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13657</w:t>
            </w:r>
          </w:p>
        </w:tc>
        <w:tc>
          <w:tcPr>
            <w:tcW w:w="287" w:type="pct"/>
            <w:vAlign w:val="center"/>
          </w:tcPr>
          <w:p w14:paraId="6FF0F51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42E7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049CCAA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380" w:type="pct"/>
            <w:tcBorders>
              <w:top w:val="nil"/>
              <w:left w:val="single" w:color="auto" w:sz="4" w:space="0"/>
              <w:bottom w:val="single" w:color="auto" w:sz="4" w:space="0"/>
              <w:right w:val="single" w:color="auto" w:sz="4" w:space="0"/>
            </w:tcBorders>
            <w:shd w:val="clear" w:color="auto" w:fill="auto"/>
            <w:vAlign w:val="center"/>
          </w:tcPr>
          <w:p w14:paraId="032A93F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nil"/>
              <w:left w:val="nil"/>
              <w:bottom w:val="single" w:color="auto" w:sz="4" w:space="0"/>
              <w:right w:val="single" w:color="auto" w:sz="4" w:space="0"/>
            </w:tcBorders>
            <w:shd w:val="clear" w:color="auto" w:fill="auto"/>
            <w:vAlign w:val="center"/>
          </w:tcPr>
          <w:p w14:paraId="1B99387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1#连续重整方炉余热回收系统优化改造项目</w:t>
            </w:r>
          </w:p>
        </w:tc>
        <w:tc>
          <w:tcPr>
            <w:tcW w:w="325" w:type="pct"/>
            <w:vAlign w:val="center"/>
          </w:tcPr>
          <w:p w14:paraId="5D8F886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2022年1月</w:t>
            </w:r>
          </w:p>
        </w:tc>
        <w:tc>
          <w:tcPr>
            <w:tcW w:w="282" w:type="pct"/>
            <w:tcBorders>
              <w:top w:val="nil"/>
              <w:left w:val="single" w:color="auto" w:sz="4" w:space="0"/>
              <w:bottom w:val="single" w:color="auto" w:sz="4" w:space="0"/>
              <w:right w:val="single" w:color="auto" w:sz="4" w:space="0"/>
            </w:tcBorders>
            <w:shd w:val="clear" w:color="auto" w:fill="auto"/>
            <w:vAlign w:val="center"/>
          </w:tcPr>
          <w:p w14:paraId="70F3420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3000</w:t>
            </w:r>
          </w:p>
        </w:tc>
        <w:tc>
          <w:tcPr>
            <w:tcW w:w="612" w:type="pct"/>
            <w:vAlign w:val="center"/>
          </w:tcPr>
          <w:p w14:paraId="28F1E1F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燃料气4000吨/年</w:t>
            </w:r>
          </w:p>
        </w:tc>
        <w:tc>
          <w:tcPr>
            <w:tcW w:w="292" w:type="pct"/>
            <w:tcBorders>
              <w:top w:val="nil"/>
              <w:left w:val="single" w:color="auto" w:sz="4" w:space="0"/>
              <w:bottom w:val="single" w:color="auto" w:sz="4" w:space="0"/>
              <w:right w:val="single" w:color="auto" w:sz="4" w:space="0"/>
            </w:tcBorders>
            <w:shd w:val="clear" w:color="auto" w:fill="auto"/>
            <w:vAlign w:val="center"/>
          </w:tcPr>
          <w:p w14:paraId="15FB891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5400</w:t>
            </w:r>
          </w:p>
        </w:tc>
        <w:tc>
          <w:tcPr>
            <w:tcW w:w="347" w:type="pct"/>
            <w:tcBorders>
              <w:top w:val="nil"/>
              <w:left w:val="single" w:color="auto" w:sz="4" w:space="0"/>
              <w:bottom w:val="single" w:color="auto" w:sz="4" w:space="0"/>
              <w:right w:val="single" w:color="auto" w:sz="4" w:space="0"/>
            </w:tcBorders>
            <w:shd w:val="clear" w:color="auto" w:fill="auto"/>
            <w:vAlign w:val="center"/>
          </w:tcPr>
          <w:p w14:paraId="4C0A32B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12000</w:t>
            </w:r>
          </w:p>
        </w:tc>
        <w:tc>
          <w:tcPr>
            <w:tcW w:w="547" w:type="pct"/>
            <w:tcBorders>
              <w:top w:val="nil"/>
              <w:left w:val="single" w:color="auto" w:sz="4" w:space="0"/>
              <w:bottom w:val="single" w:color="auto" w:sz="4" w:space="0"/>
              <w:right w:val="single" w:color="auto" w:sz="4" w:space="0"/>
            </w:tcBorders>
            <w:shd w:val="clear" w:color="auto" w:fill="auto"/>
            <w:vAlign w:val="center"/>
          </w:tcPr>
          <w:p w14:paraId="5FE2166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1371</w:t>
            </w:r>
          </w:p>
        </w:tc>
        <w:tc>
          <w:tcPr>
            <w:tcW w:w="287" w:type="pct"/>
            <w:vAlign w:val="center"/>
          </w:tcPr>
          <w:p w14:paraId="557EA72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565B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8335C0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380" w:type="pct"/>
            <w:tcBorders>
              <w:top w:val="nil"/>
              <w:left w:val="single" w:color="auto" w:sz="4" w:space="0"/>
              <w:bottom w:val="single" w:color="auto" w:sz="4" w:space="0"/>
              <w:right w:val="single" w:color="auto" w:sz="4" w:space="0"/>
            </w:tcBorders>
            <w:shd w:val="clear" w:color="auto" w:fill="auto"/>
            <w:vAlign w:val="center"/>
          </w:tcPr>
          <w:p w14:paraId="7613266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nil"/>
              <w:left w:val="nil"/>
              <w:bottom w:val="single" w:color="auto" w:sz="4" w:space="0"/>
              <w:right w:val="single" w:color="auto" w:sz="4" w:space="0"/>
            </w:tcBorders>
            <w:shd w:val="clear" w:color="auto" w:fill="auto"/>
            <w:vAlign w:val="center"/>
          </w:tcPr>
          <w:p w14:paraId="4F4395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2#重整装置优化流程停用再生压缩机K255节能改造项目</w:t>
            </w:r>
          </w:p>
        </w:tc>
        <w:tc>
          <w:tcPr>
            <w:tcW w:w="325" w:type="pct"/>
            <w:vAlign w:val="center"/>
          </w:tcPr>
          <w:p w14:paraId="1E55868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2022年2月</w:t>
            </w:r>
          </w:p>
        </w:tc>
        <w:tc>
          <w:tcPr>
            <w:tcW w:w="282" w:type="pct"/>
            <w:tcBorders>
              <w:top w:val="nil"/>
              <w:left w:val="single" w:color="auto" w:sz="4" w:space="0"/>
              <w:bottom w:val="single" w:color="auto" w:sz="4" w:space="0"/>
              <w:right w:val="single" w:color="auto" w:sz="4" w:space="0"/>
            </w:tcBorders>
            <w:shd w:val="clear" w:color="auto" w:fill="auto"/>
            <w:vAlign w:val="center"/>
          </w:tcPr>
          <w:p w14:paraId="6DA1A5E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612" w:type="pct"/>
            <w:vAlign w:val="center"/>
          </w:tcPr>
          <w:p w14:paraId="126532A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节电174万千瓦时/年</w:t>
            </w:r>
          </w:p>
        </w:tc>
        <w:tc>
          <w:tcPr>
            <w:tcW w:w="292" w:type="pct"/>
            <w:tcBorders>
              <w:top w:val="nil"/>
              <w:left w:val="single" w:color="auto" w:sz="4" w:space="0"/>
              <w:bottom w:val="single" w:color="auto" w:sz="4" w:space="0"/>
              <w:right w:val="single" w:color="auto" w:sz="4" w:space="0"/>
            </w:tcBorders>
            <w:shd w:val="clear" w:color="auto" w:fill="auto"/>
            <w:vAlign w:val="center"/>
          </w:tcPr>
          <w:p w14:paraId="5D9C659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237</w:t>
            </w:r>
          </w:p>
        </w:tc>
        <w:tc>
          <w:tcPr>
            <w:tcW w:w="347" w:type="pct"/>
            <w:tcBorders>
              <w:top w:val="nil"/>
              <w:left w:val="single" w:color="auto" w:sz="4" w:space="0"/>
              <w:bottom w:val="single" w:color="auto" w:sz="4" w:space="0"/>
              <w:right w:val="single" w:color="auto" w:sz="4" w:space="0"/>
            </w:tcBorders>
            <w:shd w:val="clear" w:color="auto" w:fill="auto"/>
            <w:vAlign w:val="center"/>
          </w:tcPr>
          <w:p w14:paraId="6EF6EC3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1176</w:t>
            </w:r>
          </w:p>
        </w:tc>
        <w:tc>
          <w:tcPr>
            <w:tcW w:w="547" w:type="pct"/>
            <w:tcBorders>
              <w:top w:val="nil"/>
              <w:left w:val="single" w:color="auto" w:sz="4" w:space="0"/>
              <w:bottom w:val="single" w:color="auto" w:sz="4" w:space="0"/>
              <w:right w:val="single" w:color="auto" w:sz="4" w:space="0"/>
            </w:tcBorders>
            <w:shd w:val="clear" w:color="auto" w:fill="auto"/>
            <w:vAlign w:val="center"/>
          </w:tcPr>
          <w:p w14:paraId="702ED5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87</w:t>
            </w:r>
          </w:p>
        </w:tc>
        <w:tc>
          <w:tcPr>
            <w:tcW w:w="287" w:type="pct"/>
            <w:vAlign w:val="center"/>
          </w:tcPr>
          <w:p w14:paraId="31A5B89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458F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327647A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380" w:type="pct"/>
            <w:tcBorders>
              <w:top w:val="nil"/>
              <w:left w:val="single" w:color="auto" w:sz="4" w:space="0"/>
              <w:bottom w:val="single" w:color="auto" w:sz="4" w:space="0"/>
              <w:right w:val="single" w:color="auto" w:sz="4" w:space="0"/>
            </w:tcBorders>
            <w:shd w:val="clear" w:color="auto" w:fill="auto"/>
            <w:vAlign w:val="center"/>
          </w:tcPr>
          <w:p w14:paraId="6EB42DC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nil"/>
              <w:left w:val="nil"/>
              <w:bottom w:val="single" w:color="auto" w:sz="4" w:space="0"/>
              <w:right w:val="single" w:color="auto" w:sz="4" w:space="0"/>
            </w:tcBorders>
            <w:shd w:val="clear" w:color="auto" w:fill="auto"/>
            <w:vAlign w:val="center"/>
          </w:tcPr>
          <w:p w14:paraId="32B8947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2#重整装置再生循环气压缩机K251气缸余隙容积改造节能项目</w:t>
            </w:r>
          </w:p>
        </w:tc>
        <w:tc>
          <w:tcPr>
            <w:tcW w:w="325" w:type="pct"/>
            <w:vAlign w:val="center"/>
          </w:tcPr>
          <w:p w14:paraId="5F6C5A2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2022年2月</w:t>
            </w:r>
          </w:p>
        </w:tc>
        <w:tc>
          <w:tcPr>
            <w:tcW w:w="282" w:type="pct"/>
            <w:tcBorders>
              <w:top w:val="nil"/>
              <w:left w:val="single" w:color="auto" w:sz="4" w:space="0"/>
              <w:bottom w:val="single" w:color="auto" w:sz="4" w:space="0"/>
              <w:right w:val="single" w:color="auto" w:sz="4" w:space="0"/>
            </w:tcBorders>
            <w:shd w:val="clear" w:color="auto" w:fill="auto"/>
            <w:vAlign w:val="center"/>
          </w:tcPr>
          <w:p w14:paraId="2A286D4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150</w:t>
            </w:r>
          </w:p>
        </w:tc>
        <w:tc>
          <w:tcPr>
            <w:tcW w:w="612" w:type="pct"/>
            <w:vAlign w:val="center"/>
          </w:tcPr>
          <w:p w14:paraId="1140CB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节电200万千瓦时/年</w:t>
            </w:r>
          </w:p>
        </w:tc>
        <w:tc>
          <w:tcPr>
            <w:tcW w:w="292" w:type="pct"/>
            <w:tcBorders>
              <w:top w:val="nil"/>
              <w:left w:val="single" w:color="auto" w:sz="4" w:space="0"/>
              <w:bottom w:val="single" w:color="auto" w:sz="4" w:space="0"/>
              <w:right w:val="single" w:color="auto" w:sz="4" w:space="0"/>
            </w:tcBorders>
            <w:shd w:val="clear" w:color="auto" w:fill="auto"/>
            <w:vAlign w:val="center"/>
          </w:tcPr>
          <w:p w14:paraId="6BADD0B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268</w:t>
            </w:r>
          </w:p>
        </w:tc>
        <w:tc>
          <w:tcPr>
            <w:tcW w:w="347" w:type="pct"/>
            <w:tcBorders>
              <w:top w:val="nil"/>
              <w:left w:val="single" w:color="auto" w:sz="4" w:space="0"/>
              <w:bottom w:val="single" w:color="auto" w:sz="4" w:space="0"/>
              <w:right w:val="single" w:color="auto" w:sz="4" w:space="0"/>
            </w:tcBorders>
            <w:shd w:val="clear" w:color="auto" w:fill="auto"/>
            <w:vAlign w:val="center"/>
          </w:tcPr>
          <w:p w14:paraId="61AD38E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1333</w:t>
            </w:r>
          </w:p>
        </w:tc>
        <w:tc>
          <w:tcPr>
            <w:tcW w:w="547" w:type="pct"/>
            <w:tcBorders>
              <w:top w:val="nil"/>
              <w:left w:val="single" w:color="auto" w:sz="4" w:space="0"/>
              <w:bottom w:val="single" w:color="auto" w:sz="4" w:space="0"/>
              <w:right w:val="single" w:color="auto" w:sz="4" w:space="0"/>
            </w:tcBorders>
            <w:shd w:val="clear" w:color="auto" w:fill="auto"/>
            <w:vAlign w:val="center"/>
          </w:tcPr>
          <w:p w14:paraId="7C0D3C5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w:t>
            </w:r>
          </w:p>
        </w:tc>
        <w:tc>
          <w:tcPr>
            <w:tcW w:w="287" w:type="pct"/>
            <w:vAlign w:val="center"/>
          </w:tcPr>
          <w:p w14:paraId="2BB2E93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EEFD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bottom w:val="single" w:color="auto" w:sz="4" w:space="0"/>
            </w:tcBorders>
            <w:vAlign w:val="center"/>
          </w:tcPr>
          <w:p w14:paraId="53D1E8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w:t>
            </w:r>
          </w:p>
        </w:tc>
        <w:tc>
          <w:tcPr>
            <w:tcW w:w="380" w:type="pct"/>
            <w:tcBorders>
              <w:top w:val="nil"/>
              <w:left w:val="single" w:color="auto" w:sz="4" w:space="0"/>
              <w:bottom w:val="single" w:color="auto" w:sz="4" w:space="0"/>
              <w:right w:val="single" w:color="auto" w:sz="4" w:space="0"/>
            </w:tcBorders>
            <w:shd w:val="clear" w:color="auto" w:fill="auto"/>
            <w:vAlign w:val="center"/>
          </w:tcPr>
          <w:p w14:paraId="4EB4D90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nil"/>
              <w:left w:val="nil"/>
              <w:bottom w:val="single" w:color="auto" w:sz="4" w:space="0"/>
              <w:right w:val="single" w:color="auto" w:sz="4" w:space="0"/>
            </w:tcBorders>
            <w:shd w:val="clear" w:color="auto" w:fill="auto"/>
            <w:vAlign w:val="center"/>
          </w:tcPr>
          <w:p w14:paraId="494BA7A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2#连续重整装置蒸汽、凝结水优化项目</w:t>
            </w:r>
          </w:p>
        </w:tc>
        <w:tc>
          <w:tcPr>
            <w:tcW w:w="325" w:type="pct"/>
            <w:tcBorders>
              <w:bottom w:val="single" w:color="auto" w:sz="4" w:space="0"/>
            </w:tcBorders>
            <w:vAlign w:val="center"/>
          </w:tcPr>
          <w:p w14:paraId="1D1DAA3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2022年2月</w:t>
            </w:r>
          </w:p>
        </w:tc>
        <w:tc>
          <w:tcPr>
            <w:tcW w:w="282" w:type="pct"/>
            <w:tcBorders>
              <w:top w:val="nil"/>
              <w:left w:val="single" w:color="auto" w:sz="4" w:space="0"/>
              <w:bottom w:val="single" w:color="auto" w:sz="4" w:space="0"/>
              <w:right w:val="single" w:color="auto" w:sz="4" w:space="0"/>
            </w:tcBorders>
            <w:shd w:val="clear" w:color="auto" w:fill="auto"/>
            <w:vAlign w:val="center"/>
          </w:tcPr>
          <w:p w14:paraId="297A180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612" w:type="pct"/>
            <w:tcBorders>
              <w:bottom w:val="single" w:color="auto" w:sz="4" w:space="0"/>
            </w:tcBorders>
            <w:vAlign w:val="center"/>
          </w:tcPr>
          <w:p w14:paraId="6DFBD26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年节0.45MPa蒸汽0.6万吨、除盐水8万吨</w:t>
            </w:r>
          </w:p>
        </w:tc>
        <w:tc>
          <w:tcPr>
            <w:tcW w:w="292" w:type="pct"/>
            <w:tcBorders>
              <w:top w:val="nil"/>
              <w:left w:val="single" w:color="auto" w:sz="4" w:space="0"/>
              <w:bottom w:val="single" w:color="auto" w:sz="4" w:space="0"/>
              <w:right w:val="single" w:color="auto" w:sz="4" w:space="0"/>
            </w:tcBorders>
            <w:shd w:val="clear" w:color="auto" w:fill="auto"/>
            <w:vAlign w:val="center"/>
          </w:tcPr>
          <w:p w14:paraId="61A47C2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797</w:t>
            </w:r>
          </w:p>
        </w:tc>
        <w:tc>
          <w:tcPr>
            <w:tcW w:w="347" w:type="pct"/>
            <w:tcBorders>
              <w:top w:val="nil"/>
              <w:left w:val="single" w:color="auto" w:sz="4" w:space="0"/>
              <w:bottom w:val="single" w:color="auto" w:sz="4" w:space="0"/>
              <w:right w:val="single" w:color="auto" w:sz="4" w:space="0"/>
            </w:tcBorders>
            <w:shd w:val="clear" w:color="auto" w:fill="auto"/>
            <w:vAlign w:val="center"/>
          </w:tcPr>
          <w:p w14:paraId="053E01B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1753</w:t>
            </w:r>
          </w:p>
        </w:tc>
        <w:tc>
          <w:tcPr>
            <w:tcW w:w="547" w:type="pct"/>
            <w:tcBorders>
              <w:top w:val="nil"/>
              <w:left w:val="single" w:color="auto" w:sz="4" w:space="0"/>
              <w:bottom w:val="single" w:color="auto" w:sz="4" w:space="0"/>
              <w:right w:val="single" w:color="auto" w:sz="4" w:space="0"/>
            </w:tcBorders>
            <w:shd w:val="clear" w:color="auto" w:fill="auto"/>
            <w:vAlign w:val="center"/>
          </w:tcPr>
          <w:p w14:paraId="0A6C3E5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140</w:t>
            </w:r>
          </w:p>
        </w:tc>
        <w:tc>
          <w:tcPr>
            <w:tcW w:w="287" w:type="pct"/>
            <w:tcBorders>
              <w:bottom w:val="single" w:color="auto" w:sz="4" w:space="0"/>
            </w:tcBorders>
            <w:vAlign w:val="center"/>
          </w:tcPr>
          <w:p w14:paraId="140E8DF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4275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bottom w:val="single" w:color="auto" w:sz="4" w:space="0"/>
            </w:tcBorders>
            <w:vAlign w:val="center"/>
          </w:tcPr>
          <w:p w14:paraId="232550C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0CDD0D0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118AAA6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动力站乏汽回收项目</w:t>
            </w:r>
          </w:p>
        </w:tc>
        <w:tc>
          <w:tcPr>
            <w:tcW w:w="325" w:type="pct"/>
            <w:tcBorders>
              <w:top w:val="single" w:color="auto" w:sz="4" w:space="0"/>
              <w:bottom w:val="single" w:color="auto" w:sz="4" w:space="0"/>
            </w:tcBorders>
            <w:vAlign w:val="center"/>
          </w:tcPr>
          <w:p w14:paraId="7F70CCF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2022年2月</w:t>
            </w:r>
          </w:p>
        </w:tc>
        <w:tc>
          <w:tcPr>
            <w:tcW w:w="282" w:type="pct"/>
            <w:tcBorders>
              <w:top w:val="single" w:color="auto" w:sz="4" w:space="0"/>
              <w:bottom w:val="single" w:color="auto" w:sz="4" w:space="0"/>
            </w:tcBorders>
            <w:vAlign w:val="center"/>
          </w:tcPr>
          <w:p w14:paraId="369AA49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200</w:t>
            </w:r>
          </w:p>
        </w:tc>
        <w:tc>
          <w:tcPr>
            <w:tcW w:w="612" w:type="pct"/>
            <w:tcBorders>
              <w:top w:val="single" w:color="auto" w:sz="4" w:space="0"/>
              <w:bottom w:val="single" w:color="auto" w:sz="4" w:space="0"/>
            </w:tcBorders>
            <w:vAlign w:val="center"/>
          </w:tcPr>
          <w:p w14:paraId="27A6DA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节1.0MPa蒸汽0.6万吨/年</w:t>
            </w:r>
          </w:p>
        </w:tc>
        <w:tc>
          <w:tcPr>
            <w:tcW w:w="292" w:type="pct"/>
            <w:tcBorders>
              <w:top w:val="single" w:color="auto" w:sz="4" w:space="0"/>
              <w:bottom w:val="single" w:color="auto" w:sz="4" w:space="0"/>
            </w:tcBorders>
            <w:vAlign w:val="center"/>
          </w:tcPr>
          <w:p w14:paraId="57FFBAC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120</w:t>
            </w:r>
          </w:p>
        </w:tc>
        <w:tc>
          <w:tcPr>
            <w:tcW w:w="347" w:type="pct"/>
            <w:tcBorders>
              <w:top w:val="single" w:color="auto" w:sz="4" w:space="0"/>
              <w:bottom w:val="single" w:color="auto" w:sz="4" w:space="0"/>
            </w:tcBorders>
            <w:vAlign w:val="center"/>
          </w:tcPr>
          <w:p w14:paraId="3F3F87A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272</w:t>
            </w:r>
          </w:p>
        </w:tc>
        <w:tc>
          <w:tcPr>
            <w:tcW w:w="547" w:type="pct"/>
            <w:tcBorders>
              <w:top w:val="single" w:color="auto" w:sz="4" w:space="0"/>
              <w:bottom w:val="single" w:color="auto" w:sz="4" w:space="0"/>
            </w:tcBorders>
            <w:vAlign w:val="center"/>
          </w:tcPr>
          <w:p w14:paraId="520D4B7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100</w:t>
            </w:r>
          </w:p>
        </w:tc>
        <w:tc>
          <w:tcPr>
            <w:tcW w:w="287" w:type="pct"/>
            <w:tcBorders>
              <w:top w:val="single" w:color="auto" w:sz="4" w:space="0"/>
              <w:bottom w:val="single" w:color="auto" w:sz="4" w:space="0"/>
            </w:tcBorders>
            <w:vAlign w:val="center"/>
          </w:tcPr>
          <w:p w14:paraId="4EDB6B0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00B4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bottom w:val="single" w:color="auto" w:sz="4" w:space="0"/>
            </w:tcBorders>
            <w:shd w:val="clear" w:color="auto" w:fill="auto"/>
            <w:vAlign w:val="center"/>
          </w:tcPr>
          <w:p w14:paraId="7635A08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6E6EE2D4">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4395429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1#加氢裂化富胺液液力透平机改造</w:t>
            </w:r>
          </w:p>
        </w:tc>
        <w:tc>
          <w:tcPr>
            <w:tcW w:w="325" w:type="pct"/>
            <w:tcBorders>
              <w:top w:val="single" w:color="auto" w:sz="4" w:space="0"/>
              <w:bottom w:val="single" w:color="auto" w:sz="4" w:space="0"/>
            </w:tcBorders>
            <w:shd w:val="clear" w:color="auto" w:fill="auto"/>
            <w:vAlign w:val="center"/>
          </w:tcPr>
          <w:p w14:paraId="3FF9C7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2023年1月</w:t>
            </w:r>
          </w:p>
        </w:tc>
        <w:tc>
          <w:tcPr>
            <w:tcW w:w="282" w:type="pct"/>
            <w:tcBorders>
              <w:top w:val="single" w:color="auto" w:sz="4" w:space="0"/>
              <w:bottom w:val="single" w:color="auto" w:sz="4" w:space="0"/>
            </w:tcBorders>
            <w:shd w:val="clear" w:color="auto" w:fill="auto"/>
            <w:vAlign w:val="center"/>
          </w:tcPr>
          <w:p w14:paraId="730B908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w:t>
            </w:r>
          </w:p>
        </w:tc>
        <w:tc>
          <w:tcPr>
            <w:tcW w:w="612" w:type="pct"/>
            <w:tcBorders>
              <w:top w:val="single" w:color="auto" w:sz="4" w:space="0"/>
              <w:bottom w:val="single" w:color="auto" w:sz="4" w:space="0"/>
            </w:tcBorders>
            <w:shd w:val="clear" w:color="auto" w:fill="auto"/>
            <w:vAlign w:val="center"/>
          </w:tcPr>
          <w:p w14:paraId="4CC394C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节电126万千瓦时</w:t>
            </w:r>
          </w:p>
        </w:tc>
        <w:tc>
          <w:tcPr>
            <w:tcW w:w="292" w:type="pct"/>
            <w:tcBorders>
              <w:top w:val="single" w:color="auto" w:sz="4" w:space="0"/>
              <w:bottom w:val="single" w:color="auto" w:sz="4" w:space="0"/>
            </w:tcBorders>
            <w:shd w:val="clear" w:color="auto" w:fill="auto"/>
            <w:vAlign w:val="center"/>
          </w:tcPr>
          <w:p w14:paraId="4AF2DF2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192</w:t>
            </w:r>
          </w:p>
        </w:tc>
        <w:tc>
          <w:tcPr>
            <w:tcW w:w="347" w:type="pct"/>
            <w:tcBorders>
              <w:top w:val="single" w:color="auto" w:sz="4" w:space="0"/>
              <w:bottom w:val="single" w:color="auto" w:sz="4" w:space="0"/>
            </w:tcBorders>
            <w:shd w:val="clear" w:color="auto" w:fill="auto"/>
            <w:vAlign w:val="center"/>
          </w:tcPr>
          <w:p w14:paraId="6D34D547">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1100</w:t>
            </w:r>
          </w:p>
        </w:tc>
        <w:tc>
          <w:tcPr>
            <w:tcW w:w="547" w:type="pct"/>
            <w:tcBorders>
              <w:top w:val="single" w:color="auto" w:sz="4" w:space="0"/>
              <w:bottom w:val="single" w:color="auto" w:sz="4" w:space="0"/>
            </w:tcBorders>
            <w:shd w:val="clear" w:color="auto" w:fill="auto"/>
            <w:vAlign w:val="center"/>
          </w:tcPr>
          <w:p w14:paraId="4C47835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79</w:t>
            </w:r>
          </w:p>
        </w:tc>
        <w:tc>
          <w:tcPr>
            <w:tcW w:w="287" w:type="pct"/>
            <w:tcBorders>
              <w:top w:val="single" w:color="auto" w:sz="4" w:space="0"/>
              <w:bottom w:val="single" w:color="auto" w:sz="4" w:space="0"/>
            </w:tcBorders>
            <w:shd w:val="clear" w:color="auto" w:fill="auto"/>
            <w:vAlign w:val="center"/>
          </w:tcPr>
          <w:p w14:paraId="57C291A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A14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bottom w:val="single" w:color="auto" w:sz="4" w:space="0"/>
            </w:tcBorders>
            <w:shd w:val="clear" w:color="auto" w:fill="auto"/>
            <w:vAlign w:val="center"/>
          </w:tcPr>
          <w:p w14:paraId="71BE978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785686D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5DEF4C9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1#加氢裂化新氢压缩机K-102B增设贺尔碧格无极气量调节系统</w:t>
            </w:r>
          </w:p>
        </w:tc>
        <w:tc>
          <w:tcPr>
            <w:tcW w:w="325" w:type="pct"/>
            <w:tcBorders>
              <w:top w:val="single" w:color="auto" w:sz="4" w:space="0"/>
              <w:bottom w:val="single" w:color="auto" w:sz="4" w:space="0"/>
            </w:tcBorders>
            <w:shd w:val="clear" w:color="auto" w:fill="auto"/>
            <w:vAlign w:val="center"/>
          </w:tcPr>
          <w:p w14:paraId="3EA6CB7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2023年1月</w:t>
            </w:r>
          </w:p>
        </w:tc>
        <w:tc>
          <w:tcPr>
            <w:tcW w:w="282" w:type="pct"/>
            <w:tcBorders>
              <w:top w:val="single" w:color="auto" w:sz="4" w:space="0"/>
              <w:bottom w:val="single" w:color="auto" w:sz="4" w:space="0"/>
            </w:tcBorders>
            <w:shd w:val="clear" w:color="auto" w:fill="auto"/>
            <w:vAlign w:val="center"/>
          </w:tcPr>
          <w:p w14:paraId="0BA0C70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w:t>
            </w:r>
          </w:p>
        </w:tc>
        <w:tc>
          <w:tcPr>
            <w:tcW w:w="612" w:type="pct"/>
            <w:tcBorders>
              <w:top w:val="single" w:color="auto" w:sz="4" w:space="0"/>
              <w:bottom w:val="single" w:color="auto" w:sz="4" w:space="0"/>
            </w:tcBorders>
            <w:shd w:val="clear" w:color="auto" w:fill="auto"/>
            <w:vAlign w:val="center"/>
          </w:tcPr>
          <w:p w14:paraId="6CE2973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节电533万千瓦时</w:t>
            </w:r>
          </w:p>
        </w:tc>
        <w:tc>
          <w:tcPr>
            <w:tcW w:w="292" w:type="pct"/>
            <w:tcBorders>
              <w:top w:val="single" w:color="auto" w:sz="4" w:space="0"/>
              <w:bottom w:val="single" w:color="auto" w:sz="4" w:space="0"/>
            </w:tcBorders>
            <w:shd w:val="clear" w:color="auto" w:fill="auto"/>
            <w:vAlign w:val="center"/>
          </w:tcPr>
          <w:p w14:paraId="581DBA2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541</w:t>
            </w:r>
          </w:p>
        </w:tc>
        <w:tc>
          <w:tcPr>
            <w:tcW w:w="347" w:type="pct"/>
            <w:tcBorders>
              <w:top w:val="single" w:color="auto" w:sz="4" w:space="0"/>
              <w:bottom w:val="single" w:color="auto" w:sz="4" w:space="0"/>
            </w:tcBorders>
            <w:shd w:val="clear" w:color="auto" w:fill="auto"/>
            <w:vAlign w:val="center"/>
          </w:tcPr>
          <w:p w14:paraId="73B5DA5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3084</w:t>
            </w:r>
          </w:p>
        </w:tc>
        <w:tc>
          <w:tcPr>
            <w:tcW w:w="547" w:type="pct"/>
            <w:tcBorders>
              <w:top w:val="single" w:color="auto" w:sz="4" w:space="0"/>
              <w:bottom w:val="single" w:color="auto" w:sz="4" w:space="0"/>
            </w:tcBorders>
            <w:shd w:val="clear" w:color="auto" w:fill="auto"/>
            <w:vAlign w:val="center"/>
          </w:tcPr>
          <w:p w14:paraId="15663F0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220</w:t>
            </w:r>
          </w:p>
        </w:tc>
        <w:tc>
          <w:tcPr>
            <w:tcW w:w="287" w:type="pct"/>
            <w:tcBorders>
              <w:top w:val="single" w:color="auto" w:sz="4" w:space="0"/>
              <w:bottom w:val="single" w:color="auto" w:sz="4" w:space="0"/>
            </w:tcBorders>
            <w:shd w:val="clear" w:color="auto" w:fill="auto"/>
            <w:vAlign w:val="center"/>
          </w:tcPr>
          <w:p w14:paraId="0549D0B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B9B6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bottom w:val="single" w:color="auto" w:sz="4" w:space="0"/>
            </w:tcBorders>
            <w:shd w:val="clear" w:color="auto" w:fill="auto"/>
            <w:vAlign w:val="center"/>
          </w:tcPr>
          <w:p w14:paraId="601619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4EF5CE1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6047C46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乙烯裂解装置应用APC先进控制系统</w:t>
            </w:r>
          </w:p>
        </w:tc>
        <w:tc>
          <w:tcPr>
            <w:tcW w:w="325" w:type="pct"/>
            <w:tcBorders>
              <w:top w:val="single" w:color="auto" w:sz="4" w:space="0"/>
              <w:bottom w:val="single" w:color="auto" w:sz="4" w:space="0"/>
            </w:tcBorders>
            <w:shd w:val="clear" w:color="auto" w:fill="auto"/>
            <w:vAlign w:val="center"/>
          </w:tcPr>
          <w:p w14:paraId="322B48B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2023年1月</w:t>
            </w:r>
          </w:p>
        </w:tc>
        <w:tc>
          <w:tcPr>
            <w:tcW w:w="282" w:type="pct"/>
            <w:tcBorders>
              <w:top w:val="single" w:color="auto" w:sz="4" w:space="0"/>
              <w:bottom w:val="single" w:color="auto" w:sz="4" w:space="0"/>
            </w:tcBorders>
            <w:shd w:val="clear" w:color="auto" w:fill="auto"/>
            <w:vAlign w:val="center"/>
          </w:tcPr>
          <w:p w14:paraId="7DF153E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500</w:t>
            </w:r>
          </w:p>
        </w:tc>
        <w:tc>
          <w:tcPr>
            <w:tcW w:w="612" w:type="pct"/>
            <w:tcBorders>
              <w:top w:val="single" w:color="auto" w:sz="4" w:space="0"/>
              <w:bottom w:val="single" w:color="auto" w:sz="4" w:space="0"/>
            </w:tcBorders>
            <w:shd w:val="clear" w:color="auto" w:fill="auto"/>
            <w:vAlign w:val="center"/>
          </w:tcPr>
          <w:p w14:paraId="69A3BA7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燃料气1200吨/年</w:t>
            </w:r>
          </w:p>
        </w:tc>
        <w:tc>
          <w:tcPr>
            <w:tcW w:w="292" w:type="pct"/>
            <w:tcBorders>
              <w:top w:val="single" w:color="auto" w:sz="4" w:space="0"/>
              <w:bottom w:val="single" w:color="auto" w:sz="4" w:space="0"/>
            </w:tcBorders>
            <w:shd w:val="clear" w:color="auto" w:fill="auto"/>
            <w:vAlign w:val="center"/>
          </w:tcPr>
          <w:p w14:paraId="71E60B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1500</w:t>
            </w:r>
          </w:p>
        </w:tc>
        <w:tc>
          <w:tcPr>
            <w:tcW w:w="347" w:type="pct"/>
            <w:tcBorders>
              <w:top w:val="single" w:color="auto" w:sz="4" w:space="0"/>
              <w:bottom w:val="single" w:color="auto" w:sz="4" w:space="0"/>
            </w:tcBorders>
            <w:shd w:val="clear" w:color="auto" w:fill="auto"/>
            <w:vAlign w:val="center"/>
          </w:tcPr>
          <w:p w14:paraId="03E35D1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3300</w:t>
            </w:r>
          </w:p>
        </w:tc>
        <w:tc>
          <w:tcPr>
            <w:tcW w:w="547" w:type="pct"/>
            <w:tcBorders>
              <w:top w:val="single" w:color="auto" w:sz="4" w:space="0"/>
              <w:bottom w:val="single" w:color="auto" w:sz="4" w:space="0"/>
            </w:tcBorders>
            <w:shd w:val="clear" w:color="auto" w:fill="auto"/>
            <w:vAlign w:val="center"/>
          </w:tcPr>
          <w:p w14:paraId="7127463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300</w:t>
            </w:r>
          </w:p>
        </w:tc>
        <w:tc>
          <w:tcPr>
            <w:tcW w:w="287" w:type="pct"/>
            <w:tcBorders>
              <w:top w:val="single" w:color="auto" w:sz="4" w:space="0"/>
              <w:bottom w:val="single" w:color="auto" w:sz="4" w:space="0"/>
            </w:tcBorders>
            <w:shd w:val="clear" w:color="auto" w:fill="auto"/>
            <w:vAlign w:val="center"/>
          </w:tcPr>
          <w:p w14:paraId="327A755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C59D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bottom w:val="single" w:color="auto" w:sz="4" w:space="0"/>
            </w:tcBorders>
            <w:vAlign w:val="center"/>
          </w:tcPr>
          <w:p w14:paraId="7672B93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64EC99A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0A14CE5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渣油加氢富胺液液力透平机改造</w:t>
            </w:r>
          </w:p>
        </w:tc>
        <w:tc>
          <w:tcPr>
            <w:tcW w:w="325" w:type="pct"/>
            <w:tcBorders>
              <w:top w:val="single" w:color="auto" w:sz="4" w:space="0"/>
              <w:bottom w:val="single" w:color="auto" w:sz="4" w:space="0"/>
            </w:tcBorders>
            <w:shd w:val="clear" w:color="auto" w:fill="auto"/>
            <w:vAlign w:val="center"/>
          </w:tcPr>
          <w:p w14:paraId="4FA0F75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2024.10</w:t>
            </w:r>
          </w:p>
        </w:tc>
        <w:tc>
          <w:tcPr>
            <w:tcW w:w="282" w:type="pct"/>
            <w:tcBorders>
              <w:top w:val="single" w:color="auto" w:sz="4" w:space="0"/>
              <w:bottom w:val="single" w:color="auto" w:sz="4" w:space="0"/>
            </w:tcBorders>
            <w:shd w:val="clear" w:color="000000" w:fill="FFFFFF"/>
            <w:vAlign w:val="center"/>
          </w:tcPr>
          <w:p w14:paraId="12D4325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290</w:t>
            </w:r>
          </w:p>
        </w:tc>
        <w:tc>
          <w:tcPr>
            <w:tcW w:w="612" w:type="pct"/>
            <w:tcBorders>
              <w:top w:val="single" w:color="auto" w:sz="4" w:space="0"/>
              <w:bottom w:val="single" w:color="auto" w:sz="4" w:space="0"/>
            </w:tcBorders>
            <w:vAlign w:val="center"/>
          </w:tcPr>
          <w:p w14:paraId="20A9B86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tcBorders>
              <w:top w:val="single" w:color="auto" w:sz="4" w:space="0"/>
              <w:bottom w:val="single" w:color="auto" w:sz="4" w:space="0"/>
            </w:tcBorders>
            <w:shd w:val="clear" w:color="000000" w:fill="FFFFFF"/>
            <w:vAlign w:val="center"/>
          </w:tcPr>
          <w:p w14:paraId="2302E3AE">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818</w:t>
            </w:r>
          </w:p>
        </w:tc>
        <w:tc>
          <w:tcPr>
            <w:tcW w:w="347" w:type="pct"/>
            <w:tcBorders>
              <w:top w:val="single" w:color="auto" w:sz="4" w:space="0"/>
              <w:bottom w:val="single" w:color="auto" w:sz="4" w:space="0"/>
            </w:tcBorders>
            <w:shd w:val="clear" w:color="auto" w:fill="auto"/>
            <w:vAlign w:val="center"/>
          </w:tcPr>
          <w:p w14:paraId="6CEC9BE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1934</w:t>
            </w:r>
          </w:p>
        </w:tc>
        <w:tc>
          <w:tcPr>
            <w:tcW w:w="547" w:type="pct"/>
            <w:tcBorders>
              <w:top w:val="single" w:color="auto" w:sz="4" w:space="0"/>
              <w:bottom w:val="single" w:color="auto" w:sz="4" w:space="0"/>
            </w:tcBorders>
            <w:shd w:val="clear" w:color="auto" w:fill="auto"/>
            <w:vAlign w:val="center"/>
          </w:tcPr>
          <w:p w14:paraId="21566D8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138</w:t>
            </w:r>
          </w:p>
        </w:tc>
        <w:tc>
          <w:tcPr>
            <w:tcW w:w="287" w:type="pct"/>
            <w:tcBorders>
              <w:top w:val="single" w:color="auto" w:sz="4" w:space="0"/>
              <w:bottom w:val="single" w:color="auto" w:sz="4" w:space="0"/>
            </w:tcBorders>
            <w:shd w:val="clear" w:color="auto" w:fill="auto"/>
            <w:vAlign w:val="center"/>
          </w:tcPr>
          <w:p w14:paraId="2833F35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已完成投用</w:t>
            </w:r>
          </w:p>
        </w:tc>
      </w:tr>
      <w:tr w14:paraId="61E88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bottom w:val="single" w:color="auto" w:sz="4" w:space="0"/>
            </w:tcBorders>
            <w:vAlign w:val="center"/>
          </w:tcPr>
          <w:p w14:paraId="5E087EA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2019235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23A875F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催化装置#2臭氧发生器电源控制系统升级改造项目</w:t>
            </w:r>
          </w:p>
        </w:tc>
        <w:tc>
          <w:tcPr>
            <w:tcW w:w="325" w:type="pct"/>
            <w:tcBorders>
              <w:top w:val="single" w:color="auto" w:sz="4" w:space="0"/>
              <w:bottom w:val="single" w:color="auto" w:sz="4" w:space="0"/>
            </w:tcBorders>
            <w:shd w:val="clear" w:color="auto" w:fill="auto"/>
            <w:vAlign w:val="center"/>
          </w:tcPr>
          <w:p w14:paraId="056589F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2024.6</w:t>
            </w:r>
          </w:p>
        </w:tc>
        <w:tc>
          <w:tcPr>
            <w:tcW w:w="282" w:type="pct"/>
            <w:tcBorders>
              <w:top w:val="single" w:color="auto" w:sz="4" w:space="0"/>
              <w:bottom w:val="single" w:color="auto" w:sz="4" w:space="0"/>
            </w:tcBorders>
            <w:shd w:val="clear" w:color="000000" w:fill="FFFFFF"/>
            <w:vAlign w:val="center"/>
          </w:tcPr>
          <w:p w14:paraId="7342F7BC">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612" w:type="pct"/>
            <w:tcBorders>
              <w:top w:val="single" w:color="auto" w:sz="4" w:space="0"/>
              <w:bottom w:val="single" w:color="auto" w:sz="4" w:space="0"/>
            </w:tcBorders>
            <w:vAlign w:val="center"/>
          </w:tcPr>
          <w:p w14:paraId="686CFD5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tcBorders>
              <w:top w:val="single" w:color="auto" w:sz="4" w:space="0"/>
              <w:bottom w:val="single" w:color="auto" w:sz="4" w:space="0"/>
            </w:tcBorders>
            <w:shd w:val="clear" w:color="000000" w:fill="FFFFFF"/>
            <w:vAlign w:val="center"/>
          </w:tcPr>
          <w:p w14:paraId="2F8DCE47">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w:t>
            </w:r>
          </w:p>
        </w:tc>
        <w:tc>
          <w:tcPr>
            <w:tcW w:w="347" w:type="pct"/>
            <w:tcBorders>
              <w:top w:val="single" w:color="auto" w:sz="4" w:space="0"/>
              <w:bottom w:val="single" w:color="auto" w:sz="4" w:space="0"/>
            </w:tcBorders>
            <w:shd w:val="clear" w:color="auto" w:fill="auto"/>
            <w:vAlign w:val="center"/>
          </w:tcPr>
          <w:p w14:paraId="35A82B9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535</w:t>
            </w:r>
          </w:p>
        </w:tc>
        <w:tc>
          <w:tcPr>
            <w:tcW w:w="547" w:type="pct"/>
            <w:tcBorders>
              <w:top w:val="single" w:color="auto" w:sz="4" w:space="0"/>
              <w:bottom w:val="single" w:color="auto" w:sz="4" w:space="0"/>
            </w:tcBorders>
            <w:shd w:val="clear" w:color="auto" w:fill="auto"/>
            <w:vAlign w:val="center"/>
          </w:tcPr>
          <w:p w14:paraId="4D15BDB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38</w:t>
            </w:r>
          </w:p>
        </w:tc>
        <w:tc>
          <w:tcPr>
            <w:tcW w:w="287" w:type="pct"/>
            <w:tcBorders>
              <w:top w:val="single" w:color="auto" w:sz="4" w:space="0"/>
              <w:bottom w:val="single" w:color="auto" w:sz="4" w:space="0"/>
            </w:tcBorders>
            <w:shd w:val="clear" w:color="auto" w:fill="auto"/>
            <w:vAlign w:val="center"/>
          </w:tcPr>
          <w:p w14:paraId="40415A5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已完成投用</w:t>
            </w:r>
          </w:p>
        </w:tc>
      </w:tr>
      <w:tr w14:paraId="4E99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bottom w:val="single" w:color="auto" w:sz="4" w:space="0"/>
            </w:tcBorders>
            <w:vAlign w:val="center"/>
          </w:tcPr>
          <w:p w14:paraId="000B6C2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7E5320B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71620B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2#加氢裂化新氢压缩机K-101B增设贺尔碧格无极气量调节系统</w:t>
            </w:r>
          </w:p>
        </w:tc>
        <w:tc>
          <w:tcPr>
            <w:tcW w:w="325" w:type="pct"/>
            <w:tcBorders>
              <w:top w:val="single" w:color="auto" w:sz="4" w:space="0"/>
              <w:bottom w:val="single" w:color="auto" w:sz="4" w:space="0"/>
            </w:tcBorders>
            <w:vAlign w:val="center"/>
          </w:tcPr>
          <w:p w14:paraId="2CFF666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82" w:type="pct"/>
            <w:tcBorders>
              <w:top w:val="single" w:color="auto" w:sz="4" w:space="0"/>
              <w:bottom w:val="single" w:color="auto" w:sz="4" w:space="0"/>
            </w:tcBorders>
            <w:shd w:val="clear" w:color="000000" w:fill="FFFFFF"/>
            <w:vAlign w:val="center"/>
          </w:tcPr>
          <w:p w14:paraId="0161806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250</w:t>
            </w:r>
          </w:p>
        </w:tc>
        <w:tc>
          <w:tcPr>
            <w:tcW w:w="612" w:type="pct"/>
            <w:tcBorders>
              <w:top w:val="single" w:color="auto" w:sz="4" w:space="0"/>
              <w:bottom w:val="single" w:color="auto" w:sz="4" w:space="0"/>
            </w:tcBorders>
            <w:vAlign w:val="center"/>
          </w:tcPr>
          <w:p w14:paraId="39344C6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tcBorders>
              <w:top w:val="single" w:color="auto" w:sz="4" w:space="0"/>
              <w:bottom w:val="single" w:color="auto" w:sz="4" w:space="0"/>
            </w:tcBorders>
            <w:shd w:val="clear" w:color="000000" w:fill="FFFFFF"/>
            <w:vAlign w:val="center"/>
          </w:tcPr>
          <w:p w14:paraId="412A29D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1342</w:t>
            </w:r>
          </w:p>
        </w:tc>
        <w:tc>
          <w:tcPr>
            <w:tcW w:w="347" w:type="pct"/>
            <w:tcBorders>
              <w:top w:val="single" w:color="auto" w:sz="4" w:space="0"/>
              <w:bottom w:val="single" w:color="auto" w:sz="4" w:space="0"/>
            </w:tcBorders>
            <w:shd w:val="clear" w:color="auto" w:fill="auto"/>
            <w:vAlign w:val="center"/>
          </w:tcPr>
          <w:p w14:paraId="2379D79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7682</w:t>
            </w:r>
          </w:p>
        </w:tc>
        <w:tc>
          <w:tcPr>
            <w:tcW w:w="547" w:type="pct"/>
            <w:tcBorders>
              <w:top w:val="single" w:color="auto" w:sz="4" w:space="0"/>
              <w:bottom w:val="single" w:color="auto" w:sz="4" w:space="0"/>
            </w:tcBorders>
            <w:shd w:val="clear" w:color="auto" w:fill="auto"/>
            <w:vAlign w:val="center"/>
          </w:tcPr>
          <w:p w14:paraId="58C847B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546</w:t>
            </w:r>
          </w:p>
        </w:tc>
        <w:tc>
          <w:tcPr>
            <w:tcW w:w="287" w:type="pct"/>
            <w:tcBorders>
              <w:top w:val="single" w:color="auto" w:sz="4" w:space="0"/>
              <w:bottom w:val="single" w:color="auto" w:sz="4" w:space="0"/>
            </w:tcBorders>
            <w:shd w:val="clear" w:color="auto" w:fill="auto"/>
            <w:vAlign w:val="center"/>
          </w:tcPr>
          <w:p w14:paraId="2C6B0F4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方案已完成，待立项</w:t>
            </w:r>
          </w:p>
        </w:tc>
      </w:tr>
      <w:tr w14:paraId="420BD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tcBorders>
              <w:top w:val="single" w:color="auto" w:sz="4" w:space="0"/>
            </w:tcBorders>
            <w:vAlign w:val="center"/>
          </w:tcPr>
          <w:p w14:paraId="4C8A6BF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w:t>
            </w:r>
          </w:p>
        </w:tc>
        <w:tc>
          <w:tcPr>
            <w:tcW w:w="380" w:type="pct"/>
            <w:tcBorders>
              <w:top w:val="single" w:color="auto" w:sz="4" w:space="0"/>
              <w:left w:val="single" w:color="auto" w:sz="4" w:space="0"/>
              <w:bottom w:val="single" w:color="auto" w:sz="4" w:space="0"/>
              <w:right w:val="single" w:color="auto" w:sz="4" w:space="0"/>
            </w:tcBorders>
            <w:shd w:val="clear" w:color="auto" w:fill="auto"/>
            <w:vAlign w:val="center"/>
          </w:tcPr>
          <w:p w14:paraId="3FE27C8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tcBorders>
              <w:top w:val="single" w:color="auto" w:sz="4" w:space="0"/>
              <w:left w:val="nil"/>
              <w:bottom w:val="single" w:color="auto" w:sz="4" w:space="0"/>
              <w:right w:val="single" w:color="auto" w:sz="4" w:space="0"/>
            </w:tcBorders>
            <w:shd w:val="clear" w:color="auto" w:fill="auto"/>
            <w:vAlign w:val="center"/>
          </w:tcPr>
          <w:p w14:paraId="5934519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泉州石化260万吨/年重整空气预热器改造</w:t>
            </w:r>
          </w:p>
        </w:tc>
        <w:tc>
          <w:tcPr>
            <w:tcW w:w="325" w:type="pct"/>
            <w:tcBorders>
              <w:top w:val="single" w:color="auto" w:sz="4" w:space="0"/>
            </w:tcBorders>
            <w:vAlign w:val="center"/>
          </w:tcPr>
          <w:p w14:paraId="36C10AD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82" w:type="pct"/>
            <w:tcBorders>
              <w:top w:val="single" w:color="auto" w:sz="4" w:space="0"/>
            </w:tcBorders>
            <w:shd w:val="clear" w:color="000000" w:fill="FFFFFF"/>
            <w:vAlign w:val="center"/>
          </w:tcPr>
          <w:p w14:paraId="1BEFD04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1123</w:t>
            </w:r>
          </w:p>
        </w:tc>
        <w:tc>
          <w:tcPr>
            <w:tcW w:w="612" w:type="pct"/>
            <w:tcBorders>
              <w:top w:val="single" w:color="auto" w:sz="4" w:space="0"/>
            </w:tcBorders>
            <w:vAlign w:val="center"/>
          </w:tcPr>
          <w:p w14:paraId="0833669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tcBorders>
              <w:top w:val="single" w:color="auto" w:sz="4" w:space="0"/>
            </w:tcBorders>
            <w:shd w:val="clear" w:color="000000" w:fill="FFFFFF"/>
            <w:vAlign w:val="center"/>
          </w:tcPr>
          <w:p w14:paraId="7F0C22D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1200</w:t>
            </w:r>
          </w:p>
        </w:tc>
        <w:tc>
          <w:tcPr>
            <w:tcW w:w="347" w:type="pct"/>
            <w:tcBorders>
              <w:top w:val="single" w:color="auto" w:sz="4" w:space="0"/>
            </w:tcBorders>
            <w:shd w:val="clear" w:color="auto" w:fill="auto"/>
            <w:vAlign w:val="center"/>
          </w:tcPr>
          <w:p w14:paraId="77EAD9E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2800</w:t>
            </w:r>
          </w:p>
        </w:tc>
        <w:tc>
          <w:tcPr>
            <w:tcW w:w="547" w:type="pct"/>
            <w:tcBorders>
              <w:top w:val="single" w:color="auto" w:sz="4" w:space="0"/>
            </w:tcBorders>
            <w:shd w:val="clear" w:color="auto" w:fill="auto"/>
            <w:vAlign w:val="center"/>
          </w:tcPr>
          <w:p w14:paraId="29C5FE7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360</w:t>
            </w:r>
          </w:p>
        </w:tc>
        <w:tc>
          <w:tcPr>
            <w:tcW w:w="287" w:type="pct"/>
            <w:tcBorders>
              <w:top w:val="single" w:color="auto" w:sz="4" w:space="0"/>
            </w:tcBorders>
            <w:shd w:val="clear" w:color="auto" w:fill="auto"/>
            <w:vAlign w:val="center"/>
          </w:tcPr>
          <w:p w14:paraId="1FFE342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已完成投用</w:t>
            </w:r>
          </w:p>
        </w:tc>
      </w:tr>
      <w:tr w14:paraId="3E3FC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59F391D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w:t>
            </w:r>
          </w:p>
        </w:tc>
        <w:tc>
          <w:tcPr>
            <w:tcW w:w="380" w:type="pct"/>
            <w:shd w:val="clear" w:color="auto" w:fill="auto"/>
            <w:vAlign w:val="center"/>
          </w:tcPr>
          <w:p w14:paraId="30DC27C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泉州石化</w:t>
            </w:r>
          </w:p>
        </w:tc>
        <w:tc>
          <w:tcPr>
            <w:tcW w:w="1762" w:type="pct"/>
            <w:shd w:val="clear" w:color="auto" w:fill="auto"/>
            <w:vAlign w:val="center"/>
          </w:tcPr>
          <w:p w14:paraId="521BA4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航煤加氢加热炉余热回收系统改造</w:t>
            </w:r>
          </w:p>
        </w:tc>
        <w:tc>
          <w:tcPr>
            <w:tcW w:w="325" w:type="pct"/>
          </w:tcPr>
          <w:p w14:paraId="5D0534F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82" w:type="pct"/>
            <w:shd w:val="clear" w:color="000000" w:fill="FFFFFF"/>
            <w:vAlign w:val="center"/>
          </w:tcPr>
          <w:p w14:paraId="66D914C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300</w:t>
            </w:r>
          </w:p>
        </w:tc>
        <w:tc>
          <w:tcPr>
            <w:tcW w:w="612" w:type="pct"/>
          </w:tcPr>
          <w:p w14:paraId="1217CD9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000000" w:fill="FFFFFF"/>
            <w:vAlign w:val="center"/>
          </w:tcPr>
          <w:p w14:paraId="594F85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751</w:t>
            </w:r>
          </w:p>
        </w:tc>
        <w:tc>
          <w:tcPr>
            <w:tcW w:w="347" w:type="pct"/>
            <w:shd w:val="clear" w:color="auto" w:fill="auto"/>
            <w:vAlign w:val="center"/>
          </w:tcPr>
          <w:p w14:paraId="2A183A5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1674</w:t>
            </w:r>
          </w:p>
        </w:tc>
        <w:tc>
          <w:tcPr>
            <w:tcW w:w="547" w:type="pct"/>
            <w:shd w:val="clear" w:color="auto" w:fill="auto"/>
            <w:vAlign w:val="center"/>
          </w:tcPr>
          <w:p w14:paraId="1F1639A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216</w:t>
            </w:r>
          </w:p>
        </w:tc>
        <w:tc>
          <w:tcPr>
            <w:tcW w:w="287" w:type="pct"/>
            <w:shd w:val="clear" w:color="auto" w:fill="auto"/>
            <w:vAlign w:val="center"/>
          </w:tcPr>
          <w:p w14:paraId="163E0C7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已立项，详细设计中</w:t>
            </w:r>
          </w:p>
        </w:tc>
      </w:tr>
      <w:tr w14:paraId="3529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7692AA1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w:t>
            </w:r>
          </w:p>
        </w:tc>
        <w:tc>
          <w:tcPr>
            <w:tcW w:w="380" w:type="pct"/>
            <w:shd w:val="clear" w:color="auto" w:fill="auto"/>
            <w:vAlign w:val="center"/>
          </w:tcPr>
          <w:p w14:paraId="2B771AE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0D19B50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DCC装置富气压缩机新增3C控制系统项目。在富气压缩机上新增3C控制系统，减少反飞动量，降低3.5MPa蒸汽消耗量。</w:t>
            </w:r>
          </w:p>
        </w:tc>
        <w:tc>
          <w:tcPr>
            <w:tcW w:w="325" w:type="pct"/>
            <w:shd w:val="clear" w:color="auto" w:fill="auto"/>
            <w:vAlign w:val="center"/>
          </w:tcPr>
          <w:p w14:paraId="01014DB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2021.06</w:t>
            </w:r>
          </w:p>
        </w:tc>
        <w:tc>
          <w:tcPr>
            <w:tcW w:w="282" w:type="pct"/>
            <w:shd w:val="clear" w:color="auto" w:fill="auto"/>
            <w:vAlign w:val="center"/>
          </w:tcPr>
          <w:p w14:paraId="5216267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68.33</w:t>
            </w:r>
          </w:p>
        </w:tc>
        <w:tc>
          <w:tcPr>
            <w:tcW w:w="612" w:type="pct"/>
            <w:shd w:val="clear" w:color="auto" w:fill="auto"/>
            <w:vAlign w:val="center"/>
          </w:tcPr>
          <w:p w14:paraId="2E8AAE1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减少16000吨3.5MPa蒸汽消耗，减少16000吨1.0MPa蒸汽产出</w:t>
            </w:r>
          </w:p>
        </w:tc>
        <w:tc>
          <w:tcPr>
            <w:tcW w:w="292" w:type="pct"/>
            <w:shd w:val="clear" w:color="auto" w:fill="auto"/>
            <w:vAlign w:val="center"/>
          </w:tcPr>
          <w:p w14:paraId="2934CDA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274.28</w:t>
            </w:r>
          </w:p>
        </w:tc>
        <w:tc>
          <w:tcPr>
            <w:tcW w:w="347" w:type="pct"/>
            <w:shd w:val="clear" w:color="auto" w:fill="auto"/>
            <w:vAlign w:val="center"/>
          </w:tcPr>
          <w:p w14:paraId="5C140E7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692.85</w:t>
            </w:r>
          </w:p>
        </w:tc>
        <w:tc>
          <w:tcPr>
            <w:tcW w:w="547" w:type="pct"/>
            <w:shd w:val="clear" w:color="auto" w:fill="auto"/>
            <w:vAlign w:val="center"/>
          </w:tcPr>
          <w:p w14:paraId="25FA317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32.00</w:t>
            </w:r>
          </w:p>
        </w:tc>
        <w:tc>
          <w:tcPr>
            <w:tcW w:w="287" w:type="pct"/>
            <w:shd w:val="clear" w:color="auto" w:fill="auto"/>
            <w:vAlign w:val="center"/>
          </w:tcPr>
          <w:p w14:paraId="07E6769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096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EB63DC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w:t>
            </w:r>
          </w:p>
        </w:tc>
        <w:tc>
          <w:tcPr>
            <w:tcW w:w="380" w:type="pct"/>
            <w:shd w:val="clear" w:color="auto" w:fill="auto"/>
            <w:vAlign w:val="center"/>
          </w:tcPr>
          <w:p w14:paraId="782A83F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11876FB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热水伴热改造项目。原料预处理、重整、柴油加氢改质、火炬气柜等装置伴热改为热水伴热，通过延长现有热媒水管网，覆盖改造区域；或者通过装置自有热水资源伴热，将装置冬季蒸汽伴热改为热水伴热，减少1.0MPa蒸汽使用量。</w:t>
            </w:r>
          </w:p>
        </w:tc>
        <w:tc>
          <w:tcPr>
            <w:tcW w:w="325" w:type="pct"/>
            <w:shd w:val="clear" w:color="auto" w:fill="auto"/>
            <w:vAlign w:val="center"/>
          </w:tcPr>
          <w:p w14:paraId="61383B3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2021.06</w:t>
            </w:r>
          </w:p>
        </w:tc>
        <w:tc>
          <w:tcPr>
            <w:tcW w:w="282" w:type="pct"/>
            <w:shd w:val="clear" w:color="auto" w:fill="auto"/>
            <w:vAlign w:val="center"/>
          </w:tcPr>
          <w:p w14:paraId="25DFFA3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229.05</w:t>
            </w:r>
          </w:p>
        </w:tc>
        <w:tc>
          <w:tcPr>
            <w:tcW w:w="612" w:type="pct"/>
            <w:shd w:val="clear" w:color="auto" w:fill="auto"/>
            <w:vAlign w:val="center"/>
          </w:tcPr>
          <w:p w14:paraId="11DC1D4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8640吨1.0MPa蒸汽</w:t>
            </w:r>
          </w:p>
        </w:tc>
        <w:tc>
          <w:tcPr>
            <w:tcW w:w="292" w:type="pct"/>
            <w:shd w:val="clear" w:color="auto" w:fill="auto"/>
            <w:vAlign w:val="center"/>
          </w:tcPr>
          <w:p w14:paraId="403C801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938.06</w:t>
            </w:r>
          </w:p>
        </w:tc>
        <w:tc>
          <w:tcPr>
            <w:tcW w:w="347" w:type="pct"/>
            <w:shd w:val="clear" w:color="auto" w:fill="auto"/>
            <w:vAlign w:val="center"/>
          </w:tcPr>
          <w:p w14:paraId="53CF1CB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2653.34</w:t>
            </w:r>
          </w:p>
        </w:tc>
        <w:tc>
          <w:tcPr>
            <w:tcW w:w="547" w:type="pct"/>
            <w:shd w:val="clear" w:color="auto" w:fill="auto"/>
            <w:vAlign w:val="center"/>
          </w:tcPr>
          <w:p w14:paraId="2BEA7D3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155.52</w:t>
            </w:r>
          </w:p>
        </w:tc>
        <w:tc>
          <w:tcPr>
            <w:tcW w:w="287" w:type="pct"/>
            <w:shd w:val="clear" w:color="auto" w:fill="auto"/>
            <w:vAlign w:val="center"/>
          </w:tcPr>
          <w:p w14:paraId="152A2FE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B027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01E89E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w:t>
            </w:r>
          </w:p>
        </w:tc>
        <w:tc>
          <w:tcPr>
            <w:tcW w:w="380" w:type="pct"/>
            <w:shd w:val="clear" w:color="auto" w:fill="auto"/>
            <w:vAlign w:val="center"/>
          </w:tcPr>
          <w:p w14:paraId="411F0D4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597D143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汽油加氢装置两段压缩机增加无级调节改造。在不改变压缩机原主体结构及不改变压缩机原控制系统的情况下，对1#、3#压缩机气阀处各增加4个无极调量系统专用执行机构等改造，实现0%-100%的无级调节，降低电耗</w:t>
            </w:r>
          </w:p>
        </w:tc>
        <w:tc>
          <w:tcPr>
            <w:tcW w:w="325" w:type="pct"/>
            <w:shd w:val="clear" w:color="auto" w:fill="auto"/>
            <w:vAlign w:val="center"/>
          </w:tcPr>
          <w:p w14:paraId="3D003E7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2023.12</w:t>
            </w:r>
          </w:p>
        </w:tc>
        <w:tc>
          <w:tcPr>
            <w:tcW w:w="282" w:type="pct"/>
            <w:shd w:val="clear" w:color="auto" w:fill="auto"/>
            <w:vAlign w:val="center"/>
          </w:tcPr>
          <w:p w14:paraId="6C6EAAA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85</w:t>
            </w:r>
          </w:p>
        </w:tc>
        <w:tc>
          <w:tcPr>
            <w:tcW w:w="612" w:type="pct"/>
            <w:shd w:val="clear" w:color="auto" w:fill="auto"/>
            <w:vAlign w:val="center"/>
          </w:tcPr>
          <w:p w14:paraId="5085F27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节电162.4万千瓦时</w:t>
            </w:r>
          </w:p>
        </w:tc>
        <w:tc>
          <w:tcPr>
            <w:tcW w:w="292" w:type="pct"/>
            <w:shd w:val="clear" w:color="auto" w:fill="auto"/>
            <w:vAlign w:val="center"/>
          </w:tcPr>
          <w:p w14:paraId="61A603A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528.96</w:t>
            </w:r>
          </w:p>
        </w:tc>
        <w:tc>
          <w:tcPr>
            <w:tcW w:w="347" w:type="pct"/>
            <w:shd w:val="clear" w:color="auto" w:fill="auto"/>
            <w:vAlign w:val="center"/>
          </w:tcPr>
          <w:p w14:paraId="3ECD57E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1436.11</w:t>
            </w:r>
          </w:p>
        </w:tc>
        <w:tc>
          <w:tcPr>
            <w:tcW w:w="547" w:type="pct"/>
            <w:shd w:val="clear" w:color="auto" w:fill="auto"/>
            <w:vAlign w:val="center"/>
          </w:tcPr>
          <w:p w14:paraId="3C40B69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108.81</w:t>
            </w:r>
          </w:p>
        </w:tc>
        <w:tc>
          <w:tcPr>
            <w:tcW w:w="287" w:type="pct"/>
            <w:shd w:val="clear" w:color="auto" w:fill="auto"/>
            <w:vAlign w:val="center"/>
          </w:tcPr>
          <w:p w14:paraId="169BB8C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7584C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2AF3D85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w:t>
            </w:r>
          </w:p>
        </w:tc>
        <w:tc>
          <w:tcPr>
            <w:tcW w:w="380" w:type="pct"/>
            <w:shd w:val="clear" w:color="auto" w:fill="auto"/>
            <w:vAlign w:val="center"/>
          </w:tcPr>
          <w:p w14:paraId="60B2BA6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4C0DCF4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焦化装置机泵冷却水循环系统项目。增设两台机泵冷却水循环泵（一开一备）及一台储液罐，在新增的储罐前增加一台循环水冷却器，对回收的除盐水进行降温，从而将各机泵冷却水回收重复利用。</w:t>
            </w:r>
          </w:p>
        </w:tc>
        <w:tc>
          <w:tcPr>
            <w:tcW w:w="325" w:type="pct"/>
            <w:shd w:val="clear" w:color="auto" w:fill="auto"/>
            <w:vAlign w:val="center"/>
          </w:tcPr>
          <w:p w14:paraId="3CBA70C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2023.12</w:t>
            </w:r>
          </w:p>
        </w:tc>
        <w:tc>
          <w:tcPr>
            <w:tcW w:w="282" w:type="pct"/>
            <w:shd w:val="clear" w:color="auto" w:fill="auto"/>
            <w:vAlign w:val="center"/>
          </w:tcPr>
          <w:p w14:paraId="54FB694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612" w:type="pct"/>
            <w:shd w:val="clear" w:color="auto" w:fill="auto"/>
            <w:vAlign w:val="center"/>
          </w:tcPr>
          <w:p w14:paraId="31F6A9A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节约除盐水16万吨，降低用电22.4万千瓦时</w:t>
            </w:r>
          </w:p>
        </w:tc>
        <w:tc>
          <w:tcPr>
            <w:tcW w:w="292" w:type="pct"/>
            <w:shd w:val="clear" w:color="auto" w:fill="auto"/>
            <w:vAlign w:val="center"/>
          </w:tcPr>
          <w:p w14:paraId="39FADD2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598.67</w:t>
            </w:r>
          </w:p>
        </w:tc>
        <w:tc>
          <w:tcPr>
            <w:tcW w:w="347" w:type="pct"/>
            <w:shd w:val="clear" w:color="auto" w:fill="auto"/>
            <w:vAlign w:val="center"/>
          </w:tcPr>
          <w:p w14:paraId="73C0009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547" w:type="pct"/>
            <w:shd w:val="clear" w:color="auto" w:fill="auto"/>
            <w:vAlign w:val="center"/>
          </w:tcPr>
          <w:p w14:paraId="4F0074C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127.01</w:t>
            </w:r>
          </w:p>
        </w:tc>
        <w:tc>
          <w:tcPr>
            <w:tcW w:w="287" w:type="pct"/>
            <w:shd w:val="clear" w:color="auto" w:fill="auto"/>
            <w:vAlign w:val="center"/>
          </w:tcPr>
          <w:p w14:paraId="4FAA44E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2158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2C4CA82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w:t>
            </w:r>
          </w:p>
        </w:tc>
        <w:tc>
          <w:tcPr>
            <w:tcW w:w="380" w:type="pct"/>
            <w:shd w:val="clear" w:color="auto" w:fill="auto"/>
            <w:vAlign w:val="center"/>
          </w:tcPr>
          <w:p w14:paraId="65F8FA0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57849B1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制硫风机加变频器优化。现在硫磺制硫风机运行功率为390kW，通过加装变频器降低运行功率</w:t>
            </w:r>
          </w:p>
        </w:tc>
        <w:tc>
          <w:tcPr>
            <w:tcW w:w="325" w:type="pct"/>
            <w:shd w:val="clear" w:color="auto" w:fill="auto"/>
            <w:vAlign w:val="center"/>
          </w:tcPr>
          <w:p w14:paraId="019F04C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2023.8</w:t>
            </w:r>
          </w:p>
        </w:tc>
        <w:tc>
          <w:tcPr>
            <w:tcW w:w="282" w:type="pct"/>
            <w:shd w:val="clear" w:color="auto" w:fill="auto"/>
            <w:vAlign w:val="center"/>
          </w:tcPr>
          <w:p w14:paraId="1FCD06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w:t>
            </w:r>
          </w:p>
        </w:tc>
        <w:tc>
          <w:tcPr>
            <w:tcW w:w="612" w:type="pct"/>
            <w:shd w:val="clear" w:color="auto" w:fill="auto"/>
            <w:vAlign w:val="center"/>
          </w:tcPr>
          <w:p w14:paraId="3A1A5EB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节电120万千瓦时</w:t>
            </w:r>
          </w:p>
        </w:tc>
        <w:tc>
          <w:tcPr>
            <w:tcW w:w="292" w:type="pct"/>
            <w:shd w:val="clear" w:color="auto" w:fill="auto"/>
            <w:vAlign w:val="center"/>
          </w:tcPr>
          <w:p w14:paraId="109A01D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390.86 </w:t>
            </w:r>
          </w:p>
        </w:tc>
        <w:tc>
          <w:tcPr>
            <w:tcW w:w="347" w:type="pct"/>
            <w:shd w:val="clear" w:color="auto" w:fill="auto"/>
            <w:vAlign w:val="center"/>
          </w:tcPr>
          <w:p w14:paraId="730E7F0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1061.17</w:t>
            </w:r>
          </w:p>
        </w:tc>
        <w:tc>
          <w:tcPr>
            <w:tcW w:w="547" w:type="pct"/>
            <w:shd w:val="clear" w:color="auto" w:fill="auto"/>
            <w:vAlign w:val="center"/>
          </w:tcPr>
          <w:p w14:paraId="2B69B3E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80.40</w:t>
            </w:r>
          </w:p>
        </w:tc>
        <w:tc>
          <w:tcPr>
            <w:tcW w:w="287" w:type="pct"/>
            <w:shd w:val="clear" w:color="auto" w:fill="auto"/>
            <w:vAlign w:val="center"/>
          </w:tcPr>
          <w:p w14:paraId="13295D8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3C0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C20677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w:t>
            </w:r>
          </w:p>
        </w:tc>
        <w:tc>
          <w:tcPr>
            <w:tcW w:w="380" w:type="pct"/>
            <w:vAlign w:val="center"/>
          </w:tcPr>
          <w:p w14:paraId="5385AE3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31C6FCD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高耗能设备更新。更换225台高效电机</w:t>
            </w:r>
          </w:p>
        </w:tc>
        <w:tc>
          <w:tcPr>
            <w:tcW w:w="325" w:type="pct"/>
            <w:shd w:val="clear" w:color="auto" w:fill="auto"/>
            <w:vAlign w:val="center"/>
          </w:tcPr>
          <w:p w14:paraId="1A0A461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2023.4</w:t>
            </w:r>
          </w:p>
        </w:tc>
        <w:tc>
          <w:tcPr>
            <w:tcW w:w="282" w:type="pct"/>
            <w:shd w:val="clear" w:color="auto" w:fill="auto"/>
            <w:vAlign w:val="center"/>
          </w:tcPr>
          <w:p w14:paraId="4A716DB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287</w:t>
            </w:r>
          </w:p>
        </w:tc>
        <w:tc>
          <w:tcPr>
            <w:tcW w:w="612" w:type="pct"/>
            <w:shd w:val="clear" w:color="auto" w:fill="auto"/>
            <w:vAlign w:val="center"/>
          </w:tcPr>
          <w:p w14:paraId="1C8F91B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节电41.28万千瓦时</w:t>
            </w:r>
          </w:p>
        </w:tc>
        <w:tc>
          <w:tcPr>
            <w:tcW w:w="292" w:type="pct"/>
            <w:shd w:val="clear" w:color="auto" w:fill="auto"/>
            <w:vAlign w:val="center"/>
          </w:tcPr>
          <w:p w14:paraId="3162881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134.46</w:t>
            </w:r>
          </w:p>
        </w:tc>
        <w:tc>
          <w:tcPr>
            <w:tcW w:w="347" w:type="pct"/>
            <w:shd w:val="clear" w:color="auto" w:fill="auto"/>
            <w:vAlign w:val="center"/>
          </w:tcPr>
          <w:p w14:paraId="53F7554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365.04</w:t>
            </w:r>
          </w:p>
        </w:tc>
        <w:tc>
          <w:tcPr>
            <w:tcW w:w="547" w:type="pct"/>
            <w:shd w:val="clear" w:color="auto" w:fill="auto"/>
            <w:vAlign w:val="center"/>
          </w:tcPr>
          <w:p w14:paraId="01BA6AE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27.66</w:t>
            </w:r>
          </w:p>
        </w:tc>
        <w:tc>
          <w:tcPr>
            <w:tcW w:w="287" w:type="pct"/>
          </w:tcPr>
          <w:p w14:paraId="20A4B68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09E6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410242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w:t>
            </w:r>
          </w:p>
        </w:tc>
        <w:tc>
          <w:tcPr>
            <w:tcW w:w="380" w:type="pct"/>
            <w:vAlign w:val="center"/>
          </w:tcPr>
          <w:p w14:paraId="46646EE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6A7598F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延迟焦化装置加热炉增加余热回收系统改造项目。对加热炉系统进行改造，两炉新增联合余热回收系统，新增高效板式空气预热器，原加热炉对流段空气预热器拆除，新增烟道将烟气引至地面，新增鼓风机和引风机，并设置变频器，新增落地烟囱，余热系统低温段烟道、风机叶轮等喷涂耐腐蚀涂料。通过增加余热回收系统，加热炉排烟温度降低至90℃左右，提高改造后加热炉热效率</w:t>
            </w:r>
          </w:p>
        </w:tc>
        <w:tc>
          <w:tcPr>
            <w:tcW w:w="325" w:type="pct"/>
            <w:shd w:val="clear" w:color="auto" w:fill="auto"/>
            <w:vAlign w:val="center"/>
          </w:tcPr>
          <w:p w14:paraId="7D11B64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2170C3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765.23</w:t>
            </w:r>
          </w:p>
        </w:tc>
        <w:tc>
          <w:tcPr>
            <w:tcW w:w="612" w:type="pct"/>
            <w:shd w:val="clear" w:color="auto" w:fill="auto"/>
            <w:vAlign w:val="center"/>
          </w:tcPr>
          <w:p w14:paraId="076034F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节约燃料气310t，增加电耗16.67万千瓦时</w:t>
            </w:r>
          </w:p>
        </w:tc>
        <w:tc>
          <w:tcPr>
            <w:tcW w:w="292" w:type="pct"/>
            <w:shd w:val="clear" w:color="auto" w:fill="auto"/>
            <w:vAlign w:val="center"/>
          </w:tcPr>
          <w:p w14:paraId="5946205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466.65</w:t>
            </w:r>
          </w:p>
        </w:tc>
        <w:tc>
          <w:tcPr>
            <w:tcW w:w="347" w:type="pct"/>
            <w:shd w:val="clear" w:color="auto" w:fill="auto"/>
            <w:vAlign w:val="center"/>
          </w:tcPr>
          <w:p w14:paraId="56E3946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175.81</w:t>
            </w:r>
          </w:p>
        </w:tc>
        <w:tc>
          <w:tcPr>
            <w:tcW w:w="547" w:type="pct"/>
            <w:shd w:val="clear" w:color="auto" w:fill="auto"/>
            <w:vAlign w:val="center"/>
          </w:tcPr>
          <w:p w14:paraId="361A899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75.63</w:t>
            </w:r>
          </w:p>
        </w:tc>
        <w:tc>
          <w:tcPr>
            <w:tcW w:w="287" w:type="pct"/>
          </w:tcPr>
          <w:p w14:paraId="684D961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71C91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08A9A73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w:t>
            </w:r>
          </w:p>
        </w:tc>
        <w:tc>
          <w:tcPr>
            <w:tcW w:w="380" w:type="pct"/>
            <w:vAlign w:val="center"/>
          </w:tcPr>
          <w:p w14:paraId="2E96D41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036ED2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正和石化高耗能电机更新。更换254台节能电机，提高电机运行效率。</w:t>
            </w:r>
          </w:p>
        </w:tc>
        <w:tc>
          <w:tcPr>
            <w:tcW w:w="325" w:type="pct"/>
            <w:shd w:val="clear" w:color="auto" w:fill="auto"/>
            <w:vAlign w:val="center"/>
          </w:tcPr>
          <w:p w14:paraId="63944B6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6DEC1B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290.08</w:t>
            </w:r>
          </w:p>
        </w:tc>
        <w:tc>
          <w:tcPr>
            <w:tcW w:w="612" w:type="pct"/>
            <w:shd w:val="clear" w:color="auto" w:fill="auto"/>
            <w:vAlign w:val="center"/>
          </w:tcPr>
          <w:p w14:paraId="690D6EF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节电36万千瓦时</w:t>
            </w:r>
          </w:p>
        </w:tc>
        <w:tc>
          <w:tcPr>
            <w:tcW w:w="292" w:type="pct"/>
            <w:shd w:val="clear" w:color="auto" w:fill="auto"/>
            <w:vAlign w:val="center"/>
          </w:tcPr>
          <w:p w14:paraId="348653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117.26</w:t>
            </w:r>
          </w:p>
        </w:tc>
        <w:tc>
          <w:tcPr>
            <w:tcW w:w="347" w:type="pct"/>
            <w:shd w:val="clear" w:color="auto" w:fill="auto"/>
            <w:vAlign w:val="center"/>
          </w:tcPr>
          <w:p w14:paraId="102076D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256.32</w:t>
            </w:r>
          </w:p>
        </w:tc>
        <w:tc>
          <w:tcPr>
            <w:tcW w:w="547" w:type="pct"/>
            <w:shd w:val="clear" w:color="auto" w:fill="auto"/>
            <w:vAlign w:val="center"/>
          </w:tcPr>
          <w:p w14:paraId="62FE4E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24.12</w:t>
            </w:r>
          </w:p>
        </w:tc>
        <w:tc>
          <w:tcPr>
            <w:tcW w:w="287" w:type="pct"/>
          </w:tcPr>
          <w:p w14:paraId="6244D9F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5C1A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B1B093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w:t>
            </w:r>
          </w:p>
        </w:tc>
        <w:tc>
          <w:tcPr>
            <w:tcW w:w="380" w:type="pct"/>
            <w:vAlign w:val="center"/>
          </w:tcPr>
          <w:p w14:paraId="4977AF4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70DE832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罐区蒸汽伴热改热水项目。将柴油罐、小球罐、轻污油罐伴热由蒸汽改为热媒水伴热。将热媒水并入伴热主管，利旧原有伴热管线，再从出罐后增加热媒水回水管线。18处放空，每个放空点节汽20kg/h，节约1.0MPa蒸汽0.36t/h，全年按运行90天计算，全年节约1.0MPa蒸汽777.6t。</w:t>
            </w:r>
          </w:p>
        </w:tc>
        <w:tc>
          <w:tcPr>
            <w:tcW w:w="325" w:type="pct"/>
            <w:shd w:val="clear" w:color="auto" w:fill="auto"/>
            <w:vAlign w:val="center"/>
          </w:tcPr>
          <w:p w14:paraId="0F02CFC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7C2FAB8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w:t>
            </w:r>
          </w:p>
        </w:tc>
        <w:tc>
          <w:tcPr>
            <w:tcW w:w="612" w:type="pct"/>
            <w:shd w:val="clear" w:color="auto" w:fill="auto"/>
            <w:vAlign w:val="center"/>
          </w:tcPr>
          <w:p w14:paraId="3F1835C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节约1.0MPa蒸汽777.6吨</w:t>
            </w:r>
          </w:p>
        </w:tc>
        <w:tc>
          <w:tcPr>
            <w:tcW w:w="292" w:type="pct"/>
            <w:shd w:val="clear" w:color="auto" w:fill="auto"/>
            <w:vAlign w:val="center"/>
          </w:tcPr>
          <w:p w14:paraId="66B53CF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75.93</w:t>
            </w:r>
          </w:p>
        </w:tc>
        <w:tc>
          <w:tcPr>
            <w:tcW w:w="347" w:type="pct"/>
            <w:shd w:val="clear" w:color="auto" w:fill="auto"/>
            <w:vAlign w:val="center"/>
          </w:tcPr>
          <w:p w14:paraId="45963B2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238.80</w:t>
            </w:r>
          </w:p>
        </w:tc>
        <w:tc>
          <w:tcPr>
            <w:tcW w:w="547" w:type="pct"/>
            <w:shd w:val="clear" w:color="auto" w:fill="auto"/>
            <w:vAlign w:val="center"/>
          </w:tcPr>
          <w:p w14:paraId="75E3C5A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15.55</w:t>
            </w:r>
          </w:p>
        </w:tc>
        <w:tc>
          <w:tcPr>
            <w:tcW w:w="287" w:type="pct"/>
          </w:tcPr>
          <w:p w14:paraId="4ED158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827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25A3F0F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w:t>
            </w:r>
          </w:p>
        </w:tc>
        <w:tc>
          <w:tcPr>
            <w:tcW w:w="380" w:type="pct"/>
            <w:vAlign w:val="center"/>
          </w:tcPr>
          <w:p w14:paraId="3AC6AA8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6DC1CC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蜡油热直供下游装置项目。通过增加/改造减二线、减三四线物流输出控制流程，稳定减三四线油去DCC装置流量，可提高直供料量10t/h。</w:t>
            </w:r>
          </w:p>
        </w:tc>
        <w:tc>
          <w:tcPr>
            <w:tcW w:w="325" w:type="pct"/>
            <w:shd w:val="clear" w:color="auto" w:fill="auto"/>
            <w:vAlign w:val="center"/>
          </w:tcPr>
          <w:p w14:paraId="747052E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2BB8F31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w:t>
            </w:r>
          </w:p>
        </w:tc>
        <w:tc>
          <w:tcPr>
            <w:tcW w:w="612" w:type="pct"/>
            <w:shd w:val="clear" w:color="auto" w:fill="auto"/>
            <w:vAlign w:val="center"/>
          </w:tcPr>
          <w:p w14:paraId="14C2FF2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降低热损失55.98吨标准油</w:t>
            </w:r>
          </w:p>
        </w:tc>
        <w:tc>
          <w:tcPr>
            <w:tcW w:w="292" w:type="pct"/>
            <w:shd w:val="clear" w:color="auto" w:fill="auto"/>
            <w:vAlign w:val="center"/>
          </w:tcPr>
          <w:p w14:paraId="6929F3E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114.24</w:t>
            </w:r>
          </w:p>
        </w:tc>
        <w:tc>
          <w:tcPr>
            <w:tcW w:w="347" w:type="pct"/>
            <w:shd w:val="clear" w:color="auto" w:fill="auto"/>
            <w:vAlign w:val="center"/>
          </w:tcPr>
          <w:p w14:paraId="177AE4B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257.81</w:t>
            </w:r>
          </w:p>
        </w:tc>
        <w:tc>
          <w:tcPr>
            <w:tcW w:w="547" w:type="pct"/>
            <w:shd w:val="clear" w:color="auto" w:fill="auto"/>
            <w:vAlign w:val="center"/>
          </w:tcPr>
          <w:p w14:paraId="67FFF2C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27.99</w:t>
            </w:r>
          </w:p>
        </w:tc>
        <w:tc>
          <w:tcPr>
            <w:tcW w:w="287" w:type="pct"/>
          </w:tcPr>
          <w:p w14:paraId="717EF3A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0AD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7FE3B13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w:t>
            </w:r>
          </w:p>
        </w:tc>
        <w:tc>
          <w:tcPr>
            <w:tcW w:w="380" w:type="pct"/>
            <w:vAlign w:val="center"/>
          </w:tcPr>
          <w:p w14:paraId="4CB91E9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6995A21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变气余热回收技术改造项目。对现有中变气换热流程进行改造，增设一台原料气与中变气换热器，利旧中变气进空冷前热量，提高原料气进精制前温度，降低加热炉负荷，节省燃料气11.5Nm³/h。同时增设换热器后可降低中变气进空冷温度，降低中变空冷电机变频开度，节电6kW。全年预计节约干气72.6t，节电4.8万kWh</w:t>
            </w:r>
          </w:p>
        </w:tc>
        <w:tc>
          <w:tcPr>
            <w:tcW w:w="325" w:type="pct"/>
            <w:shd w:val="clear" w:color="auto" w:fill="auto"/>
            <w:vAlign w:val="center"/>
          </w:tcPr>
          <w:p w14:paraId="308DD37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7B4B20C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150</w:t>
            </w:r>
          </w:p>
        </w:tc>
        <w:tc>
          <w:tcPr>
            <w:tcW w:w="612" w:type="pct"/>
            <w:shd w:val="clear" w:color="auto" w:fill="auto"/>
            <w:vAlign w:val="center"/>
          </w:tcPr>
          <w:p w14:paraId="0E7502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节电4.8万kWh，节约干气72.6t</w:t>
            </w:r>
          </w:p>
        </w:tc>
        <w:tc>
          <w:tcPr>
            <w:tcW w:w="292" w:type="pct"/>
            <w:shd w:val="clear" w:color="auto" w:fill="auto"/>
            <w:vAlign w:val="center"/>
          </w:tcPr>
          <w:p w14:paraId="410F181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114.16</w:t>
            </w:r>
          </w:p>
        </w:tc>
        <w:tc>
          <w:tcPr>
            <w:tcW w:w="347" w:type="pct"/>
            <w:shd w:val="clear" w:color="auto" w:fill="auto"/>
            <w:vAlign w:val="center"/>
          </w:tcPr>
          <w:p w14:paraId="3DED132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255.05</w:t>
            </w:r>
          </w:p>
        </w:tc>
        <w:tc>
          <w:tcPr>
            <w:tcW w:w="547" w:type="pct"/>
            <w:shd w:val="clear" w:color="auto" w:fill="auto"/>
            <w:vAlign w:val="center"/>
          </w:tcPr>
          <w:p w14:paraId="5CEE10C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23.82</w:t>
            </w:r>
          </w:p>
        </w:tc>
        <w:tc>
          <w:tcPr>
            <w:tcW w:w="287" w:type="pct"/>
          </w:tcPr>
          <w:p w14:paraId="0AE8951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7D04F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E7BF5B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w:t>
            </w:r>
          </w:p>
        </w:tc>
        <w:tc>
          <w:tcPr>
            <w:tcW w:w="380" w:type="pct"/>
            <w:vAlign w:val="center"/>
          </w:tcPr>
          <w:p w14:paraId="6C5D164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4E0EBE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MTBE装置蒸汽伴热改热水项目。从加氢改质装置热媒水管网上就近新增一条至MTBE装置的热媒水管线，将MTBE装置内蒸汽伴热改为热媒水伴热，减少1.0MPa蒸汽使用量。</w:t>
            </w:r>
          </w:p>
        </w:tc>
        <w:tc>
          <w:tcPr>
            <w:tcW w:w="325" w:type="pct"/>
            <w:shd w:val="clear" w:color="auto" w:fill="auto"/>
            <w:vAlign w:val="center"/>
          </w:tcPr>
          <w:p w14:paraId="405514F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2156B3D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612" w:type="pct"/>
            <w:shd w:val="clear" w:color="auto" w:fill="auto"/>
            <w:vAlign w:val="center"/>
          </w:tcPr>
          <w:p w14:paraId="4E1F5E1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节约1.0MPa蒸汽2200吨，凝结水回收减少2200吨</w:t>
            </w:r>
          </w:p>
        </w:tc>
        <w:tc>
          <w:tcPr>
            <w:tcW w:w="292" w:type="pct"/>
            <w:shd w:val="clear" w:color="auto" w:fill="auto"/>
            <w:vAlign w:val="center"/>
          </w:tcPr>
          <w:p w14:paraId="615DC62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214.81</w:t>
            </w:r>
          </w:p>
        </w:tc>
        <w:tc>
          <w:tcPr>
            <w:tcW w:w="347" w:type="pct"/>
            <w:shd w:val="clear" w:color="auto" w:fill="auto"/>
            <w:vAlign w:val="center"/>
          </w:tcPr>
          <w:p w14:paraId="1113363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675.02</w:t>
            </w:r>
          </w:p>
        </w:tc>
        <w:tc>
          <w:tcPr>
            <w:tcW w:w="547" w:type="pct"/>
            <w:shd w:val="clear" w:color="auto" w:fill="auto"/>
            <w:vAlign w:val="center"/>
          </w:tcPr>
          <w:p w14:paraId="4CDBF1E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42.46</w:t>
            </w:r>
          </w:p>
        </w:tc>
        <w:tc>
          <w:tcPr>
            <w:tcW w:w="287" w:type="pct"/>
          </w:tcPr>
          <w:p w14:paraId="707E714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2A2B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A328D8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28</w:t>
            </w:r>
          </w:p>
        </w:tc>
        <w:tc>
          <w:tcPr>
            <w:tcW w:w="380" w:type="pct"/>
            <w:vAlign w:val="center"/>
          </w:tcPr>
          <w:p w14:paraId="3D9BD8A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3A9C0B3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连续重整装置凝结水热量综合利用项目。回收重整低压凝结水，新增一条管线，将重整单元低压凝结水并入抽提低压凝结水。甲苯塔凝结水并入抽提低压凝结水，苯塔、甲苯塔凝结水与重整凝结水混合后再与燃料气换热。利旧苯塔进料换热器改为与凝结水换热，从燃料气换热器出来的凝结水，与苯塔进料换热后，再送至凝结水罐，实现凝结水热量综合利用。</w:t>
            </w:r>
          </w:p>
        </w:tc>
        <w:tc>
          <w:tcPr>
            <w:tcW w:w="325" w:type="pct"/>
            <w:shd w:val="clear" w:color="auto" w:fill="auto"/>
            <w:vAlign w:val="center"/>
          </w:tcPr>
          <w:p w14:paraId="1624507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684ED2F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w:t>
            </w:r>
          </w:p>
        </w:tc>
        <w:tc>
          <w:tcPr>
            <w:tcW w:w="612" w:type="pct"/>
            <w:shd w:val="clear" w:color="auto" w:fill="auto"/>
            <w:vAlign w:val="center"/>
          </w:tcPr>
          <w:p w14:paraId="3AFEC0C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节约1.0MPa蒸汽6720吨，凝结水回收减少6720吨</w:t>
            </w:r>
          </w:p>
        </w:tc>
        <w:tc>
          <w:tcPr>
            <w:tcW w:w="292" w:type="pct"/>
            <w:shd w:val="clear" w:color="auto" w:fill="auto"/>
            <w:vAlign w:val="center"/>
          </w:tcPr>
          <w:p w14:paraId="7134325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656.16</w:t>
            </w:r>
          </w:p>
        </w:tc>
        <w:tc>
          <w:tcPr>
            <w:tcW w:w="347" w:type="pct"/>
            <w:shd w:val="clear" w:color="auto" w:fill="auto"/>
            <w:vAlign w:val="center"/>
          </w:tcPr>
          <w:p w14:paraId="1CE686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2063.71</w:t>
            </w:r>
          </w:p>
        </w:tc>
        <w:tc>
          <w:tcPr>
            <w:tcW w:w="547" w:type="pct"/>
            <w:shd w:val="clear" w:color="auto" w:fill="auto"/>
            <w:vAlign w:val="center"/>
          </w:tcPr>
          <w:p w14:paraId="3D95EA5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129.70</w:t>
            </w:r>
          </w:p>
        </w:tc>
        <w:tc>
          <w:tcPr>
            <w:tcW w:w="287" w:type="pct"/>
          </w:tcPr>
          <w:p w14:paraId="322543B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659A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53282A2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29</w:t>
            </w:r>
          </w:p>
        </w:tc>
        <w:tc>
          <w:tcPr>
            <w:tcW w:w="380" w:type="pct"/>
            <w:vAlign w:val="center"/>
          </w:tcPr>
          <w:p w14:paraId="067B968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185EFF0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停焦化装置除氧器改造项目。从连续重整装置引除氧水至延迟焦化装置，接入至延迟焦化装置除氧水泵出口，从而停用焦化装置除氧器，减少蒸汽消耗。</w:t>
            </w:r>
          </w:p>
        </w:tc>
        <w:tc>
          <w:tcPr>
            <w:tcW w:w="325" w:type="pct"/>
            <w:shd w:val="clear" w:color="auto" w:fill="auto"/>
            <w:vAlign w:val="center"/>
          </w:tcPr>
          <w:p w14:paraId="7E05440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5871022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612" w:type="pct"/>
            <w:shd w:val="clear" w:color="auto" w:fill="auto"/>
            <w:vAlign w:val="center"/>
          </w:tcPr>
          <w:p w14:paraId="2428CD3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节约1.0MPa蒸汽8400吨，减少凝结水回收8400吨，节电18.48万kWh</w:t>
            </w:r>
          </w:p>
        </w:tc>
        <w:tc>
          <w:tcPr>
            <w:tcW w:w="292" w:type="pct"/>
            <w:shd w:val="clear" w:color="auto" w:fill="auto"/>
            <w:vAlign w:val="center"/>
          </w:tcPr>
          <w:p w14:paraId="6301891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880.39</w:t>
            </w:r>
          </w:p>
        </w:tc>
        <w:tc>
          <w:tcPr>
            <w:tcW w:w="347" w:type="pct"/>
            <w:shd w:val="clear" w:color="auto" w:fill="auto"/>
            <w:vAlign w:val="center"/>
          </w:tcPr>
          <w:p w14:paraId="7DD5778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2711.21</w:t>
            </w:r>
          </w:p>
        </w:tc>
        <w:tc>
          <w:tcPr>
            <w:tcW w:w="547" w:type="pct"/>
            <w:shd w:val="clear" w:color="auto" w:fill="auto"/>
            <w:vAlign w:val="center"/>
          </w:tcPr>
          <w:p w14:paraId="0CE84C4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174.50</w:t>
            </w:r>
          </w:p>
        </w:tc>
        <w:tc>
          <w:tcPr>
            <w:tcW w:w="287" w:type="pct"/>
          </w:tcPr>
          <w:p w14:paraId="27EADA2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79AB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9EA9C2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w:t>
            </w:r>
          </w:p>
        </w:tc>
        <w:tc>
          <w:tcPr>
            <w:tcW w:w="380" w:type="pct"/>
            <w:vAlign w:val="center"/>
          </w:tcPr>
          <w:p w14:paraId="2F5F884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正和石化</w:t>
            </w:r>
          </w:p>
        </w:tc>
        <w:tc>
          <w:tcPr>
            <w:tcW w:w="1762" w:type="pct"/>
            <w:shd w:val="clear" w:color="auto" w:fill="auto"/>
            <w:vAlign w:val="center"/>
          </w:tcPr>
          <w:p w14:paraId="5B5B9C2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精丙烯塔中间泵电机永磁调速改造。精丙烯塔中间泵电机功率220kW，通过永磁调速改造后节电20%的情况下，节省用电负荷44kW，全年按运行8000小时计算，全年节省电量35.2万kWh</w:t>
            </w:r>
          </w:p>
        </w:tc>
        <w:tc>
          <w:tcPr>
            <w:tcW w:w="325" w:type="pct"/>
            <w:shd w:val="clear" w:color="auto" w:fill="auto"/>
            <w:vAlign w:val="center"/>
          </w:tcPr>
          <w:p w14:paraId="1756F1D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2024.08</w:t>
            </w:r>
          </w:p>
        </w:tc>
        <w:tc>
          <w:tcPr>
            <w:tcW w:w="282" w:type="pct"/>
            <w:shd w:val="clear" w:color="auto" w:fill="auto"/>
            <w:vAlign w:val="center"/>
          </w:tcPr>
          <w:p w14:paraId="3E4238E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612" w:type="pct"/>
            <w:shd w:val="clear" w:color="auto" w:fill="auto"/>
            <w:vAlign w:val="center"/>
          </w:tcPr>
          <w:p w14:paraId="6A513B6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节电35.2万kWh</w:t>
            </w:r>
          </w:p>
        </w:tc>
        <w:tc>
          <w:tcPr>
            <w:tcW w:w="292" w:type="pct"/>
            <w:shd w:val="clear" w:color="auto" w:fill="auto"/>
            <w:vAlign w:val="center"/>
          </w:tcPr>
          <w:p w14:paraId="2837D84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114.65 </w:t>
            </w:r>
          </w:p>
        </w:tc>
        <w:tc>
          <w:tcPr>
            <w:tcW w:w="347" w:type="pct"/>
            <w:shd w:val="clear" w:color="auto" w:fill="auto"/>
            <w:vAlign w:val="center"/>
          </w:tcPr>
          <w:p w14:paraId="133DD47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250.62</w:t>
            </w:r>
          </w:p>
        </w:tc>
        <w:tc>
          <w:tcPr>
            <w:tcW w:w="547" w:type="pct"/>
            <w:shd w:val="clear" w:color="auto" w:fill="auto"/>
            <w:vAlign w:val="center"/>
          </w:tcPr>
          <w:p w14:paraId="5395C38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23.58 </w:t>
            </w:r>
          </w:p>
        </w:tc>
        <w:tc>
          <w:tcPr>
            <w:tcW w:w="287" w:type="pct"/>
          </w:tcPr>
          <w:p w14:paraId="3CD107B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F2B7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010CCE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w:t>
            </w:r>
          </w:p>
        </w:tc>
        <w:tc>
          <w:tcPr>
            <w:tcW w:w="380" w:type="pct"/>
            <w:shd w:val="clear" w:color="auto" w:fill="auto"/>
            <w:vAlign w:val="center"/>
          </w:tcPr>
          <w:p w14:paraId="646AE98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05CAE9F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全厂氮气优化项目</w:t>
            </w:r>
          </w:p>
        </w:tc>
        <w:tc>
          <w:tcPr>
            <w:tcW w:w="325" w:type="pct"/>
            <w:shd w:val="clear" w:color="auto" w:fill="auto"/>
            <w:vAlign w:val="center"/>
          </w:tcPr>
          <w:p w14:paraId="742F2D7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2021年</w:t>
            </w:r>
          </w:p>
        </w:tc>
        <w:tc>
          <w:tcPr>
            <w:tcW w:w="282" w:type="pct"/>
            <w:shd w:val="clear" w:color="auto" w:fill="auto"/>
            <w:vAlign w:val="center"/>
          </w:tcPr>
          <w:p w14:paraId="79F1527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612" w:type="pct"/>
            <w:shd w:val="clear" w:color="auto" w:fill="auto"/>
            <w:vAlign w:val="center"/>
          </w:tcPr>
          <w:p w14:paraId="7DE9973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64411E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1611</w:t>
            </w:r>
          </w:p>
        </w:tc>
        <w:tc>
          <w:tcPr>
            <w:tcW w:w="347" w:type="pct"/>
            <w:shd w:val="clear" w:color="auto" w:fill="auto"/>
            <w:vAlign w:val="center"/>
          </w:tcPr>
          <w:p w14:paraId="0A8AB45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6E554DF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190</w:t>
            </w:r>
          </w:p>
        </w:tc>
        <w:tc>
          <w:tcPr>
            <w:tcW w:w="287" w:type="pct"/>
            <w:shd w:val="clear" w:color="auto" w:fill="auto"/>
            <w:vAlign w:val="center"/>
          </w:tcPr>
          <w:p w14:paraId="7043CDD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79C3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2F3FB35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32</w:t>
            </w:r>
          </w:p>
        </w:tc>
        <w:tc>
          <w:tcPr>
            <w:tcW w:w="380" w:type="pct"/>
            <w:shd w:val="clear" w:color="auto" w:fill="auto"/>
            <w:vAlign w:val="center"/>
          </w:tcPr>
          <w:p w14:paraId="100F28F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20E86EC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酸性气火炬优化攻关</w:t>
            </w:r>
          </w:p>
        </w:tc>
        <w:tc>
          <w:tcPr>
            <w:tcW w:w="325" w:type="pct"/>
            <w:shd w:val="clear" w:color="auto" w:fill="auto"/>
            <w:vAlign w:val="center"/>
          </w:tcPr>
          <w:p w14:paraId="70C25FE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2021年</w:t>
            </w:r>
          </w:p>
        </w:tc>
        <w:tc>
          <w:tcPr>
            <w:tcW w:w="282" w:type="pct"/>
            <w:shd w:val="clear" w:color="auto" w:fill="auto"/>
            <w:vAlign w:val="center"/>
          </w:tcPr>
          <w:p w14:paraId="7A218F6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612" w:type="pct"/>
            <w:shd w:val="clear" w:color="auto" w:fill="auto"/>
            <w:vAlign w:val="center"/>
          </w:tcPr>
          <w:p w14:paraId="196A27D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733A142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923</w:t>
            </w:r>
          </w:p>
        </w:tc>
        <w:tc>
          <w:tcPr>
            <w:tcW w:w="347" w:type="pct"/>
            <w:shd w:val="clear" w:color="auto" w:fill="auto"/>
            <w:vAlign w:val="center"/>
          </w:tcPr>
          <w:p w14:paraId="323731A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49BFB32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190.4</w:t>
            </w:r>
          </w:p>
        </w:tc>
        <w:tc>
          <w:tcPr>
            <w:tcW w:w="287" w:type="pct"/>
            <w:shd w:val="clear" w:color="auto" w:fill="auto"/>
            <w:vAlign w:val="center"/>
          </w:tcPr>
          <w:p w14:paraId="6E5713A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700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26BCBF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w:t>
            </w:r>
          </w:p>
        </w:tc>
        <w:tc>
          <w:tcPr>
            <w:tcW w:w="380" w:type="pct"/>
            <w:shd w:val="clear" w:color="auto" w:fill="auto"/>
            <w:vAlign w:val="center"/>
          </w:tcPr>
          <w:p w14:paraId="161C3AB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5B19FA2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重整预加氢含硫液化气流程改造项目</w:t>
            </w:r>
          </w:p>
        </w:tc>
        <w:tc>
          <w:tcPr>
            <w:tcW w:w="325" w:type="pct"/>
            <w:shd w:val="clear" w:color="auto" w:fill="auto"/>
            <w:vAlign w:val="center"/>
          </w:tcPr>
          <w:p w14:paraId="5FB8892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2021年</w:t>
            </w:r>
          </w:p>
        </w:tc>
        <w:tc>
          <w:tcPr>
            <w:tcW w:w="282" w:type="pct"/>
            <w:shd w:val="clear" w:color="auto" w:fill="auto"/>
            <w:vAlign w:val="center"/>
          </w:tcPr>
          <w:p w14:paraId="0E958DD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612" w:type="pct"/>
            <w:shd w:val="clear" w:color="auto" w:fill="auto"/>
            <w:vAlign w:val="center"/>
          </w:tcPr>
          <w:p w14:paraId="13EB630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72AE22B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1304</w:t>
            </w:r>
          </w:p>
        </w:tc>
        <w:tc>
          <w:tcPr>
            <w:tcW w:w="347" w:type="pct"/>
            <w:shd w:val="clear" w:color="auto" w:fill="auto"/>
            <w:vAlign w:val="center"/>
          </w:tcPr>
          <w:p w14:paraId="1F71259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20E9E45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节能效益219万元，产品效益根据市场价格变动，可增收3700余万元</w:t>
            </w:r>
          </w:p>
        </w:tc>
        <w:tc>
          <w:tcPr>
            <w:tcW w:w="287" w:type="pct"/>
            <w:shd w:val="clear" w:color="auto" w:fill="auto"/>
            <w:vAlign w:val="center"/>
          </w:tcPr>
          <w:p w14:paraId="480E9F6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8F6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DD4F86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34</w:t>
            </w:r>
          </w:p>
        </w:tc>
        <w:tc>
          <w:tcPr>
            <w:tcW w:w="380" w:type="pct"/>
            <w:shd w:val="clear" w:color="auto" w:fill="auto"/>
            <w:vAlign w:val="center"/>
          </w:tcPr>
          <w:p w14:paraId="129C84E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13A5B65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重交沥青加热炉空气预热器改造项目</w:t>
            </w:r>
          </w:p>
        </w:tc>
        <w:tc>
          <w:tcPr>
            <w:tcW w:w="325" w:type="pct"/>
            <w:shd w:val="clear" w:color="auto" w:fill="auto"/>
            <w:vAlign w:val="center"/>
          </w:tcPr>
          <w:p w14:paraId="21001BD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282" w:type="pct"/>
            <w:shd w:val="clear" w:color="auto" w:fill="auto"/>
            <w:vAlign w:val="center"/>
          </w:tcPr>
          <w:p w14:paraId="56617C2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1000</w:t>
            </w:r>
          </w:p>
        </w:tc>
        <w:tc>
          <w:tcPr>
            <w:tcW w:w="612" w:type="pct"/>
            <w:shd w:val="clear" w:color="auto" w:fill="auto"/>
            <w:vAlign w:val="center"/>
          </w:tcPr>
          <w:p w14:paraId="531763B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204E573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4749</w:t>
            </w:r>
          </w:p>
        </w:tc>
        <w:tc>
          <w:tcPr>
            <w:tcW w:w="347" w:type="pct"/>
            <w:shd w:val="clear" w:color="auto" w:fill="auto"/>
            <w:vAlign w:val="center"/>
          </w:tcPr>
          <w:p w14:paraId="6E04F9E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5AE88D6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604</w:t>
            </w:r>
          </w:p>
        </w:tc>
        <w:tc>
          <w:tcPr>
            <w:tcW w:w="287" w:type="pct"/>
            <w:shd w:val="clear" w:color="auto" w:fill="auto"/>
            <w:vAlign w:val="center"/>
          </w:tcPr>
          <w:p w14:paraId="748229E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10BAD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CFE2F1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35</w:t>
            </w:r>
          </w:p>
        </w:tc>
        <w:tc>
          <w:tcPr>
            <w:tcW w:w="380" w:type="pct"/>
            <w:shd w:val="clear" w:color="auto" w:fill="auto"/>
            <w:vAlign w:val="center"/>
          </w:tcPr>
          <w:p w14:paraId="552D7EA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531AB25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重交沥青石脑油直供重整技术改造项目</w:t>
            </w:r>
          </w:p>
        </w:tc>
        <w:tc>
          <w:tcPr>
            <w:tcW w:w="325" w:type="pct"/>
            <w:shd w:val="clear" w:color="auto" w:fill="auto"/>
            <w:vAlign w:val="center"/>
          </w:tcPr>
          <w:p w14:paraId="22A6922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282" w:type="pct"/>
            <w:shd w:val="clear" w:color="auto" w:fill="auto"/>
            <w:vAlign w:val="center"/>
          </w:tcPr>
          <w:p w14:paraId="78E88CB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300</w:t>
            </w:r>
          </w:p>
        </w:tc>
        <w:tc>
          <w:tcPr>
            <w:tcW w:w="612" w:type="pct"/>
            <w:shd w:val="clear" w:color="auto" w:fill="auto"/>
            <w:vAlign w:val="center"/>
          </w:tcPr>
          <w:p w14:paraId="351450D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68DAE61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1557</w:t>
            </w:r>
          </w:p>
        </w:tc>
        <w:tc>
          <w:tcPr>
            <w:tcW w:w="347" w:type="pct"/>
            <w:shd w:val="clear" w:color="auto" w:fill="auto"/>
            <w:vAlign w:val="center"/>
          </w:tcPr>
          <w:p w14:paraId="5F7A2E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0C99ADF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476</w:t>
            </w:r>
          </w:p>
        </w:tc>
        <w:tc>
          <w:tcPr>
            <w:tcW w:w="287" w:type="pct"/>
            <w:shd w:val="clear" w:color="auto" w:fill="auto"/>
            <w:vAlign w:val="center"/>
          </w:tcPr>
          <w:p w14:paraId="1468AE5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26A15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8E6784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w:t>
            </w:r>
          </w:p>
        </w:tc>
        <w:tc>
          <w:tcPr>
            <w:tcW w:w="380" w:type="pct"/>
            <w:shd w:val="clear" w:color="auto" w:fill="auto"/>
            <w:vAlign w:val="center"/>
          </w:tcPr>
          <w:p w14:paraId="54329F1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761D10B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非临氢改质装置原料换热流程优化项目</w:t>
            </w:r>
          </w:p>
        </w:tc>
        <w:tc>
          <w:tcPr>
            <w:tcW w:w="325" w:type="pct"/>
            <w:shd w:val="clear" w:color="auto" w:fill="auto"/>
            <w:vAlign w:val="center"/>
          </w:tcPr>
          <w:p w14:paraId="6720147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282" w:type="pct"/>
            <w:shd w:val="clear" w:color="auto" w:fill="auto"/>
            <w:vAlign w:val="center"/>
          </w:tcPr>
          <w:p w14:paraId="7357D48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612" w:type="pct"/>
            <w:shd w:val="clear" w:color="auto" w:fill="auto"/>
            <w:vAlign w:val="center"/>
          </w:tcPr>
          <w:p w14:paraId="67C620E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5EBE4AF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543</w:t>
            </w:r>
          </w:p>
        </w:tc>
        <w:tc>
          <w:tcPr>
            <w:tcW w:w="347" w:type="pct"/>
            <w:shd w:val="clear" w:color="auto" w:fill="auto"/>
            <w:vAlign w:val="center"/>
          </w:tcPr>
          <w:p w14:paraId="2F4D33D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31F1746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w:t>
            </w:r>
          </w:p>
        </w:tc>
        <w:tc>
          <w:tcPr>
            <w:tcW w:w="287" w:type="pct"/>
            <w:shd w:val="clear" w:color="auto" w:fill="auto"/>
            <w:vAlign w:val="center"/>
          </w:tcPr>
          <w:p w14:paraId="0CE3FE1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5FA0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3A28C40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37</w:t>
            </w:r>
          </w:p>
        </w:tc>
        <w:tc>
          <w:tcPr>
            <w:tcW w:w="380" w:type="pct"/>
            <w:shd w:val="clear" w:color="auto" w:fill="auto"/>
            <w:vAlign w:val="center"/>
          </w:tcPr>
          <w:p w14:paraId="4B11FE8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446D10A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制氢装置氢气管网分级优化项目</w:t>
            </w:r>
          </w:p>
        </w:tc>
        <w:tc>
          <w:tcPr>
            <w:tcW w:w="325" w:type="pct"/>
            <w:shd w:val="clear" w:color="auto" w:fill="auto"/>
            <w:vAlign w:val="center"/>
          </w:tcPr>
          <w:p w14:paraId="4810C74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282" w:type="pct"/>
            <w:shd w:val="clear" w:color="auto" w:fill="auto"/>
            <w:vAlign w:val="center"/>
          </w:tcPr>
          <w:p w14:paraId="6BA7DBC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612" w:type="pct"/>
            <w:shd w:val="clear" w:color="auto" w:fill="auto"/>
            <w:vAlign w:val="center"/>
          </w:tcPr>
          <w:p w14:paraId="669B86F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107B278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41.3</w:t>
            </w:r>
          </w:p>
        </w:tc>
        <w:tc>
          <w:tcPr>
            <w:tcW w:w="347" w:type="pct"/>
            <w:shd w:val="clear" w:color="auto" w:fill="auto"/>
            <w:vAlign w:val="center"/>
          </w:tcPr>
          <w:p w14:paraId="62110F0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0AD79D3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23.86</w:t>
            </w:r>
          </w:p>
        </w:tc>
        <w:tc>
          <w:tcPr>
            <w:tcW w:w="287" w:type="pct"/>
            <w:shd w:val="clear" w:color="auto" w:fill="auto"/>
            <w:vAlign w:val="center"/>
          </w:tcPr>
          <w:p w14:paraId="3508B5D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250E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2CF67C3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38</w:t>
            </w:r>
          </w:p>
        </w:tc>
        <w:tc>
          <w:tcPr>
            <w:tcW w:w="380" w:type="pct"/>
            <w:shd w:val="clear" w:color="auto" w:fill="auto"/>
            <w:vAlign w:val="center"/>
          </w:tcPr>
          <w:p w14:paraId="6B31AC3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45F6C94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柴油加氢汽轮机汽封冷却水回收利用项目</w:t>
            </w:r>
          </w:p>
        </w:tc>
        <w:tc>
          <w:tcPr>
            <w:tcW w:w="325" w:type="pct"/>
            <w:shd w:val="clear" w:color="auto" w:fill="auto"/>
            <w:vAlign w:val="center"/>
          </w:tcPr>
          <w:p w14:paraId="261E9B4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282" w:type="pct"/>
            <w:shd w:val="clear" w:color="auto" w:fill="auto"/>
            <w:vAlign w:val="center"/>
          </w:tcPr>
          <w:p w14:paraId="023CD3F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w:t>
            </w:r>
          </w:p>
        </w:tc>
        <w:tc>
          <w:tcPr>
            <w:tcW w:w="612" w:type="pct"/>
            <w:shd w:val="clear" w:color="auto" w:fill="auto"/>
            <w:vAlign w:val="center"/>
          </w:tcPr>
          <w:p w14:paraId="4DBB1B2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10CA5E1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w:t>
            </w:r>
          </w:p>
        </w:tc>
        <w:tc>
          <w:tcPr>
            <w:tcW w:w="347" w:type="pct"/>
            <w:shd w:val="clear" w:color="auto" w:fill="auto"/>
            <w:vAlign w:val="center"/>
          </w:tcPr>
          <w:p w14:paraId="3FBBE05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048BCE5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1.68</w:t>
            </w:r>
          </w:p>
        </w:tc>
        <w:tc>
          <w:tcPr>
            <w:tcW w:w="287" w:type="pct"/>
            <w:shd w:val="clear" w:color="auto" w:fill="auto"/>
            <w:vAlign w:val="center"/>
          </w:tcPr>
          <w:p w14:paraId="05D6713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33E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FFC0A0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w:t>
            </w:r>
          </w:p>
        </w:tc>
        <w:tc>
          <w:tcPr>
            <w:tcW w:w="380" w:type="pct"/>
            <w:shd w:val="clear" w:color="auto" w:fill="auto"/>
            <w:vAlign w:val="center"/>
          </w:tcPr>
          <w:p w14:paraId="3E4BB3B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1D83FA1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汽油加氢装置切重塔热源优化项目</w:t>
            </w:r>
          </w:p>
        </w:tc>
        <w:tc>
          <w:tcPr>
            <w:tcW w:w="325" w:type="pct"/>
            <w:shd w:val="clear" w:color="auto" w:fill="auto"/>
            <w:vAlign w:val="center"/>
          </w:tcPr>
          <w:p w14:paraId="5290D2C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282" w:type="pct"/>
            <w:shd w:val="clear" w:color="auto" w:fill="auto"/>
            <w:vAlign w:val="center"/>
          </w:tcPr>
          <w:p w14:paraId="0CAE810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220</w:t>
            </w:r>
          </w:p>
        </w:tc>
        <w:tc>
          <w:tcPr>
            <w:tcW w:w="612" w:type="pct"/>
            <w:shd w:val="clear" w:color="auto" w:fill="auto"/>
            <w:vAlign w:val="center"/>
          </w:tcPr>
          <w:p w14:paraId="57D2C48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261A5AE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448</w:t>
            </w:r>
          </w:p>
        </w:tc>
        <w:tc>
          <w:tcPr>
            <w:tcW w:w="347" w:type="pct"/>
            <w:shd w:val="clear" w:color="auto" w:fill="auto"/>
            <w:vAlign w:val="center"/>
          </w:tcPr>
          <w:p w14:paraId="491C291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06C8021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238</w:t>
            </w:r>
          </w:p>
        </w:tc>
        <w:tc>
          <w:tcPr>
            <w:tcW w:w="287" w:type="pct"/>
            <w:shd w:val="clear" w:color="auto" w:fill="auto"/>
            <w:vAlign w:val="center"/>
          </w:tcPr>
          <w:p w14:paraId="0E3F929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0C83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3887A9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380" w:type="pct"/>
            <w:shd w:val="clear" w:color="auto" w:fill="auto"/>
            <w:vAlign w:val="center"/>
          </w:tcPr>
          <w:p w14:paraId="4C15CEE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309F044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汽油加氢C101分馏塔底重沸器改造项目</w:t>
            </w:r>
          </w:p>
        </w:tc>
        <w:tc>
          <w:tcPr>
            <w:tcW w:w="325" w:type="pct"/>
            <w:shd w:val="clear" w:color="auto" w:fill="auto"/>
            <w:vAlign w:val="center"/>
          </w:tcPr>
          <w:p w14:paraId="47951CC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282" w:type="pct"/>
            <w:shd w:val="clear" w:color="auto" w:fill="auto"/>
            <w:vAlign w:val="center"/>
          </w:tcPr>
          <w:p w14:paraId="520FB54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80</w:t>
            </w:r>
          </w:p>
        </w:tc>
        <w:tc>
          <w:tcPr>
            <w:tcW w:w="612" w:type="pct"/>
            <w:shd w:val="clear" w:color="auto" w:fill="auto"/>
            <w:vAlign w:val="center"/>
          </w:tcPr>
          <w:p w14:paraId="53C9FD7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47A3DD8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91</w:t>
            </w:r>
          </w:p>
        </w:tc>
        <w:tc>
          <w:tcPr>
            <w:tcW w:w="347" w:type="pct"/>
            <w:shd w:val="clear" w:color="auto" w:fill="auto"/>
            <w:vAlign w:val="center"/>
          </w:tcPr>
          <w:p w14:paraId="28B4D81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547" w:type="pct"/>
            <w:shd w:val="clear" w:color="auto" w:fill="auto"/>
            <w:vAlign w:val="center"/>
          </w:tcPr>
          <w:p w14:paraId="63D3FFE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416</w:t>
            </w:r>
          </w:p>
        </w:tc>
        <w:tc>
          <w:tcPr>
            <w:tcW w:w="287" w:type="pct"/>
            <w:shd w:val="clear" w:color="auto" w:fill="auto"/>
            <w:vAlign w:val="center"/>
          </w:tcPr>
          <w:p w14:paraId="3CBD830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AB1B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66E35B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41</w:t>
            </w:r>
          </w:p>
        </w:tc>
        <w:tc>
          <w:tcPr>
            <w:tcW w:w="380" w:type="pct"/>
            <w:shd w:val="clear" w:color="auto" w:fill="auto"/>
            <w:vAlign w:val="center"/>
          </w:tcPr>
          <w:p w14:paraId="68A15AD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33C285B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连续重整安装空冷蒸发预冷器项目</w:t>
            </w:r>
          </w:p>
        </w:tc>
        <w:tc>
          <w:tcPr>
            <w:tcW w:w="325" w:type="pct"/>
            <w:shd w:val="clear" w:color="auto" w:fill="auto"/>
            <w:vAlign w:val="center"/>
          </w:tcPr>
          <w:p w14:paraId="3FBBB2F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w:t>
            </w:r>
          </w:p>
        </w:tc>
        <w:tc>
          <w:tcPr>
            <w:tcW w:w="282" w:type="pct"/>
            <w:shd w:val="clear" w:color="auto" w:fill="auto"/>
            <w:vAlign w:val="center"/>
          </w:tcPr>
          <w:p w14:paraId="4383A4D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200</w:t>
            </w:r>
          </w:p>
        </w:tc>
        <w:tc>
          <w:tcPr>
            <w:tcW w:w="612" w:type="pct"/>
            <w:shd w:val="clear" w:color="auto" w:fill="auto"/>
            <w:vAlign w:val="center"/>
          </w:tcPr>
          <w:p w14:paraId="55DB027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02E6F97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701</w:t>
            </w:r>
          </w:p>
        </w:tc>
        <w:tc>
          <w:tcPr>
            <w:tcW w:w="347" w:type="pct"/>
            <w:shd w:val="clear" w:color="auto" w:fill="auto"/>
            <w:vAlign w:val="center"/>
          </w:tcPr>
          <w:p w14:paraId="50C443D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2600</w:t>
            </w:r>
          </w:p>
        </w:tc>
        <w:tc>
          <w:tcPr>
            <w:tcW w:w="547" w:type="pct"/>
            <w:shd w:val="clear" w:color="auto" w:fill="auto"/>
            <w:vAlign w:val="center"/>
          </w:tcPr>
          <w:p w14:paraId="443CDF2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176</w:t>
            </w:r>
          </w:p>
        </w:tc>
        <w:tc>
          <w:tcPr>
            <w:tcW w:w="287" w:type="pct"/>
            <w:shd w:val="clear" w:color="auto" w:fill="auto"/>
            <w:vAlign w:val="center"/>
          </w:tcPr>
          <w:p w14:paraId="79F9CF1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2BD1B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6CDCB6C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w:t>
            </w:r>
          </w:p>
        </w:tc>
        <w:tc>
          <w:tcPr>
            <w:tcW w:w="380" w:type="pct"/>
            <w:shd w:val="clear" w:color="auto" w:fill="auto"/>
            <w:vAlign w:val="center"/>
          </w:tcPr>
          <w:p w14:paraId="3CAC60C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5AAB153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储运部罐区维温项目</w:t>
            </w:r>
          </w:p>
        </w:tc>
        <w:tc>
          <w:tcPr>
            <w:tcW w:w="325" w:type="pct"/>
            <w:shd w:val="clear" w:color="auto" w:fill="auto"/>
            <w:vAlign w:val="center"/>
          </w:tcPr>
          <w:p w14:paraId="3BE95FB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w:t>
            </w:r>
          </w:p>
        </w:tc>
        <w:tc>
          <w:tcPr>
            <w:tcW w:w="282" w:type="pct"/>
            <w:shd w:val="clear" w:color="auto" w:fill="auto"/>
            <w:vAlign w:val="center"/>
          </w:tcPr>
          <w:p w14:paraId="1B5813F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150</w:t>
            </w:r>
          </w:p>
        </w:tc>
        <w:tc>
          <w:tcPr>
            <w:tcW w:w="612" w:type="pct"/>
            <w:shd w:val="clear" w:color="auto" w:fill="auto"/>
            <w:vAlign w:val="center"/>
          </w:tcPr>
          <w:p w14:paraId="3776DF1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3563349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1450</w:t>
            </w:r>
          </w:p>
        </w:tc>
        <w:tc>
          <w:tcPr>
            <w:tcW w:w="347" w:type="pct"/>
            <w:shd w:val="clear" w:color="auto" w:fill="auto"/>
            <w:vAlign w:val="center"/>
          </w:tcPr>
          <w:p w14:paraId="4690D64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4700</w:t>
            </w:r>
          </w:p>
        </w:tc>
        <w:tc>
          <w:tcPr>
            <w:tcW w:w="547" w:type="pct"/>
            <w:shd w:val="clear" w:color="auto" w:fill="auto"/>
            <w:vAlign w:val="center"/>
          </w:tcPr>
          <w:p w14:paraId="7DC104D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267</w:t>
            </w:r>
          </w:p>
        </w:tc>
        <w:tc>
          <w:tcPr>
            <w:tcW w:w="287" w:type="pct"/>
            <w:shd w:val="clear" w:color="auto" w:fill="auto"/>
            <w:vAlign w:val="center"/>
          </w:tcPr>
          <w:p w14:paraId="1310166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583E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04CAF4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43</w:t>
            </w:r>
          </w:p>
        </w:tc>
        <w:tc>
          <w:tcPr>
            <w:tcW w:w="380" w:type="pct"/>
            <w:shd w:val="clear" w:color="auto" w:fill="auto"/>
            <w:vAlign w:val="center"/>
          </w:tcPr>
          <w:p w14:paraId="1DC8597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574C192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DCC装置低压降水封罐项目</w:t>
            </w:r>
          </w:p>
        </w:tc>
        <w:tc>
          <w:tcPr>
            <w:tcW w:w="325" w:type="pct"/>
            <w:shd w:val="clear" w:color="auto" w:fill="auto"/>
            <w:vAlign w:val="center"/>
          </w:tcPr>
          <w:p w14:paraId="1360D6F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2024年</w:t>
            </w:r>
          </w:p>
        </w:tc>
        <w:tc>
          <w:tcPr>
            <w:tcW w:w="282" w:type="pct"/>
            <w:shd w:val="clear" w:color="auto" w:fill="auto"/>
            <w:vAlign w:val="center"/>
          </w:tcPr>
          <w:p w14:paraId="242EE9A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280</w:t>
            </w:r>
          </w:p>
        </w:tc>
        <w:tc>
          <w:tcPr>
            <w:tcW w:w="612" w:type="pct"/>
            <w:shd w:val="clear" w:color="auto" w:fill="auto"/>
            <w:vAlign w:val="center"/>
          </w:tcPr>
          <w:p w14:paraId="7B10667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497DB31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107.66</w:t>
            </w:r>
          </w:p>
        </w:tc>
        <w:tc>
          <w:tcPr>
            <w:tcW w:w="347" w:type="pct"/>
            <w:shd w:val="clear" w:color="auto" w:fill="auto"/>
            <w:vAlign w:val="center"/>
          </w:tcPr>
          <w:p w14:paraId="438163B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623.71</w:t>
            </w:r>
          </w:p>
        </w:tc>
        <w:tc>
          <w:tcPr>
            <w:tcW w:w="547" w:type="pct"/>
            <w:shd w:val="clear" w:color="auto" w:fill="auto"/>
            <w:vAlign w:val="center"/>
          </w:tcPr>
          <w:p w14:paraId="4D8F6BA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62.2</w:t>
            </w:r>
          </w:p>
        </w:tc>
        <w:tc>
          <w:tcPr>
            <w:tcW w:w="287" w:type="pct"/>
            <w:shd w:val="clear" w:color="auto" w:fill="auto"/>
            <w:vAlign w:val="center"/>
          </w:tcPr>
          <w:p w14:paraId="4B9DBAE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13779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 w:type="pct"/>
            <w:vAlign w:val="center"/>
          </w:tcPr>
          <w:p w14:paraId="17368E9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44</w:t>
            </w:r>
          </w:p>
        </w:tc>
        <w:tc>
          <w:tcPr>
            <w:tcW w:w="380" w:type="pct"/>
            <w:shd w:val="clear" w:color="auto" w:fill="auto"/>
            <w:vAlign w:val="center"/>
          </w:tcPr>
          <w:p w14:paraId="05D9DE5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华星石化</w:t>
            </w:r>
          </w:p>
        </w:tc>
        <w:tc>
          <w:tcPr>
            <w:tcW w:w="1762" w:type="pct"/>
            <w:shd w:val="clear" w:color="auto" w:fill="auto"/>
            <w:vAlign w:val="center"/>
          </w:tcPr>
          <w:p w14:paraId="06844B2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三循循环水泵动力优化项目</w:t>
            </w:r>
          </w:p>
        </w:tc>
        <w:tc>
          <w:tcPr>
            <w:tcW w:w="325" w:type="pct"/>
            <w:shd w:val="clear" w:color="auto" w:fill="auto"/>
            <w:vAlign w:val="center"/>
          </w:tcPr>
          <w:p w14:paraId="5EE1318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2024年</w:t>
            </w:r>
          </w:p>
        </w:tc>
        <w:tc>
          <w:tcPr>
            <w:tcW w:w="282" w:type="pct"/>
            <w:shd w:val="clear" w:color="auto" w:fill="auto"/>
            <w:vAlign w:val="center"/>
          </w:tcPr>
          <w:p w14:paraId="1F577A0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450</w:t>
            </w:r>
          </w:p>
        </w:tc>
        <w:tc>
          <w:tcPr>
            <w:tcW w:w="612" w:type="pct"/>
            <w:shd w:val="clear" w:color="auto" w:fill="auto"/>
            <w:vAlign w:val="center"/>
          </w:tcPr>
          <w:p w14:paraId="3B83077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92" w:type="pct"/>
            <w:shd w:val="clear" w:color="auto" w:fill="auto"/>
            <w:vAlign w:val="center"/>
          </w:tcPr>
          <w:p w14:paraId="188DE90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764.39</w:t>
            </w:r>
          </w:p>
        </w:tc>
        <w:tc>
          <w:tcPr>
            <w:tcW w:w="347" w:type="pct"/>
            <w:shd w:val="clear" w:color="auto" w:fill="auto"/>
            <w:vAlign w:val="center"/>
          </w:tcPr>
          <w:p w14:paraId="6C47BCB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4428.36</w:t>
            </w:r>
          </w:p>
        </w:tc>
        <w:tc>
          <w:tcPr>
            <w:tcW w:w="547" w:type="pct"/>
            <w:shd w:val="clear" w:color="auto" w:fill="auto"/>
            <w:vAlign w:val="center"/>
          </w:tcPr>
          <w:p w14:paraId="23ED8DE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441.59</w:t>
            </w:r>
          </w:p>
        </w:tc>
        <w:tc>
          <w:tcPr>
            <w:tcW w:w="287" w:type="pct"/>
            <w:shd w:val="clear" w:color="auto" w:fill="auto"/>
            <w:vAlign w:val="center"/>
          </w:tcPr>
          <w:p w14:paraId="4FD246D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bl>
    <w:p w14:paraId="2ED8E0D3">
      <w:pPr>
        <w:widowControl/>
        <w:spacing w:line="560" w:lineRule="exact"/>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sectPr>
          <w:pgSz w:w="16838" w:h="11906" w:orient="landscape"/>
          <w:pgMar w:top="1800" w:right="1440" w:bottom="1800" w:left="1440" w:header="851" w:footer="992" w:gutter="0"/>
          <w:pgNumType w:fmt="numberInDash"/>
          <w:cols w:space="425" w:num="1"/>
          <w:docGrid w:type="lines" w:linePitch="312" w:charSpace="0"/>
        </w:sectPr>
      </w:pPr>
    </w:p>
    <w:p w14:paraId="4CAA846E">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71" w:name="_Toc21484"/>
      <w:bookmarkStart w:id="72" w:name="_Toc1554107331"/>
      <w:bookmarkStart w:id="73" w:name="_Toc539870385"/>
      <w:bookmarkStart w:id="74" w:name="_Toc809433446"/>
      <w:bookmarkStart w:id="75" w:name="_Toc1449048272"/>
      <w:r>
        <w:rPr>
          <w:rFonts w:hint="eastAsia" w:ascii="Times New Roman Regular" w:hAnsi="Times New Roman Regular" w:eastAsia="黑体" w:cs="Times New Roman Regular"/>
          <w:color w:val="000000" w:themeColor="text1"/>
          <w:sz w:val="28"/>
          <w:szCs w:val="28"/>
          <w14:textFill>
            <w14:solidFill>
              <w14:schemeClr w14:val="tx1"/>
            </w14:solidFill>
          </w14:textFill>
        </w:rPr>
        <w:t>2.3 十四五低碳规划落实情况回顾</w:t>
      </w:r>
      <w:bookmarkEnd w:id="71"/>
      <w:bookmarkEnd w:id="72"/>
    </w:p>
    <w:p w14:paraId="1CE8215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十四五”低碳发展规划的数据边界包括泉州基地（泉州石化、泉州园区）、东营基地（华星石化、昌邑石化、正和石化）、大庆中蓝、中昊黑元及其他非生产型企业，其中二氧化碳排放量为纯二氧化碳排放，与国资委考核口径一致；</w:t>
      </w:r>
    </w:p>
    <w:p w14:paraId="585D779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按照“</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十四五</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低碳发展规划，</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十四五</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期间，泉州基地100万吨/年乙烯项目与产业升级系列项目全面投产，东营基地进入建设发展阶段，中蓝与正和的炼油装置关停；同时，中化能源落实绿色低碳发展导向，通过采取一系列节能降碳措施，包括汽驱改电驱、原CFB锅炉抽凝改背压、适度外购绿电、提高能效水平等，并结合优化后的蒸汽用量需求调整热电联产项目实施节奏，努力降低二氧化碳排放总量和强度，排放量约为1370万吨，强度约为1.12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tCO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w:t>
      </w:r>
    </w:p>
    <w:p w14:paraId="413D755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其中，“十四五”新增项目中，产业升级项目按照2023年投资计划，项目投产时间调整至2026年1月，其中已批复的子项目可在2025年前投产的有炭黑、丙烯腈、饱和液化气分离三套装置，预计增加碳排放量37万吨/年，合计工业产值约增加25亿元。实际26万吨/年丙烯腈尚未投产，预计2025年6月投产。</w:t>
      </w:r>
    </w:p>
    <w:p w14:paraId="4F9C44E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“十四五”规划的节能减排项目中，预计“十四五”期间落实249万吨二氧化碳减排量，实际泉州石化落实节能减排措施实现17万吨碳减排量。</w:t>
      </w:r>
    </w:p>
    <w:p w14:paraId="6145B2D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10D40BDB">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sectPr>
          <w:pgSz w:w="11906" w:h="16838"/>
          <w:pgMar w:top="1440" w:right="1800" w:bottom="1440" w:left="1800" w:header="851" w:footer="992" w:gutter="0"/>
          <w:pgNumType w:fmt="numberInDash"/>
          <w:cols w:space="425" w:num="1"/>
          <w:docGrid w:type="lines" w:linePitch="312" w:charSpace="0"/>
        </w:sectPr>
      </w:pPr>
    </w:p>
    <w:p w14:paraId="57FB25C1">
      <w:pPr>
        <w:widowControl/>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w:t>
      </w:r>
      <w:r>
        <w:rPr>
          <w:rFonts w:hint="eastAsia" w:ascii="Times New Roman Regular" w:hAnsi="Times New Roman Regular" w:eastAsia="黑体" w:cs="Times New Roman Regular"/>
          <w:color w:val="000000" w:themeColor="text1"/>
          <w:sz w:val="20"/>
          <w:szCs w:val="20"/>
          <w14:textFill>
            <w14:solidFill>
              <w14:schemeClr w14:val="tx1"/>
            </w14:solidFill>
          </w14:textFill>
        </w:rPr>
        <w:t>9</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低碳发展重点规划项目表（规划项目与实际对比）</w:t>
      </w:r>
    </w:p>
    <w:tbl>
      <w:tblPr>
        <w:tblStyle w:val="1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6"/>
        <w:gridCol w:w="1232"/>
        <w:gridCol w:w="731"/>
        <w:gridCol w:w="616"/>
        <w:gridCol w:w="650"/>
        <w:gridCol w:w="814"/>
        <w:gridCol w:w="766"/>
        <w:gridCol w:w="909"/>
        <w:gridCol w:w="2676"/>
        <w:gridCol w:w="2676"/>
        <w:gridCol w:w="2677"/>
      </w:tblGrid>
      <w:tr w14:paraId="36E61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blHeader/>
        </w:trPr>
        <w:tc>
          <w:tcPr>
            <w:tcW w:w="146" w:type="pct"/>
            <w:vMerge w:val="restart"/>
            <w:shd w:val="clear" w:color="auto" w:fill="D8D8D8" w:themeFill="background1" w:themeFillShade="D9"/>
            <w:vAlign w:val="center"/>
          </w:tcPr>
          <w:p w14:paraId="4C4DC29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序号</w:t>
            </w:r>
          </w:p>
        </w:tc>
        <w:tc>
          <w:tcPr>
            <w:tcW w:w="435" w:type="pct"/>
            <w:vMerge w:val="restart"/>
            <w:shd w:val="clear" w:color="auto" w:fill="D8D8D8" w:themeFill="background1" w:themeFillShade="D9"/>
            <w:vAlign w:val="center"/>
          </w:tcPr>
          <w:p w14:paraId="4EA8F1B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路径</w:t>
            </w:r>
          </w:p>
        </w:tc>
        <w:tc>
          <w:tcPr>
            <w:tcW w:w="258" w:type="pct"/>
            <w:vMerge w:val="restart"/>
            <w:shd w:val="clear" w:color="auto" w:fill="D8D8D8" w:themeFill="background1" w:themeFillShade="D9"/>
            <w:vAlign w:val="center"/>
          </w:tcPr>
          <w:p w14:paraId="422E615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实施主体</w:t>
            </w:r>
          </w:p>
        </w:tc>
        <w:tc>
          <w:tcPr>
            <w:tcW w:w="1324" w:type="pct"/>
            <w:gridSpan w:val="5"/>
            <w:shd w:val="clear" w:color="auto" w:fill="D8D8D8" w:themeFill="background1" w:themeFillShade="D9"/>
            <w:vAlign w:val="center"/>
          </w:tcPr>
          <w:p w14:paraId="6BE34EC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规划碳排放影响</w:t>
            </w:r>
          </w:p>
        </w:tc>
        <w:tc>
          <w:tcPr>
            <w:tcW w:w="944" w:type="pct"/>
            <w:vMerge w:val="restart"/>
            <w:shd w:val="clear" w:color="auto" w:fill="D8D8D8" w:themeFill="background1" w:themeFillShade="D9"/>
            <w:vAlign w:val="center"/>
          </w:tcPr>
          <w:p w14:paraId="63DBBA6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项目落实情况</w:t>
            </w:r>
          </w:p>
        </w:tc>
        <w:tc>
          <w:tcPr>
            <w:tcW w:w="944" w:type="pct"/>
            <w:vMerge w:val="restart"/>
            <w:shd w:val="clear" w:color="auto" w:fill="D8D8D8" w:themeFill="background1" w:themeFillShade="D9"/>
            <w:vAlign w:val="center"/>
          </w:tcPr>
          <w:p w14:paraId="38C3673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“十四五”未纳入的原因</w:t>
            </w:r>
          </w:p>
        </w:tc>
        <w:tc>
          <w:tcPr>
            <w:tcW w:w="944" w:type="pct"/>
            <w:vMerge w:val="restart"/>
            <w:shd w:val="clear" w:color="auto" w:fill="D8D8D8" w:themeFill="background1" w:themeFillShade="D9"/>
            <w:vAlign w:val="center"/>
          </w:tcPr>
          <w:p w14:paraId="341633F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“十五五”纳入的考虑</w:t>
            </w:r>
          </w:p>
        </w:tc>
      </w:tr>
      <w:tr w14:paraId="0BF3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blHeader/>
        </w:trPr>
        <w:tc>
          <w:tcPr>
            <w:tcW w:w="146" w:type="pct"/>
            <w:vMerge w:val="continue"/>
            <w:shd w:val="clear" w:color="auto" w:fill="D8D8D8" w:themeFill="background1" w:themeFillShade="D9"/>
            <w:vAlign w:val="center"/>
          </w:tcPr>
          <w:p w14:paraId="405D2AA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435" w:type="pct"/>
            <w:vMerge w:val="continue"/>
            <w:shd w:val="clear" w:color="auto" w:fill="D8D8D8" w:themeFill="background1" w:themeFillShade="D9"/>
            <w:vAlign w:val="center"/>
          </w:tcPr>
          <w:p w14:paraId="41DE24A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58" w:type="pct"/>
            <w:vMerge w:val="continue"/>
            <w:shd w:val="clear" w:color="auto" w:fill="D8D8D8" w:themeFill="background1" w:themeFillShade="D9"/>
            <w:vAlign w:val="center"/>
          </w:tcPr>
          <w:p w14:paraId="22A8BB7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7" w:type="pct"/>
            <w:shd w:val="clear" w:color="auto" w:fill="D8D8D8" w:themeFill="background1" w:themeFillShade="D9"/>
            <w:vAlign w:val="center"/>
          </w:tcPr>
          <w:p w14:paraId="1E9D95E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投产时间</w:t>
            </w:r>
          </w:p>
        </w:tc>
        <w:tc>
          <w:tcPr>
            <w:tcW w:w="229" w:type="pct"/>
            <w:shd w:val="clear" w:color="auto" w:fill="D8D8D8" w:themeFill="background1" w:themeFillShade="D9"/>
            <w:vAlign w:val="center"/>
          </w:tcPr>
          <w:p w14:paraId="153B2BA9">
            <w:pPr>
              <w:widowControl/>
              <w:jc w:val="cente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能耗总量（万tce）</w:t>
            </w:r>
          </w:p>
        </w:tc>
        <w:tc>
          <w:tcPr>
            <w:tcW w:w="287" w:type="pct"/>
            <w:shd w:val="clear" w:color="auto" w:fill="D8D8D8" w:themeFill="background1" w:themeFillShade="D9"/>
            <w:vAlign w:val="center"/>
          </w:tcPr>
          <w:p w14:paraId="7AA6ADBF">
            <w:pPr>
              <w:widowControl/>
              <w:jc w:val="cente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碳排放总量（万tCO</w:t>
            </w:r>
            <w:r>
              <w:rPr>
                <w:rFonts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270" w:type="pct"/>
            <w:shd w:val="clear" w:color="auto" w:fill="D8D8D8" w:themeFill="background1" w:themeFillShade="D9"/>
            <w:vAlign w:val="center"/>
          </w:tcPr>
          <w:p w14:paraId="38982082">
            <w:pPr>
              <w:widowControl/>
              <w:jc w:val="cente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工业产值（亿元）</w:t>
            </w:r>
          </w:p>
        </w:tc>
        <w:tc>
          <w:tcPr>
            <w:tcW w:w="319" w:type="pct"/>
            <w:shd w:val="clear" w:color="auto" w:fill="D8D8D8" w:themeFill="background1" w:themeFillShade="D9"/>
            <w:vAlign w:val="center"/>
          </w:tcPr>
          <w:p w14:paraId="3CDCAED8">
            <w:pPr>
              <w:widowControl/>
              <w:jc w:val="cente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碳排放强度（tCO</w:t>
            </w:r>
            <w:r>
              <w:rPr>
                <w:rFonts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w:t>
            </w:r>
          </w:p>
        </w:tc>
        <w:tc>
          <w:tcPr>
            <w:tcW w:w="944" w:type="pct"/>
            <w:vMerge w:val="continue"/>
            <w:shd w:val="clear" w:color="auto" w:fill="D8D8D8" w:themeFill="background1" w:themeFillShade="D9"/>
            <w:vAlign w:val="center"/>
          </w:tcPr>
          <w:p w14:paraId="229D307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944" w:type="pct"/>
            <w:vMerge w:val="continue"/>
            <w:shd w:val="clear" w:color="auto" w:fill="D8D8D8" w:themeFill="background1" w:themeFillShade="D9"/>
            <w:vAlign w:val="center"/>
          </w:tcPr>
          <w:p w14:paraId="1DAAFEA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944" w:type="pct"/>
            <w:vMerge w:val="continue"/>
            <w:shd w:val="clear" w:color="auto" w:fill="D8D8D8" w:themeFill="background1" w:themeFillShade="D9"/>
            <w:vAlign w:val="center"/>
          </w:tcPr>
          <w:p w14:paraId="79C6218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6D25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46" w:type="pct"/>
            <w:vAlign w:val="center"/>
          </w:tcPr>
          <w:p w14:paraId="4D8DF94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435" w:type="pct"/>
            <w:vAlign w:val="center"/>
          </w:tcPr>
          <w:p w14:paraId="21195CA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炼油产业升级项目（370万t/a的炼油、30万t/a的乙烯以及下游化工装置升级项目）</w:t>
            </w:r>
          </w:p>
        </w:tc>
        <w:tc>
          <w:tcPr>
            <w:tcW w:w="258" w:type="pct"/>
            <w:vAlign w:val="center"/>
          </w:tcPr>
          <w:p w14:paraId="349FB56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217" w:type="pct"/>
            <w:vAlign w:val="center"/>
          </w:tcPr>
          <w:p w14:paraId="0AFA229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2026</w:t>
            </w:r>
          </w:p>
        </w:tc>
        <w:tc>
          <w:tcPr>
            <w:tcW w:w="229" w:type="pct"/>
            <w:vAlign w:val="center"/>
          </w:tcPr>
          <w:p w14:paraId="29EB8EC1">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525</w:t>
            </w:r>
          </w:p>
        </w:tc>
        <w:tc>
          <w:tcPr>
            <w:tcW w:w="287" w:type="pct"/>
            <w:vAlign w:val="center"/>
          </w:tcPr>
          <w:p w14:paraId="256540EF">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337</w:t>
            </w:r>
          </w:p>
        </w:tc>
        <w:tc>
          <w:tcPr>
            <w:tcW w:w="270" w:type="pct"/>
            <w:vAlign w:val="center"/>
          </w:tcPr>
          <w:p w14:paraId="02EF3023">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190.90</w:t>
            </w:r>
          </w:p>
        </w:tc>
        <w:tc>
          <w:tcPr>
            <w:tcW w:w="319" w:type="pct"/>
            <w:vAlign w:val="center"/>
          </w:tcPr>
          <w:p w14:paraId="58A1F7D7">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1.77</w:t>
            </w:r>
          </w:p>
        </w:tc>
        <w:tc>
          <w:tcPr>
            <w:tcW w:w="944" w:type="pct"/>
            <w:vAlign w:val="center"/>
          </w:tcPr>
          <w:p w14:paraId="27870CD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“十四五”期间炼油产业升级项目中落实三个项目，包括7万吨炭黑项目，26万吨丙烯腈项目以及饱和液化气分离项目，其中丙烯腈项目预计2025年6月投产。</w:t>
            </w:r>
          </w:p>
        </w:tc>
        <w:tc>
          <w:tcPr>
            <w:tcW w:w="944" w:type="pct"/>
            <w:vAlign w:val="center"/>
          </w:tcPr>
          <w:p w14:paraId="58A82F7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产业升级项目旨在通过重油加工，为第二套乙烯项目提供原料，项目实施节奏应与二套乙烯同步。鉴于二套乙烯纳规不及预期，因此暂缓。</w:t>
            </w:r>
          </w:p>
        </w:tc>
        <w:tc>
          <w:tcPr>
            <w:tcW w:w="944" w:type="pct"/>
            <w:vAlign w:val="center"/>
          </w:tcPr>
          <w:p w14:paraId="41971F4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二套乙烯计划于2026年纳入国家石化产业布局方案，具备实施条件后，将同步推动建设。</w:t>
            </w:r>
          </w:p>
        </w:tc>
      </w:tr>
      <w:tr w14:paraId="29262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46" w:type="pct"/>
            <w:vAlign w:val="center"/>
          </w:tcPr>
          <w:p w14:paraId="074A1643">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435" w:type="pct"/>
            <w:vAlign w:val="center"/>
          </w:tcPr>
          <w:p w14:paraId="4B9A452B">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新增二套乙烯项目150万吨/年</w:t>
            </w:r>
          </w:p>
        </w:tc>
        <w:tc>
          <w:tcPr>
            <w:tcW w:w="258" w:type="pct"/>
            <w:vAlign w:val="center"/>
          </w:tcPr>
          <w:p w14:paraId="3E058D2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217" w:type="pct"/>
            <w:vAlign w:val="center"/>
          </w:tcPr>
          <w:p w14:paraId="49177C0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2028</w:t>
            </w:r>
          </w:p>
        </w:tc>
        <w:tc>
          <w:tcPr>
            <w:tcW w:w="229" w:type="pct"/>
            <w:vAlign w:val="center"/>
          </w:tcPr>
          <w:p w14:paraId="56CA78BB">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635</w:t>
            </w:r>
          </w:p>
        </w:tc>
        <w:tc>
          <w:tcPr>
            <w:tcW w:w="287" w:type="pct"/>
            <w:vAlign w:val="center"/>
          </w:tcPr>
          <w:p w14:paraId="223C70D5">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562</w:t>
            </w:r>
          </w:p>
        </w:tc>
        <w:tc>
          <w:tcPr>
            <w:tcW w:w="270" w:type="pct"/>
            <w:vAlign w:val="center"/>
          </w:tcPr>
          <w:p w14:paraId="3DFE4BDD">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313</w:t>
            </w:r>
          </w:p>
        </w:tc>
        <w:tc>
          <w:tcPr>
            <w:tcW w:w="319" w:type="pct"/>
            <w:vAlign w:val="center"/>
          </w:tcPr>
          <w:p w14:paraId="1C9C7D73">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1.79</w:t>
            </w:r>
          </w:p>
        </w:tc>
        <w:tc>
          <w:tcPr>
            <w:tcW w:w="944" w:type="pct"/>
            <w:vAlign w:val="center"/>
          </w:tcPr>
          <w:p w14:paraId="2D832ED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二套乙烯项目预计“十五五”期间投产</w:t>
            </w:r>
          </w:p>
        </w:tc>
        <w:tc>
          <w:tcPr>
            <w:tcW w:w="944" w:type="pct"/>
            <w:vAlign w:val="center"/>
          </w:tcPr>
          <w:p w14:paraId="3A9F860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由于国家发改委还在研究二套乙烯项目的纳规，因此项目延后</w:t>
            </w:r>
          </w:p>
        </w:tc>
        <w:tc>
          <w:tcPr>
            <w:tcW w:w="944" w:type="pct"/>
            <w:vAlign w:val="center"/>
          </w:tcPr>
          <w:p w14:paraId="5E88A46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二套乙烯计划于2026年纳入国家石化产业布局方案，具备实施条件，将推动建设。</w:t>
            </w:r>
          </w:p>
        </w:tc>
      </w:tr>
      <w:tr w14:paraId="3ED6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9" w:hRule="atLeast"/>
        </w:trPr>
        <w:tc>
          <w:tcPr>
            <w:tcW w:w="146" w:type="pct"/>
            <w:vAlign w:val="center"/>
          </w:tcPr>
          <w:p w14:paraId="11CAE8F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435" w:type="pct"/>
            <w:vAlign w:val="center"/>
          </w:tcPr>
          <w:p w14:paraId="1AF0DFE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芳烃扩能项目120万吨/年</w:t>
            </w:r>
          </w:p>
        </w:tc>
        <w:tc>
          <w:tcPr>
            <w:tcW w:w="258" w:type="pct"/>
            <w:vAlign w:val="center"/>
          </w:tcPr>
          <w:p w14:paraId="6EFD994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217" w:type="pct"/>
            <w:vAlign w:val="center"/>
          </w:tcPr>
          <w:p w14:paraId="42A22343">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2025</w:t>
            </w:r>
          </w:p>
        </w:tc>
        <w:tc>
          <w:tcPr>
            <w:tcW w:w="229" w:type="pct"/>
            <w:vAlign w:val="center"/>
          </w:tcPr>
          <w:p w14:paraId="508D748C">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w:t>
            </w:r>
          </w:p>
        </w:tc>
        <w:tc>
          <w:tcPr>
            <w:tcW w:w="287" w:type="pct"/>
            <w:vAlign w:val="center"/>
          </w:tcPr>
          <w:p w14:paraId="41F23267">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127</w:t>
            </w:r>
          </w:p>
        </w:tc>
        <w:tc>
          <w:tcPr>
            <w:tcW w:w="270" w:type="pct"/>
            <w:vAlign w:val="center"/>
          </w:tcPr>
          <w:p w14:paraId="0E7C9D78">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48.6</w:t>
            </w:r>
          </w:p>
        </w:tc>
        <w:tc>
          <w:tcPr>
            <w:tcW w:w="319" w:type="pct"/>
            <w:vAlign w:val="center"/>
          </w:tcPr>
          <w:p w14:paraId="298C6B69">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2.61</w:t>
            </w:r>
          </w:p>
        </w:tc>
        <w:tc>
          <w:tcPr>
            <w:tcW w:w="944" w:type="pct"/>
            <w:vAlign w:val="center"/>
          </w:tcPr>
          <w:p w14:paraId="17D7C5F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芳烃扩能项目预计2028年投产。</w:t>
            </w:r>
          </w:p>
        </w:tc>
        <w:tc>
          <w:tcPr>
            <w:tcW w:w="944" w:type="pct"/>
            <w:vAlign w:val="center"/>
          </w:tcPr>
          <w:p w14:paraId="2A8D0CC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芳烃扩能曾于2019年向国家发改委申报纳规，但由于国家发改委研究后认为芳烃产能过剩，暂不审批。直至2024年芳烃审批再次放开，才具备审批条件。</w:t>
            </w:r>
          </w:p>
        </w:tc>
        <w:tc>
          <w:tcPr>
            <w:tcW w:w="944" w:type="pct"/>
            <w:vAlign w:val="center"/>
          </w:tcPr>
          <w:p w14:paraId="6C05567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芳烃扩能计划和二套乙烯同步申请纳规。</w:t>
            </w:r>
          </w:p>
        </w:tc>
      </w:tr>
      <w:tr w14:paraId="1B0C1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46" w:type="pct"/>
            <w:vAlign w:val="center"/>
          </w:tcPr>
          <w:p w14:paraId="4EDBAA63">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435" w:type="pct"/>
            <w:vAlign w:val="center"/>
          </w:tcPr>
          <w:p w14:paraId="3FAA97F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山东基地高端特色化发展</w:t>
            </w:r>
          </w:p>
        </w:tc>
        <w:tc>
          <w:tcPr>
            <w:tcW w:w="258" w:type="pct"/>
            <w:vAlign w:val="center"/>
          </w:tcPr>
          <w:p w14:paraId="2891794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中国化工油气股份有限公司</w:t>
            </w:r>
          </w:p>
        </w:tc>
        <w:tc>
          <w:tcPr>
            <w:tcW w:w="217" w:type="pct"/>
            <w:vAlign w:val="center"/>
          </w:tcPr>
          <w:p w14:paraId="097FBD8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2028</w:t>
            </w:r>
          </w:p>
        </w:tc>
        <w:tc>
          <w:tcPr>
            <w:tcW w:w="229" w:type="pct"/>
            <w:vAlign w:val="center"/>
          </w:tcPr>
          <w:p w14:paraId="6B0DD53D">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287" w:type="pct"/>
            <w:vAlign w:val="center"/>
          </w:tcPr>
          <w:p w14:paraId="34BCDEF5">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300</w:t>
            </w:r>
          </w:p>
        </w:tc>
        <w:tc>
          <w:tcPr>
            <w:tcW w:w="270" w:type="pct"/>
            <w:vAlign w:val="center"/>
          </w:tcPr>
          <w:p w14:paraId="6A69E9FF">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279</w:t>
            </w:r>
          </w:p>
        </w:tc>
        <w:tc>
          <w:tcPr>
            <w:tcW w:w="319" w:type="pct"/>
            <w:vAlign w:val="center"/>
          </w:tcPr>
          <w:p w14:paraId="54A13F8B">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1.08</w:t>
            </w:r>
          </w:p>
        </w:tc>
        <w:tc>
          <w:tcPr>
            <w:tcW w:w="944" w:type="pct"/>
            <w:vAlign w:val="center"/>
          </w:tcPr>
          <w:p w14:paraId="19DDD00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山东基地目前已停产，相关规划项目暂时搁置。</w:t>
            </w:r>
          </w:p>
        </w:tc>
        <w:tc>
          <w:tcPr>
            <w:tcW w:w="944" w:type="pct"/>
            <w:vAlign w:val="center"/>
          </w:tcPr>
          <w:p w14:paraId="52D69000">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944" w:type="pct"/>
            <w:vAlign w:val="center"/>
          </w:tcPr>
          <w:p w14:paraId="7130B94E">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088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trPr>
        <w:tc>
          <w:tcPr>
            <w:tcW w:w="146" w:type="pct"/>
            <w:vAlign w:val="center"/>
          </w:tcPr>
          <w:p w14:paraId="62C9988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435" w:type="pct"/>
            <w:vAlign w:val="center"/>
          </w:tcPr>
          <w:p w14:paraId="1DE87F8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泉惠石化工业区热电联产项目（1台660MW超超临界热电联产项目）</w:t>
            </w:r>
          </w:p>
        </w:tc>
        <w:tc>
          <w:tcPr>
            <w:tcW w:w="258" w:type="pct"/>
            <w:vAlign w:val="center"/>
          </w:tcPr>
          <w:p w14:paraId="65D3B21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福建惠安泉惠发电有限责任公司</w:t>
            </w:r>
          </w:p>
        </w:tc>
        <w:tc>
          <w:tcPr>
            <w:tcW w:w="217" w:type="pct"/>
            <w:vAlign w:val="center"/>
          </w:tcPr>
          <w:p w14:paraId="7FBB532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十四五~十五五</w:t>
            </w:r>
          </w:p>
        </w:tc>
        <w:tc>
          <w:tcPr>
            <w:tcW w:w="229" w:type="pct"/>
            <w:vAlign w:val="center"/>
          </w:tcPr>
          <w:p w14:paraId="5B92BD04">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120</w:t>
            </w:r>
          </w:p>
        </w:tc>
        <w:tc>
          <w:tcPr>
            <w:tcW w:w="287" w:type="pct"/>
            <w:vAlign w:val="center"/>
          </w:tcPr>
          <w:p w14:paraId="76E6D3FD">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426</w:t>
            </w:r>
          </w:p>
        </w:tc>
        <w:tc>
          <w:tcPr>
            <w:tcW w:w="270" w:type="pct"/>
            <w:vAlign w:val="center"/>
          </w:tcPr>
          <w:p w14:paraId="41C6F2CC">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18.915</w:t>
            </w:r>
          </w:p>
        </w:tc>
        <w:tc>
          <w:tcPr>
            <w:tcW w:w="319" w:type="pct"/>
            <w:vAlign w:val="center"/>
          </w:tcPr>
          <w:p w14:paraId="32294A74">
            <w:pPr>
              <w:widowControl/>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22.53</w:t>
            </w:r>
          </w:p>
        </w:tc>
        <w:tc>
          <w:tcPr>
            <w:tcW w:w="944" w:type="pct"/>
            <w:vAlign w:val="center"/>
          </w:tcPr>
          <w:p w14:paraId="0D89AD6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热电联产项目考虑二氧化碳排放占比过高，此部分电力需求考虑通过外购形式体现。</w:t>
            </w:r>
          </w:p>
        </w:tc>
        <w:tc>
          <w:tcPr>
            <w:tcW w:w="944" w:type="pct"/>
            <w:vAlign w:val="center"/>
          </w:tcPr>
          <w:p w14:paraId="7987901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由于股权转让导致工期延迟，所以十四五期间未能试试。目前东桥热电已启动基础设计工作。</w:t>
            </w:r>
          </w:p>
        </w:tc>
        <w:tc>
          <w:tcPr>
            <w:tcW w:w="944" w:type="pct"/>
            <w:vAlign w:val="center"/>
          </w:tcPr>
          <w:p w14:paraId="52A6006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目前东桥热电已启动基础设计工作，计划于2027年投产</w:t>
            </w:r>
          </w:p>
        </w:tc>
      </w:tr>
    </w:tbl>
    <w:p w14:paraId="1886D622">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34A22FC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“十四五”期间规划的减碳项目包括负碳项目、可再生能源项目、节能减碳项目三大部分。</w:t>
      </w:r>
    </w:p>
    <w:p w14:paraId="093F750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6BA1DC59">
      <w:pPr>
        <w:widowControl/>
        <w:jc w:val="cente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w:t>
      </w:r>
      <w:r>
        <w:rPr>
          <w:rFonts w:hint="eastAsia" w:ascii="Times New Roman Regular" w:hAnsi="Times New Roman Regular" w:eastAsia="黑体" w:cs="Times New Roman Regular"/>
          <w:color w:val="000000" w:themeColor="text1"/>
          <w:sz w:val="20"/>
          <w:szCs w:val="20"/>
          <w14:textFill>
            <w14:solidFill>
              <w14:schemeClr w14:val="tx1"/>
            </w14:solidFill>
          </w14:textFill>
        </w:rPr>
        <w:t>10</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节能低碳项目规划表（规划项目与实际对比）</w:t>
      </w:r>
    </w:p>
    <w:tbl>
      <w:tblPr>
        <w:tblStyle w:val="17"/>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2473"/>
        <w:gridCol w:w="1932"/>
        <w:gridCol w:w="5328"/>
        <w:gridCol w:w="3750"/>
      </w:tblGrid>
      <w:tr w14:paraId="3D289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blHeader/>
        </w:trPr>
        <w:tc>
          <w:tcPr>
            <w:tcW w:w="240" w:type="pct"/>
            <w:shd w:val="clear" w:color="auto" w:fill="D8D8D8" w:themeFill="background1" w:themeFillShade="D9"/>
            <w:vAlign w:val="center"/>
          </w:tcPr>
          <w:p w14:paraId="4E56219E">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序号</w:t>
            </w:r>
          </w:p>
        </w:tc>
        <w:tc>
          <w:tcPr>
            <w:tcW w:w="873" w:type="pct"/>
            <w:shd w:val="clear" w:color="auto" w:fill="D8D8D8" w:themeFill="background1" w:themeFillShade="D9"/>
            <w:vAlign w:val="center"/>
          </w:tcPr>
          <w:p w14:paraId="4FF69DCD">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项目名称</w:t>
            </w:r>
          </w:p>
        </w:tc>
        <w:tc>
          <w:tcPr>
            <w:tcW w:w="682" w:type="pct"/>
            <w:shd w:val="clear" w:color="auto" w:fill="D8D8D8" w:themeFill="background1" w:themeFillShade="D9"/>
            <w:vAlign w:val="center"/>
          </w:tcPr>
          <w:p w14:paraId="26DDCFE2">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实施主体</w:t>
            </w:r>
          </w:p>
        </w:tc>
        <w:tc>
          <w:tcPr>
            <w:tcW w:w="1880" w:type="pct"/>
            <w:shd w:val="clear" w:color="auto" w:fill="D8D8D8" w:themeFill="background1" w:themeFillShade="D9"/>
            <w:vAlign w:val="center"/>
          </w:tcPr>
          <w:p w14:paraId="581E0715">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规划</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节能减排效果</w:t>
            </w:r>
          </w:p>
        </w:tc>
        <w:tc>
          <w:tcPr>
            <w:tcW w:w="1323" w:type="pct"/>
            <w:shd w:val="clear" w:color="auto" w:fill="D8D8D8" w:themeFill="background1" w:themeFillShade="D9"/>
            <w:vAlign w:val="center"/>
          </w:tcPr>
          <w:p w14:paraId="411327B3">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落实情况</w:t>
            </w:r>
          </w:p>
        </w:tc>
      </w:tr>
      <w:tr w14:paraId="494F7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3676" w:type="pct"/>
            <w:gridSpan w:val="4"/>
            <w:vAlign w:val="center"/>
          </w:tcPr>
          <w:p w14:paraId="1A40AF17">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一、</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节能减碳项目</w:t>
            </w:r>
          </w:p>
        </w:tc>
        <w:tc>
          <w:tcPr>
            <w:tcW w:w="1323" w:type="pct"/>
            <w:vAlign w:val="center"/>
          </w:tcPr>
          <w:p w14:paraId="6A9976BE">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6CA6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40" w:type="pct"/>
            <w:vAlign w:val="center"/>
          </w:tcPr>
          <w:p w14:paraId="18D8DA36">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873" w:type="pct"/>
            <w:vAlign w:val="center"/>
          </w:tcPr>
          <w:p w14:paraId="77FEC9D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1#加氢裂化新氢压缩机K-102B增设贺尔碧格无极气量调节系统</w:t>
            </w:r>
          </w:p>
        </w:tc>
        <w:tc>
          <w:tcPr>
            <w:tcW w:w="682" w:type="pct"/>
            <w:vAlign w:val="center"/>
          </w:tcPr>
          <w:p w14:paraId="5E29BB8C">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787E18F4">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预计2023年实施，减排量0.31万吨CO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4828EC17">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2023年1月实施，节电533千瓦时，减排0.31万吨CO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r>
      <w:tr w14:paraId="6F7DF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40" w:type="pct"/>
            <w:vAlign w:val="center"/>
          </w:tcPr>
          <w:p w14:paraId="60B7F63E">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873" w:type="pct"/>
            <w:vAlign w:val="center"/>
          </w:tcPr>
          <w:p w14:paraId="32DC6FB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1#加氢裂化富胺液液力透平机改造</w:t>
            </w:r>
          </w:p>
        </w:tc>
        <w:tc>
          <w:tcPr>
            <w:tcW w:w="682" w:type="pct"/>
            <w:vAlign w:val="center"/>
          </w:tcPr>
          <w:p w14:paraId="1FB882E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48E96FC0">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预计2023年7月实施，减排量0.11万吨CO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0FEDED0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2023年1月实施，节电126千瓦时，减排0.11万吨CO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r>
      <w:tr w14:paraId="6EB0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40" w:type="pct"/>
            <w:vAlign w:val="center"/>
          </w:tcPr>
          <w:p w14:paraId="48B3DF72">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873" w:type="pct"/>
            <w:vAlign w:val="center"/>
          </w:tcPr>
          <w:p w14:paraId="1A1153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乙烯裂解装置应用APC先进控制系统</w:t>
            </w:r>
          </w:p>
        </w:tc>
        <w:tc>
          <w:tcPr>
            <w:tcW w:w="682" w:type="pct"/>
            <w:vAlign w:val="center"/>
          </w:tcPr>
          <w:p w14:paraId="10039E0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5392D1B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预计2023年10月实施，减排量0.33万吨CO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3159DF3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2023年1月实施，节约燃料气1200吨/年减排量0.33万吨CO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r>
      <w:tr w14:paraId="3C5DE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40" w:type="pct"/>
            <w:vAlign w:val="center"/>
          </w:tcPr>
          <w:p w14:paraId="4176F2DA">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873" w:type="pct"/>
            <w:vAlign w:val="center"/>
          </w:tcPr>
          <w:p w14:paraId="18AABE3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渣油加氢富胺液液力透平机改造</w:t>
            </w:r>
          </w:p>
        </w:tc>
        <w:tc>
          <w:tcPr>
            <w:tcW w:w="682" w:type="pct"/>
            <w:vAlign w:val="center"/>
          </w:tcPr>
          <w:p w14:paraId="6C45859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03611A3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预计2024年12月实施，减排量0.22万吨CO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069125E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2024年10月实施，减排量0.19万吨CO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r>
      <w:tr w14:paraId="7E4FD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240" w:type="pct"/>
            <w:vAlign w:val="center"/>
          </w:tcPr>
          <w:p w14:paraId="2CDE015B">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873" w:type="pct"/>
            <w:vAlign w:val="center"/>
          </w:tcPr>
          <w:p w14:paraId="26085F1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2#加氢裂化新氢压缩机K-101B增设贺尔碧格无极气量调节系统</w:t>
            </w:r>
          </w:p>
        </w:tc>
        <w:tc>
          <w:tcPr>
            <w:tcW w:w="682" w:type="pct"/>
            <w:vAlign w:val="center"/>
          </w:tcPr>
          <w:p w14:paraId="28C04A60">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123A0EA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预计2024年12月实施，减排量2万吨CO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1B14FFC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相关方案已完成，等待立项。</w:t>
            </w:r>
          </w:p>
        </w:tc>
      </w:tr>
      <w:tr w14:paraId="3F843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454470BC">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w:t>
            </w:r>
          </w:p>
        </w:tc>
        <w:tc>
          <w:tcPr>
            <w:tcW w:w="873" w:type="pct"/>
            <w:vAlign w:val="center"/>
          </w:tcPr>
          <w:p w14:paraId="767CEEC0">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外购绿电项目</w:t>
            </w:r>
          </w:p>
        </w:tc>
        <w:tc>
          <w:tcPr>
            <w:tcW w:w="682" w:type="pct"/>
            <w:vAlign w:val="center"/>
          </w:tcPr>
          <w:p w14:paraId="69DCBF60">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中化能源</w:t>
            </w:r>
          </w:p>
        </w:tc>
        <w:tc>
          <w:tcPr>
            <w:tcW w:w="1880" w:type="pct"/>
            <w:vAlign w:val="center"/>
          </w:tcPr>
          <w:p w14:paraId="05332B0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根据目前“绿电占整体电力结构30%”及绿电市场价格，购电需求预计为10.17亿千瓦时，按照绿电市场价格及常规电力价格的差值计算，需额外投资5450万元完成替代，项目预计实现碳排减排量76.73万吨,投产时间</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预计2025年1月</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1323" w:type="pct"/>
            <w:vAlign w:val="center"/>
          </w:tcPr>
          <w:p w14:paraId="24A4E75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目前已签订绿色电力供应协议，提前锁定二套乙烯的绿色电力资源需求，推动二套乙烯项目低碳运行，</w:t>
            </w:r>
          </w:p>
        </w:tc>
      </w:tr>
      <w:tr w14:paraId="2DE1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556F7027">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w:t>
            </w:r>
          </w:p>
        </w:tc>
        <w:tc>
          <w:tcPr>
            <w:tcW w:w="873" w:type="pct"/>
            <w:vAlign w:val="center"/>
          </w:tcPr>
          <w:p w14:paraId="756EB838">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系统优化、智能化升级和节能措施</w:t>
            </w:r>
          </w:p>
        </w:tc>
        <w:tc>
          <w:tcPr>
            <w:tcW w:w="682" w:type="pct"/>
            <w:vAlign w:val="center"/>
          </w:tcPr>
          <w:p w14:paraId="10685D1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18A0955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通过能耗和排放管理，推进系统优化及智能化升级，提供经济效益最大化的运行优化方案；</w:t>
            </w:r>
          </w:p>
          <w:p w14:paraId="22E6434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该技术约能实现2%-15%的能耗与碳排放降低，项目预计投资额共9000万元（泉州基地6000万元及东营基地3000万元），泉州基地预计实现减排量63.63万吨，东营基地预计实现减排量30.57万吨，中化能源整体减排94.2万吨，预计投产时间2025年12月。</w:t>
            </w:r>
          </w:p>
        </w:tc>
        <w:tc>
          <w:tcPr>
            <w:tcW w:w="1323" w:type="pct"/>
            <w:vAlign w:val="center"/>
          </w:tcPr>
          <w:p w14:paraId="04F3F46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目前泉州石化低碳信息系统正在推进落实中，预计2025年年内完成。</w:t>
            </w:r>
          </w:p>
        </w:tc>
      </w:tr>
      <w:tr w14:paraId="4939B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7E4A0758">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w:t>
            </w:r>
          </w:p>
        </w:tc>
        <w:tc>
          <w:tcPr>
            <w:tcW w:w="873" w:type="pct"/>
            <w:vAlign w:val="center"/>
          </w:tcPr>
          <w:p w14:paraId="76E1C52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加热炉效率提升</w:t>
            </w:r>
          </w:p>
        </w:tc>
        <w:tc>
          <w:tcPr>
            <w:tcW w:w="682" w:type="pct"/>
            <w:vAlign w:val="center"/>
          </w:tcPr>
          <w:p w14:paraId="4F2E0BA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4935220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计划在加热炉热负荷较大的两套连续重整装置加热炉推广应用理论配比燃烧技术，炼化一体化热效率提升至94%（实施时间2025年大检修），投资1600万，回报周期2-3年，预计年节能3000吨标煤，减少7000吨二氧化碳，投产时间待定。</w:t>
            </w:r>
          </w:p>
        </w:tc>
        <w:tc>
          <w:tcPr>
            <w:tcW w:w="1323" w:type="pct"/>
            <w:vAlign w:val="center"/>
          </w:tcPr>
          <w:p w14:paraId="4C2C6E5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暂未立项实施</w:t>
            </w:r>
          </w:p>
        </w:tc>
      </w:tr>
      <w:tr w14:paraId="0ED73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12002F54">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c>
          <w:tcPr>
            <w:tcW w:w="873" w:type="pct"/>
            <w:vAlign w:val="center"/>
          </w:tcPr>
          <w:p w14:paraId="729461D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电能优化器应用</w:t>
            </w:r>
          </w:p>
        </w:tc>
        <w:tc>
          <w:tcPr>
            <w:tcW w:w="682" w:type="pct"/>
            <w:vAlign w:val="center"/>
          </w:tcPr>
          <w:p w14:paraId="3FDB3624">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5D79DDC4">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乙烯项目投产后，项目年总用电量达20亿度，电力系统和用电设备节能研究和开发潜力巨大，乙烯项目按年用电20亿千万时测算，安装投用电能优化器后平均节电率7%，年可节约用电1.4万千瓦时，年效益7700万，年折合节能量4.16万吨标煤，年减排二氧化碳11.79万吨，计划分批次实行，预计2025年12月完成。</w:t>
            </w:r>
          </w:p>
        </w:tc>
        <w:tc>
          <w:tcPr>
            <w:tcW w:w="1323" w:type="pct"/>
            <w:vAlign w:val="center"/>
          </w:tcPr>
          <w:p w14:paraId="22840EA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暂未立项实施</w:t>
            </w:r>
          </w:p>
        </w:tc>
      </w:tr>
      <w:tr w14:paraId="2570A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2EB78428">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873" w:type="pct"/>
            <w:vAlign w:val="center"/>
          </w:tcPr>
          <w:p w14:paraId="55F26EC7">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航煤加氢加热炉余热回收系统改造</w:t>
            </w:r>
          </w:p>
        </w:tc>
        <w:tc>
          <w:tcPr>
            <w:tcW w:w="682" w:type="pct"/>
            <w:vAlign w:val="center"/>
          </w:tcPr>
          <w:p w14:paraId="0A281E73">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55DA542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预计25年12月投产，减少二氧化碳排放0.4万吨/年</w:t>
            </w:r>
          </w:p>
        </w:tc>
        <w:tc>
          <w:tcPr>
            <w:tcW w:w="1323" w:type="pct"/>
            <w:vAlign w:val="center"/>
          </w:tcPr>
          <w:p w14:paraId="5F8A446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已立项，详细设计中</w:t>
            </w:r>
          </w:p>
        </w:tc>
      </w:tr>
      <w:tr w14:paraId="5B938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71A0CBC5">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w:t>
            </w:r>
          </w:p>
        </w:tc>
        <w:tc>
          <w:tcPr>
            <w:tcW w:w="873" w:type="pct"/>
            <w:vAlign w:val="center"/>
          </w:tcPr>
          <w:p w14:paraId="19EFEA60">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渣油加氢加热炉余热回收系统改造</w:t>
            </w:r>
          </w:p>
        </w:tc>
        <w:tc>
          <w:tcPr>
            <w:tcW w:w="682" w:type="pct"/>
            <w:vAlign w:val="center"/>
          </w:tcPr>
          <w:p w14:paraId="2BE348F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682B85A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预计25年12月投产，减少二氧化碳排放1万吨/年</w:t>
            </w:r>
          </w:p>
        </w:tc>
        <w:tc>
          <w:tcPr>
            <w:tcW w:w="1323" w:type="pct"/>
            <w:vAlign w:val="center"/>
          </w:tcPr>
          <w:p w14:paraId="72F1989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已立项，详细设计中</w:t>
            </w:r>
          </w:p>
        </w:tc>
      </w:tr>
      <w:tr w14:paraId="6B266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06E70E34">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w:t>
            </w:r>
          </w:p>
        </w:tc>
        <w:tc>
          <w:tcPr>
            <w:tcW w:w="873" w:type="pct"/>
            <w:vAlign w:val="center"/>
          </w:tcPr>
          <w:p w14:paraId="4C792D67">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1#常减压加热炉余热回收系统改造</w:t>
            </w:r>
          </w:p>
        </w:tc>
        <w:tc>
          <w:tcPr>
            <w:tcW w:w="682" w:type="pct"/>
            <w:vAlign w:val="center"/>
          </w:tcPr>
          <w:p w14:paraId="5EAD51C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6F6CE73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预计25年12月投产，减少二氧化碳排放1万吨/年</w:t>
            </w:r>
          </w:p>
        </w:tc>
        <w:tc>
          <w:tcPr>
            <w:tcW w:w="1323" w:type="pct"/>
            <w:vAlign w:val="center"/>
          </w:tcPr>
          <w:p w14:paraId="4446CAB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投资较高，暂时没有实施计划</w:t>
            </w:r>
          </w:p>
        </w:tc>
      </w:tr>
      <w:tr w14:paraId="54859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trPr>
        <w:tc>
          <w:tcPr>
            <w:tcW w:w="240" w:type="pct"/>
            <w:vAlign w:val="center"/>
          </w:tcPr>
          <w:p w14:paraId="200A8379">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w:t>
            </w:r>
          </w:p>
        </w:tc>
        <w:tc>
          <w:tcPr>
            <w:tcW w:w="873" w:type="pct"/>
            <w:vAlign w:val="center"/>
          </w:tcPr>
          <w:p w14:paraId="23312160">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氢气资源高效利用技术</w:t>
            </w:r>
          </w:p>
        </w:tc>
        <w:tc>
          <w:tcPr>
            <w:tcW w:w="682" w:type="pct"/>
            <w:vAlign w:val="center"/>
          </w:tcPr>
          <w:p w14:paraId="50B1E25C">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49D808F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开展氢气资源高效利用优化，提高氢气资源的有效利用率，根据现有预测，该项目预计节约65万吨标煤，实现减排量25万吨CO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，投资额1.25亿元，预计25年12月投产。</w:t>
            </w:r>
          </w:p>
        </w:tc>
        <w:tc>
          <w:tcPr>
            <w:tcW w:w="1323" w:type="pct"/>
            <w:vAlign w:val="center"/>
          </w:tcPr>
          <w:p w14:paraId="6785BFF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费用较高，暂时没有实施计划</w:t>
            </w:r>
          </w:p>
        </w:tc>
      </w:tr>
      <w:tr w14:paraId="7838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5FFC2C32">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w:t>
            </w:r>
          </w:p>
        </w:tc>
        <w:tc>
          <w:tcPr>
            <w:tcW w:w="873" w:type="pct"/>
            <w:vAlign w:val="center"/>
          </w:tcPr>
          <w:p w14:paraId="47F7B2AE">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换热网络集成优化技术</w:t>
            </w:r>
          </w:p>
        </w:tc>
        <w:tc>
          <w:tcPr>
            <w:tcW w:w="682" w:type="pct"/>
            <w:vAlign w:val="center"/>
          </w:tcPr>
          <w:p w14:paraId="02585A3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5C10F1D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通过提高能量利用效率，减少加热炉燃料气及蒸汽消耗，实现节能降碳。以中化泉州石化为例，通过换热网络集成优化，预计可提高换热终温2～4°C，节省公用工程用量3%～10%，减少碳排放20万吨/年，能效提升1.5～4.5千克标油/吨原油，预计2028年12月投产。</w:t>
            </w:r>
          </w:p>
        </w:tc>
        <w:tc>
          <w:tcPr>
            <w:tcW w:w="1323" w:type="pct"/>
            <w:vAlign w:val="center"/>
          </w:tcPr>
          <w:p w14:paraId="1F4C9EB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费用较高，暂时没有实施计划</w:t>
            </w:r>
          </w:p>
        </w:tc>
      </w:tr>
      <w:tr w14:paraId="2767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40" w:type="pct"/>
            <w:vAlign w:val="center"/>
          </w:tcPr>
          <w:p w14:paraId="087D6F88">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w:t>
            </w:r>
          </w:p>
        </w:tc>
        <w:tc>
          <w:tcPr>
            <w:tcW w:w="873" w:type="pct"/>
            <w:vAlign w:val="center"/>
          </w:tcPr>
          <w:p w14:paraId="6524C7EE">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蒸汽动力系统优化技术</w:t>
            </w:r>
          </w:p>
        </w:tc>
        <w:tc>
          <w:tcPr>
            <w:tcW w:w="682" w:type="pct"/>
            <w:vAlign w:val="center"/>
          </w:tcPr>
          <w:p w14:paraId="270F34D7">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0CAC4E8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蒸汽动力系统优化的节能效果多体现为电力、蒸汽和燃料气消耗量的降低，每节省1吨蒸汽，可减排CO2 0.17～0.29吨；以中化泉州石化为例，通过开展蒸汽动力系统优化，可实现节能14～21千克标油/吨蒸汽，减少CO</w:t>
            </w:r>
            <w:r>
              <w:rPr>
                <w:rFonts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排放3.58万吨/年</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，预计2028年12月投产。</w:t>
            </w:r>
          </w:p>
        </w:tc>
        <w:tc>
          <w:tcPr>
            <w:tcW w:w="1323" w:type="pct"/>
            <w:vAlign w:val="center"/>
          </w:tcPr>
          <w:p w14:paraId="736EDEA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2025年泉化开展第三方蒸汽系统节能优化工作，根据具体可实施的优化方案按计划实施。</w:t>
            </w:r>
          </w:p>
        </w:tc>
      </w:tr>
      <w:tr w14:paraId="256B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240" w:type="pct"/>
            <w:vAlign w:val="center"/>
          </w:tcPr>
          <w:p w14:paraId="03F1D821">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w:t>
            </w:r>
          </w:p>
        </w:tc>
        <w:tc>
          <w:tcPr>
            <w:tcW w:w="873" w:type="pct"/>
            <w:vAlign w:val="center"/>
          </w:tcPr>
          <w:p w14:paraId="148507A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低温余热高效利用技术</w:t>
            </w:r>
          </w:p>
        </w:tc>
        <w:tc>
          <w:tcPr>
            <w:tcW w:w="682" w:type="pct"/>
            <w:vAlign w:val="center"/>
          </w:tcPr>
          <w:p w14:paraId="05B63653">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268F074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按照“温度对口、逐级利用”原则，基于全厂蒸汽动力系统平衡开展全厂低温热资源综合优化。以中化泉州石化为例，通过低温余热高效利用技术开展优化，在提高低温热回收利用率10%的情况下，全厂二氧化碳排放可减少5万吨/年</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，预计2028年12月投产。</w:t>
            </w:r>
          </w:p>
        </w:tc>
        <w:tc>
          <w:tcPr>
            <w:tcW w:w="1323" w:type="pct"/>
            <w:vAlign w:val="center"/>
          </w:tcPr>
          <w:p w14:paraId="0C06367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2025年泉化开展第三方蒸汽系统节能优化工作，根据具体可实施的优化方案按计划实施。</w:t>
            </w:r>
          </w:p>
        </w:tc>
      </w:tr>
      <w:tr w14:paraId="5F8E4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5000" w:type="pct"/>
            <w:gridSpan w:val="5"/>
            <w:vAlign w:val="center"/>
          </w:tcPr>
          <w:p w14:paraId="4F2B0C4A">
            <w:pPr>
              <w:widowControl/>
              <w:rPr>
                <w:rFonts w:ascii="华文楷体" w:hAnsi="华文楷体" w:eastAsia="华文楷体" w:cs="Calibri"/>
                <w:color w:val="000000" w:themeColor="text1"/>
                <w:kern w:val="0"/>
                <w:sz w:val="20"/>
                <w:szCs w:val="20"/>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二、可再生能源项目</w:t>
            </w:r>
          </w:p>
        </w:tc>
      </w:tr>
      <w:tr w14:paraId="4F3B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240" w:type="pct"/>
            <w:vAlign w:val="center"/>
          </w:tcPr>
          <w:p w14:paraId="78F0882D">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873" w:type="pct"/>
            <w:vAlign w:val="center"/>
          </w:tcPr>
          <w:p w14:paraId="26D4900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 14.15MW 分布式光伏项目</w:t>
            </w:r>
          </w:p>
        </w:tc>
        <w:tc>
          <w:tcPr>
            <w:tcW w:w="682" w:type="pct"/>
            <w:vAlign w:val="center"/>
          </w:tcPr>
          <w:p w14:paraId="377659D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中化石油销售有限公司</w:t>
            </w:r>
          </w:p>
        </w:tc>
        <w:tc>
          <w:tcPr>
            <w:tcW w:w="1880" w:type="pct"/>
            <w:vAlign w:val="center"/>
          </w:tcPr>
          <w:p w14:paraId="76E27A3C">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预计投产时间为2024年8月30日，预计产生减排量1.36万吨CO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7BA932A9">
            <w:pPr>
              <w:widowControl/>
              <w:jc w:val="center"/>
              <w:rPr>
                <w:rFonts w:ascii="Times New Roman Regular" w:hAnsi="Times New Roman Regular" w:eastAsia="华文楷体" w:cs="Times New Roman Regular"/>
                <w:color w:val="000000" w:themeColor="text1"/>
                <w:kern w:val="0"/>
                <w:sz w:val="20"/>
                <w:szCs w:val="20"/>
                <w14:textFill>
                  <w14:solidFill>
                    <w14:schemeClr w14:val="tx1"/>
                  </w14:solidFill>
                </w14:textFill>
              </w:rPr>
            </w:pPr>
            <w:r>
              <w:rPr>
                <w:rFonts w:hint="eastAsia" w:ascii="华文楷体" w:hAnsi="华文楷体" w:eastAsia="华文楷体" w:cs="Calibri"/>
                <w:color w:val="000000" w:themeColor="text1"/>
                <w:kern w:val="0"/>
                <w:sz w:val="20"/>
                <w:szCs w:val="20"/>
                <w14:textFill>
                  <w14:solidFill>
                    <w14:schemeClr w14:val="tx1"/>
                  </w14:solidFill>
                </w14:textFill>
              </w:rPr>
              <w:t>完成85%，预计6月中交</w:t>
            </w:r>
          </w:p>
        </w:tc>
      </w:tr>
      <w:tr w14:paraId="28699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240" w:type="pct"/>
            <w:vAlign w:val="center"/>
          </w:tcPr>
          <w:p w14:paraId="6A05589B">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873" w:type="pct"/>
            <w:vAlign w:val="center"/>
          </w:tcPr>
          <w:p w14:paraId="559E5B6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泉州基地分布式光伏项目二期15MW</w:t>
            </w:r>
          </w:p>
        </w:tc>
        <w:tc>
          <w:tcPr>
            <w:tcW w:w="682" w:type="pct"/>
            <w:vAlign w:val="center"/>
          </w:tcPr>
          <w:p w14:paraId="0C4A1A9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中化石油销售有限公司</w:t>
            </w:r>
          </w:p>
        </w:tc>
        <w:tc>
          <w:tcPr>
            <w:tcW w:w="1880" w:type="pct"/>
            <w:vAlign w:val="center"/>
          </w:tcPr>
          <w:p w14:paraId="60C768C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预计投产时间为2025年2月28日，预计产生减排量1.44万吨CO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4810E39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已完成项目立项研究，正在组织立项上报工作</w:t>
            </w:r>
          </w:p>
        </w:tc>
      </w:tr>
      <w:tr w14:paraId="5CA00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240" w:type="pct"/>
            <w:vAlign w:val="center"/>
          </w:tcPr>
          <w:p w14:paraId="6D954921">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873" w:type="pct"/>
            <w:vAlign w:val="center"/>
          </w:tcPr>
          <w:p w14:paraId="59B7A0B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泉州基地分布式光伏项目三期20MW</w:t>
            </w:r>
          </w:p>
        </w:tc>
        <w:tc>
          <w:tcPr>
            <w:tcW w:w="682" w:type="pct"/>
            <w:vAlign w:val="center"/>
          </w:tcPr>
          <w:p w14:paraId="38920CC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中化石油销售有限公司</w:t>
            </w:r>
          </w:p>
        </w:tc>
        <w:tc>
          <w:tcPr>
            <w:tcW w:w="1880" w:type="pct"/>
            <w:vAlign w:val="center"/>
          </w:tcPr>
          <w:p w14:paraId="67D40A94">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预计投产时间为2025年8月30日，预计产生减排量1.92万吨CO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089580F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开展前期研究工作</w:t>
            </w:r>
          </w:p>
        </w:tc>
      </w:tr>
      <w:tr w14:paraId="10E7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8" w:hRule="atLeast"/>
        </w:trPr>
        <w:tc>
          <w:tcPr>
            <w:tcW w:w="240" w:type="pct"/>
            <w:vAlign w:val="center"/>
          </w:tcPr>
          <w:p w14:paraId="12EE095D">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873" w:type="pct"/>
            <w:vAlign w:val="center"/>
          </w:tcPr>
          <w:p w14:paraId="787DD34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泉惠园区集中式光伏项目100-200MW</w:t>
            </w:r>
          </w:p>
        </w:tc>
        <w:tc>
          <w:tcPr>
            <w:tcW w:w="682" w:type="pct"/>
            <w:vAlign w:val="center"/>
          </w:tcPr>
          <w:p w14:paraId="25CF934B">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中化石油销售有限公司</w:t>
            </w:r>
          </w:p>
        </w:tc>
        <w:tc>
          <w:tcPr>
            <w:tcW w:w="1880" w:type="pct"/>
            <w:vAlign w:val="center"/>
          </w:tcPr>
          <w:p w14:paraId="4085134C">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预计投产时间为2025年12月30日，预计产生减排量12万吨CO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w:t>
            </w:r>
          </w:p>
        </w:tc>
        <w:tc>
          <w:tcPr>
            <w:tcW w:w="1323" w:type="pct"/>
            <w:vAlign w:val="center"/>
          </w:tcPr>
          <w:p w14:paraId="1E0C1EE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石油销售公司已经完成项目布局方案的编制，泉州石化已与三峡集团、慧昊能源签订合作开发协议，同时该项目已获得福建省批复的集中式光伏开发清单，目前由三峡集团牵头开展前期工作。截止2025年5月，已完成可研报告，并起草合资协议。</w:t>
            </w:r>
          </w:p>
        </w:tc>
      </w:tr>
      <w:tr w14:paraId="7CC17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5000" w:type="pct"/>
            <w:gridSpan w:val="5"/>
            <w:vAlign w:val="center"/>
          </w:tcPr>
          <w:p w14:paraId="4858912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三、负碳项目</w:t>
            </w:r>
          </w:p>
        </w:tc>
      </w:tr>
      <w:tr w14:paraId="474C4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240" w:type="pct"/>
            <w:vAlign w:val="center"/>
          </w:tcPr>
          <w:p w14:paraId="4ACB71B1">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873" w:type="pct"/>
            <w:vAlign w:val="center"/>
          </w:tcPr>
          <w:p w14:paraId="1D52AE5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万吨/年DMC项目一期</w:t>
            </w:r>
          </w:p>
        </w:tc>
        <w:tc>
          <w:tcPr>
            <w:tcW w:w="682" w:type="pct"/>
            <w:vAlign w:val="center"/>
          </w:tcPr>
          <w:p w14:paraId="61AC66CA">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5ADE1A3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DMC一期项目拟规划布置在泉州石化乙烯项目西南侧预留地位置，建设范围为12万吨/年碳酸乙烯酯（10万吨/年中间品和2万吨/年产品）、10万吨/年DMC装置、16万吨/年二氧化碳装置、公用工程及辅助生产设施，该项目实施后预计产生碳减排6.5万吨。</w:t>
            </w:r>
          </w:p>
        </w:tc>
        <w:tc>
          <w:tcPr>
            <w:tcW w:w="1323" w:type="pct"/>
            <w:vAlign w:val="center"/>
          </w:tcPr>
          <w:p w14:paraId="595C4A0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一期项目已于2022年6月投产，减排量6.5万吨。</w:t>
            </w:r>
          </w:p>
        </w:tc>
      </w:tr>
      <w:tr w14:paraId="09AE7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240" w:type="pct"/>
            <w:vAlign w:val="center"/>
          </w:tcPr>
          <w:p w14:paraId="42F3BA63">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873" w:type="pct"/>
            <w:vAlign w:val="center"/>
          </w:tcPr>
          <w:p w14:paraId="20DB792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万吨/年DMC项目</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期</w:t>
            </w:r>
          </w:p>
        </w:tc>
        <w:tc>
          <w:tcPr>
            <w:tcW w:w="682" w:type="pct"/>
            <w:vAlign w:val="center"/>
          </w:tcPr>
          <w:p w14:paraId="3500E2B6">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0D43DCD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二期项目预计2025年12月前投产。</w:t>
            </w:r>
          </w:p>
        </w:tc>
        <w:tc>
          <w:tcPr>
            <w:tcW w:w="1323" w:type="pct"/>
            <w:vAlign w:val="center"/>
          </w:tcPr>
          <w:p w14:paraId="757F5D1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暂未立项实施，由于当前DMC市场下行，产品市场价格无法支撑新建DMC，因项目经济不可行，石大胜华合资公司未推动项目继续筹建。</w:t>
            </w:r>
          </w:p>
        </w:tc>
      </w:tr>
      <w:tr w14:paraId="35A1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trPr>
        <w:tc>
          <w:tcPr>
            <w:tcW w:w="240" w:type="pct"/>
            <w:vAlign w:val="center"/>
          </w:tcPr>
          <w:p w14:paraId="54F848CF">
            <w:pPr>
              <w:widowControl/>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873" w:type="pct"/>
            <w:vAlign w:val="center"/>
          </w:tcPr>
          <w:p w14:paraId="2A39525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二氧化碳制聚碳酸亚丙酯（PPCP）</w:t>
            </w:r>
          </w:p>
        </w:tc>
        <w:tc>
          <w:tcPr>
            <w:tcW w:w="682" w:type="pct"/>
            <w:vAlign w:val="center"/>
          </w:tcPr>
          <w:p w14:paraId="24CFB55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中化泉州石化有限公司</w:t>
            </w:r>
          </w:p>
        </w:tc>
        <w:tc>
          <w:tcPr>
            <w:tcW w:w="1880" w:type="pct"/>
            <w:vAlign w:val="center"/>
          </w:tcPr>
          <w:p w14:paraId="1D1CA3F8">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形成 PPC、PPCP 可降解塑料产能 ，实现碳减排1.2 万吨/年</w:t>
            </w:r>
          </w:p>
        </w:tc>
        <w:tc>
          <w:tcPr>
            <w:tcW w:w="1323" w:type="pct"/>
            <w:vAlign w:val="center"/>
          </w:tcPr>
          <w:p w14:paraId="5DC9C78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暂未立项实施，“十四五”规划远期实施</w:t>
            </w:r>
          </w:p>
        </w:tc>
      </w:tr>
    </w:tbl>
    <w:p w14:paraId="2F152384">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3B434A4A">
      <w:pPr>
        <w:widowControl/>
        <w:spacing w:line="560" w:lineRule="exact"/>
        <w:rPr>
          <w:rFonts w:ascii="Times New Roman Regular" w:hAnsi="Times New Roman Regular" w:eastAsia="楷体_GB2312" w:cs="Times New Roman Regular"/>
          <w:color w:val="000000" w:themeColor="text1"/>
          <w:sz w:val="28"/>
          <w:szCs w:val="28"/>
          <w14:textFill>
            <w14:solidFill>
              <w14:schemeClr w14:val="tx1"/>
            </w14:solidFill>
          </w14:textFill>
        </w:rPr>
        <w:sectPr>
          <w:pgSz w:w="16838" w:h="11906" w:orient="landscape"/>
          <w:pgMar w:top="1800" w:right="1440" w:bottom="1800" w:left="1440" w:header="851" w:footer="992" w:gutter="0"/>
          <w:pgNumType w:fmt="numberInDash"/>
          <w:cols w:space="425" w:num="1"/>
          <w:docGrid w:type="lines" w:linePitch="312" w:charSpace="0"/>
        </w:sectPr>
      </w:pPr>
    </w:p>
    <w:p w14:paraId="60205899">
      <w:pPr>
        <w:widowControl/>
        <w:spacing w:line="560" w:lineRule="exact"/>
        <w:ind w:firstLine="560" w:firstLineChars="200"/>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pPr>
      <w:r>
        <w:rPr>
          <w:rFonts w:hint="default"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项目已实施情况：多数节能减碳类技改项目（如加氢裂化装置改造、先进控制系统应用、渣油加氢液力透平机改造等）已经在2023-2024 年间陆续完成实施，并实现了相应的减排效果。部分项目如绿色采购、低碳信息系统建设等正在推进，预计在</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“十四五”期末完成。</w:t>
      </w:r>
    </w:p>
    <w:p w14:paraId="0A029B94">
      <w:pPr>
        <w:widowControl/>
        <w:spacing w:line="560" w:lineRule="exact"/>
        <w:ind w:firstLine="560" w:firstLineChars="200"/>
        <w:rPr>
          <w:rFonts w:hint="default"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未实施项目及原因：在规划项目中存在部分未实施项目，主要原因如下，一是技术/投资未立项，如加热炉效率提升、电能优化器应用等前期未做相关可研及立项，投资未落实；二是经济性不足，44万吨/年DMC（二期）暂未立项实施主要原因为DMC市场下行，产品价格无法支撑新建产能；三是部分项目为远期规划安排，二氧化碳制PPCP为“十四五”远期项目，目前暂未开展。</w:t>
      </w:r>
    </w:p>
    <w:p w14:paraId="37BE88F3">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76" w:name="_Toc38313656"/>
      <w:bookmarkStart w:id="77" w:name="_Toc20460"/>
      <w:r>
        <w:rPr>
          <w:rFonts w:ascii="Times New Roman Regular" w:hAnsi="Times New Roman Regular" w:eastAsia="黑体" w:cs="Times New Roman Regular"/>
          <w:color w:val="000000" w:themeColor="text1"/>
          <w:sz w:val="28"/>
          <w:szCs w:val="28"/>
          <w14:textFill>
            <w14:solidFill>
              <w14:schemeClr w14:val="tx1"/>
            </w14:solidFill>
          </w14:textFill>
        </w:rPr>
        <w:t>2.</w:t>
      </w:r>
      <w:r>
        <w:rPr>
          <w:rFonts w:hint="eastAsia" w:ascii="Times New Roman Regular" w:hAnsi="Times New Roman Regular" w:eastAsia="黑体" w:cs="Times New Roman Regular"/>
          <w:color w:val="000000" w:themeColor="text1"/>
          <w:sz w:val="28"/>
          <w:szCs w:val="28"/>
          <w14:textFill>
            <w14:solidFill>
              <w14:schemeClr w14:val="tx1"/>
            </w14:solidFill>
          </w14:textFill>
        </w:rPr>
        <w:t>4</w:t>
      </w:r>
      <w:r>
        <w:rPr>
          <w:rFonts w:ascii="Times New Roman Regular" w:hAnsi="Times New Roman Regular" w:eastAsia="黑体" w:cs="Times New Roman Regular"/>
          <w:color w:val="000000" w:themeColor="text1"/>
          <w:sz w:val="28"/>
          <w:szCs w:val="28"/>
          <w14:textFill>
            <w14:solidFill>
              <w14:schemeClr w14:val="tx1"/>
            </w14:solidFill>
          </w14:textFill>
        </w:rPr>
        <w:t>小结</w:t>
      </w:r>
      <w:bookmarkEnd w:id="73"/>
      <w:bookmarkEnd w:id="74"/>
      <w:bookmarkEnd w:id="75"/>
      <w:bookmarkEnd w:id="76"/>
      <w:bookmarkEnd w:id="77"/>
    </w:p>
    <w:p w14:paraId="6FD1701C">
      <w:pPr>
        <w:widowControl/>
        <w:spacing w:line="56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2.4.1 2021-2024年指标完成情况分析</w:t>
      </w:r>
    </w:p>
    <w:p w14:paraId="54DC1ECD">
      <w:pPr>
        <w:widowControl/>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w:t>
      </w:r>
      <w:r>
        <w:rPr>
          <w:rFonts w:hint="eastAsia" w:ascii="Times New Roman Regular" w:hAnsi="Times New Roman Regular" w:eastAsia="黑体" w:cs="Times New Roman Regular"/>
          <w:color w:val="000000" w:themeColor="text1"/>
          <w:sz w:val="20"/>
          <w:szCs w:val="20"/>
          <w14:textFill>
            <w14:solidFill>
              <w14:schemeClr w14:val="tx1"/>
            </w14:solidFill>
          </w14:textFill>
        </w:rPr>
        <w:t>9</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2021—2023年指标完成情况</w:t>
      </w:r>
    </w:p>
    <w:tbl>
      <w:tblPr>
        <w:tblStyle w:val="4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4"/>
        <w:gridCol w:w="2328"/>
        <w:gridCol w:w="1081"/>
        <w:gridCol w:w="1239"/>
        <w:gridCol w:w="1260"/>
      </w:tblGrid>
      <w:tr w14:paraId="00CAF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trPr>
        <w:tc>
          <w:tcPr>
            <w:tcW w:w="1534" w:type="pct"/>
          </w:tcPr>
          <w:p w14:paraId="1420BA6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指标名称</w:t>
            </w:r>
          </w:p>
        </w:tc>
        <w:tc>
          <w:tcPr>
            <w:tcW w:w="1366" w:type="pct"/>
          </w:tcPr>
          <w:p w14:paraId="7D5FA63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2023年度目标值</w:t>
            </w:r>
          </w:p>
        </w:tc>
        <w:tc>
          <w:tcPr>
            <w:tcW w:w="634" w:type="pct"/>
          </w:tcPr>
          <w:p w14:paraId="70D3665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2021年</w:t>
            </w:r>
          </w:p>
        </w:tc>
        <w:tc>
          <w:tcPr>
            <w:tcW w:w="727" w:type="pct"/>
          </w:tcPr>
          <w:p w14:paraId="540C5030">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739" w:type="pct"/>
          </w:tcPr>
          <w:p w14:paraId="6FB7DE52">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w:t>
            </w:r>
          </w:p>
        </w:tc>
      </w:tr>
      <w:tr w14:paraId="2B2AF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34" w:type="pct"/>
          </w:tcPr>
          <w:p w14:paraId="2099603F">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工业万元产值综合能耗</w:t>
            </w:r>
          </w:p>
        </w:tc>
        <w:tc>
          <w:tcPr>
            <w:tcW w:w="1366" w:type="pct"/>
          </w:tcPr>
          <w:p w14:paraId="07EA2A5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&lt;0.539 吨标煤/万元</w:t>
            </w:r>
          </w:p>
        </w:tc>
        <w:tc>
          <w:tcPr>
            <w:tcW w:w="634" w:type="pct"/>
          </w:tcPr>
          <w:p w14:paraId="67EDF7BC">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0.61</w:t>
            </w:r>
          </w:p>
        </w:tc>
        <w:tc>
          <w:tcPr>
            <w:tcW w:w="727" w:type="pct"/>
          </w:tcPr>
          <w:p w14:paraId="1DAE785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0.55</w:t>
            </w:r>
          </w:p>
        </w:tc>
        <w:tc>
          <w:tcPr>
            <w:tcW w:w="739" w:type="pct"/>
          </w:tcPr>
          <w:p w14:paraId="43F26E1E">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0.53</w:t>
            </w:r>
          </w:p>
        </w:tc>
      </w:tr>
      <w:tr w14:paraId="0869D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1534" w:type="pct"/>
          </w:tcPr>
          <w:p w14:paraId="7C877FB9">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工业万元产值二氧化碳排放</w:t>
            </w:r>
          </w:p>
        </w:tc>
        <w:tc>
          <w:tcPr>
            <w:tcW w:w="1366" w:type="pct"/>
          </w:tcPr>
          <w:p w14:paraId="61D5CEA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&lt;1.192 吨CO</w:t>
            </w:r>
            <w:r>
              <w:rPr>
                <w:rFonts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w:t>
            </w:r>
          </w:p>
        </w:tc>
        <w:tc>
          <w:tcPr>
            <w:tcW w:w="634" w:type="pct"/>
          </w:tcPr>
          <w:p w14:paraId="241E28F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w:t>
            </w:r>
          </w:p>
        </w:tc>
        <w:tc>
          <w:tcPr>
            <w:tcW w:w="727" w:type="pct"/>
          </w:tcPr>
          <w:p w14:paraId="472D9AC1">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1.25</w:t>
            </w:r>
          </w:p>
        </w:tc>
        <w:tc>
          <w:tcPr>
            <w:tcW w:w="739" w:type="pct"/>
          </w:tcPr>
          <w:p w14:paraId="247C1EE5">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w:t>
            </w:r>
          </w:p>
        </w:tc>
      </w:tr>
    </w:tbl>
    <w:p w14:paraId="19A121D6">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5CFC363A">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2024年年度指标完成情况为：工业万元产值二氧化碳（可比价）1.446吨/万元，且二氧化碳排放总量不高于1189</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75</w:t>
      </w: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万</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吨。碳排放强度未能完成年度指标要求，未完成指标主要原因为年度原油加工量同比下降29%，工业总产值（可比价）同比下降31%导致；具体分析为年初指标制定依据为正和石化5至6月检修后开工，华星石化、昌邑石化全年正常生产。年度执行过程中，因生产经营调整，正和石化5月检修后停工，昌邑石化6月下旬停工，华星石化11月停工，导致低于整体能耗、碳排放强度指标要求的炼油企业运行时间片段，故能耗强度、碳排放强度均高于年度指标要求，未能完成年度要求。</w:t>
      </w:r>
    </w:p>
    <w:p w14:paraId="06DDEFD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二氧化碳排放量主要由所属工业企业特别是炼化企业排放部分构成，其中泉州石化、华星石化、昌邑石化、正和石化2023年度二氧化碳排放占比为99.67%，泉州石化占比71.47%。以上四家企业碳排放总量及强度变化情况与生产经营情况关联程度高，在企业负荷调整、原油结构、产品结构调整等生产运营调整时，碳排放总量及强度波动程度较大，对碳达峰整体目标实现有较大影响。</w:t>
      </w:r>
    </w:p>
    <w:p w14:paraId="5FA58CE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2024年所属炼化各企业受装置低负荷、检修及破产清算等影响，未完成年度节能低碳指标。后续山东三家炼厂、大庆中蓝均处于破产清算期，暂无开工计划，各项节能减碳指标达标难度大。</w:t>
      </w:r>
    </w:p>
    <w:p w14:paraId="0EE47A8B">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当前工业企业碳排放总量及强度变化情况与生产经营情况关联程度高，在企业负荷调整、原油结构、产品结构调整等生产运营调整时，碳排放总量及强度波动程度较大，对碳达峰整体目标实现有较大影响。</w:t>
      </w:r>
    </w:p>
    <w:p w14:paraId="3381F90E">
      <w:pPr>
        <w:widowControl/>
        <w:jc w:val="cente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w:t>
      </w:r>
      <w:r>
        <w:rPr>
          <w:rFonts w:hint="eastAsia" w:ascii="Times New Roman Regular" w:hAnsi="Times New Roman Regular" w:eastAsia="黑体" w:cs="Times New Roman Regular"/>
          <w:color w:val="000000" w:themeColor="text1"/>
          <w:sz w:val="20"/>
          <w:szCs w:val="20"/>
          <w14:textFill>
            <w14:solidFill>
              <w14:schemeClr w14:val="tx1"/>
            </w14:solidFill>
          </w14:textFill>
        </w:rPr>
        <w:t>10</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2021—2023年指标完成情况</w:t>
      </w:r>
    </w:p>
    <w:tbl>
      <w:tblPr>
        <w:tblStyle w:val="16"/>
        <w:tblW w:w="0" w:type="auto"/>
        <w:tblInd w:w="0" w:type="dxa"/>
        <w:tblLayout w:type="autofit"/>
        <w:tblCellMar>
          <w:top w:w="0" w:type="dxa"/>
          <w:left w:w="0" w:type="dxa"/>
          <w:bottom w:w="0" w:type="dxa"/>
          <w:right w:w="0" w:type="dxa"/>
        </w:tblCellMar>
      </w:tblPr>
      <w:tblGrid>
        <w:gridCol w:w="1666"/>
        <w:gridCol w:w="938"/>
        <w:gridCol w:w="938"/>
        <w:gridCol w:w="1468"/>
        <w:gridCol w:w="938"/>
        <w:gridCol w:w="938"/>
        <w:gridCol w:w="938"/>
      </w:tblGrid>
      <w:tr w14:paraId="0D70734A">
        <w:tblPrEx>
          <w:tblCellMar>
            <w:top w:w="0" w:type="dxa"/>
            <w:left w:w="0" w:type="dxa"/>
            <w:bottom w:w="0" w:type="dxa"/>
            <w:right w:w="0" w:type="dxa"/>
          </w:tblCellMar>
        </w:tblPrEx>
        <w:trPr>
          <w:trHeight w:val="23" w:hRule="atLeast"/>
        </w:trPr>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601C7D44">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70B864F3">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2020年</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3CEA2A6A">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2021年</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54F7E231">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2022年</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4924E146">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2023年</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1A069D11">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2024年</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5FB05D94">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2025年</w:t>
            </w:r>
          </w:p>
        </w:tc>
      </w:tr>
      <w:tr w14:paraId="6D2E00CB">
        <w:tblPrEx>
          <w:tblCellMar>
            <w:top w:w="0" w:type="dxa"/>
            <w:left w:w="0" w:type="dxa"/>
            <w:bottom w:w="0" w:type="dxa"/>
            <w:right w:w="0" w:type="dxa"/>
          </w:tblCellMar>
        </w:tblPrEx>
        <w:trPr>
          <w:trHeight w:val="23" w:hRule="atLeast"/>
        </w:trPr>
        <w:tc>
          <w:tcPr>
            <w:tcW w:w="0" w:type="auto"/>
            <w:gridSpan w:val="7"/>
            <w:tcBorders>
              <w:top w:val="single" w:color="5B9BD5" w:sz="8" w:space="0"/>
              <w:left w:val="single" w:color="5B9BD5" w:sz="8" w:space="0"/>
              <w:bottom w:val="single" w:color="5B9BD5" w:sz="8" w:space="0"/>
              <w:right w:val="single" w:color="5B9BD5" w:sz="8" w:space="0"/>
            </w:tcBorders>
            <w:shd w:val="clear" w:color="auto" w:fill="DEEBF7"/>
            <w:tcMar>
              <w:top w:w="72" w:type="dxa"/>
              <w:left w:w="144" w:type="dxa"/>
              <w:bottom w:w="72" w:type="dxa"/>
              <w:right w:w="144" w:type="dxa"/>
            </w:tcMar>
            <w:vAlign w:val="center"/>
          </w:tcPr>
          <w:p w14:paraId="5B7DEEFD">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一、二氧化碳排放量（万吨）</w:t>
            </w:r>
          </w:p>
        </w:tc>
      </w:tr>
      <w:tr w14:paraId="2DD7AC97">
        <w:tblPrEx>
          <w:tblCellMar>
            <w:top w:w="0" w:type="dxa"/>
            <w:left w:w="0" w:type="dxa"/>
            <w:bottom w:w="0" w:type="dxa"/>
            <w:right w:w="0" w:type="dxa"/>
          </w:tblCellMar>
        </w:tblPrEx>
        <w:trPr>
          <w:trHeight w:val="23" w:hRule="atLeast"/>
        </w:trPr>
        <w:tc>
          <w:tcPr>
            <w:tcW w:w="0" w:type="auto"/>
            <w:tcBorders>
              <w:top w:val="single" w:color="5B9BD5" w:sz="8" w:space="0"/>
              <w:left w:val="single" w:color="5B9BD5" w:sz="8" w:space="0"/>
              <w:bottom w:val="single" w:color="5B9BD5" w:sz="8" w:space="0"/>
              <w:right w:val="single" w:color="5B9BD5" w:sz="8" w:space="0"/>
            </w:tcBorders>
            <w:shd w:val="clear" w:color="auto" w:fill="DEEBF7"/>
            <w:tcMar>
              <w:top w:w="72" w:type="dxa"/>
              <w:left w:w="144" w:type="dxa"/>
              <w:bottom w:w="72" w:type="dxa"/>
              <w:right w:w="144" w:type="dxa"/>
            </w:tcMar>
            <w:vAlign w:val="center"/>
          </w:tcPr>
          <w:p w14:paraId="4C7A5975">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“十四五”规划值</w:t>
            </w:r>
          </w:p>
        </w:tc>
        <w:tc>
          <w:tcPr>
            <w:tcW w:w="0" w:type="auto"/>
            <w:vMerge w:val="restart"/>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12AE9353">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1099</w:t>
            </w:r>
          </w:p>
        </w:tc>
        <w:tc>
          <w:tcPr>
            <w:tcW w:w="0" w:type="auto"/>
            <w:vMerge w:val="restart"/>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0E91E5D2">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1535</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19E0A315">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1332</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1C64C11A">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1515</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09E49823">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1514</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2FF3CAA1">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1307</w:t>
            </w:r>
          </w:p>
        </w:tc>
      </w:tr>
      <w:tr w14:paraId="41C693E4">
        <w:tblPrEx>
          <w:tblCellMar>
            <w:top w:w="0" w:type="dxa"/>
            <w:left w:w="0" w:type="dxa"/>
            <w:bottom w:w="0" w:type="dxa"/>
            <w:right w:w="0" w:type="dxa"/>
          </w:tblCellMar>
        </w:tblPrEx>
        <w:trPr>
          <w:trHeight w:val="23" w:hRule="atLeast"/>
        </w:trPr>
        <w:tc>
          <w:tcPr>
            <w:tcW w:w="0" w:type="auto"/>
            <w:tcBorders>
              <w:top w:val="single" w:color="5B9BD5" w:sz="8" w:space="0"/>
              <w:left w:val="single" w:color="5B9BD5" w:sz="8" w:space="0"/>
              <w:bottom w:val="single" w:color="5B9BD5" w:sz="8" w:space="0"/>
              <w:right w:val="single" w:color="5B9BD5" w:sz="8" w:space="0"/>
            </w:tcBorders>
            <w:shd w:val="clear" w:color="auto" w:fill="DEEBF7"/>
            <w:tcMar>
              <w:top w:w="72" w:type="dxa"/>
              <w:left w:w="144" w:type="dxa"/>
              <w:bottom w:w="72" w:type="dxa"/>
              <w:right w:w="144" w:type="dxa"/>
            </w:tcMar>
            <w:vAlign w:val="center"/>
          </w:tcPr>
          <w:p w14:paraId="77C86611">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“十四五”实际值</w:t>
            </w:r>
          </w:p>
        </w:tc>
        <w:tc>
          <w:tcPr>
            <w:tcW w:w="0" w:type="auto"/>
            <w:vMerge w:val="continue"/>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48D58E98">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0" w:type="auto"/>
            <w:vMerge w:val="continue"/>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78893138">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620F1029">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1314</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7C8A50E1">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1409</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0FE97A7D">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1190</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626F9DC3">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978</w:t>
            </w:r>
          </w:p>
        </w:tc>
      </w:tr>
      <w:tr w14:paraId="268CEC39">
        <w:tblPrEx>
          <w:tblCellMar>
            <w:top w:w="0" w:type="dxa"/>
            <w:left w:w="0" w:type="dxa"/>
            <w:bottom w:w="0" w:type="dxa"/>
            <w:right w:w="0" w:type="dxa"/>
          </w:tblCellMar>
        </w:tblPrEx>
        <w:trPr>
          <w:trHeight w:val="23" w:hRule="atLeast"/>
        </w:trPr>
        <w:tc>
          <w:tcPr>
            <w:tcW w:w="0" w:type="auto"/>
            <w:gridSpan w:val="7"/>
            <w:tcBorders>
              <w:top w:val="single" w:color="5B9BD5" w:sz="8" w:space="0"/>
              <w:left w:val="single" w:color="5B9BD5" w:sz="8" w:space="0"/>
              <w:bottom w:val="single" w:color="5B9BD5" w:sz="8" w:space="0"/>
              <w:right w:val="single" w:color="5B9BD5" w:sz="8" w:space="0"/>
            </w:tcBorders>
            <w:shd w:val="clear" w:color="auto" w:fill="DEEBF7"/>
            <w:tcMar>
              <w:top w:w="72" w:type="dxa"/>
              <w:left w:w="144" w:type="dxa"/>
              <w:bottom w:w="72" w:type="dxa"/>
              <w:right w:w="144" w:type="dxa"/>
            </w:tcMar>
            <w:vAlign w:val="center"/>
          </w:tcPr>
          <w:p w14:paraId="0B081741">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二、二氧化碳排放强度（吨CO2/万元）</w:t>
            </w:r>
          </w:p>
        </w:tc>
      </w:tr>
      <w:tr w14:paraId="770C07B4">
        <w:tblPrEx>
          <w:tblCellMar>
            <w:top w:w="0" w:type="dxa"/>
            <w:left w:w="0" w:type="dxa"/>
            <w:bottom w:w="0" w:type="dxa"/>
            <w:right w:w="0" w:type="dxa"/>
          </w:tblCellMar>
        </w:tblPrEx>
        <w:trPr>
          <w:trHeight w:val="23" w:hRule="atLeast"/>
        </w:trPr>
        <w:tc>
          <w:tcPr>
            <w:tcW w:w="0" w:type="auto"/>
            <w:tcBorders>
              <w:top w:val="single" w:color="5B9BD5" w:sz="8" w:space="0"/>
              <w:left w:val="single" w:color="5B9BD5" w:sz="8" w:space="0"/>
              <w:bottom w:val="single" w:color="5B9BD5" w:sz="8" w:space="0"/>
              <w:right w:val="single" w:color="5B9BD5" w:sz="8" w:space="0"/>
            </w:tcBorders>
            <w:shd w:val="clear" w:color="auto" w:fill="DEEBF7"/>
            <w:tcMar>
              <w:top w:w="72" w:type="dxa"/>
              <w:left w:w="144" w:type="dxa"/>
              <w:bottom w:w="72" w:type="dxa"/>
              <w:right w:w="144" w:type="dxa"/>
            </w:tcMar>
            <w:vAlign w:val="center"/>
          </w:tcPr>
          <w:p w14:paraId="4F2C69BC">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“十四五”规划值</w:t>
            </w:r>
          </w:p>
        </w:tc>
        <w:tc>
          <w:tcPr>
            <w:tcW w:w="0" w:type="auto"/>
            <w:vMerge w:val="restart"/>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399DB323">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1.02</w:t>
            </w:r>
          </w:p>
        </w:tc>
        <w:tc>
          <w:tcPr>
            <w:tcW w:w="0" w:type="auto"/>
            <w:vMerge w:val="restart"/>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484EF523">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1.18</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618F1B3D">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1.22</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0C1C2699">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182FC2A0">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1.24</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1A0A9222">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w:t>
            </w:r>
          </w:p>
        </w:tc>
      </w:tr>
      <w:tr w14:paraId="4C6EE69C">
        <w:tblPrEx>
          <w:tblCellMar>
            <w:top w:w="0" w:type="dxa"/>
            <w:left w:w="0" w:type="dxa"/>
            <w:bottom w:w="0" w:type="dxa"/>
            <w:right w:w="0" w:type="dxa"/>
          </w:tblCellMar>
        </w:tblPrEx>
        <w:trPr>
          <w:trHeight w:val="23" w:hRule="atLeast"/>
        </w:trPr>
        <w:tc>
          <w:tcPr>
            <w:tcW w:w="0" w:type="auto"/>
            <w:tcBorders>
              <w:top w:val="single" w:color="5B9BD5" w:sz="8" w:space="0"/>
              <w:left w:val="single" w:color="5B9BD5" w:sz="8" w:space="0"/>
              <w:bottom w:val="single" w:color="5B9BD5" w:sz="8" w:space="0"/>
              <w:right w:val="single" w:color="5B9BD5" w:sz="8" w:space="0"/>
            </w:tcBorders>
            <w:shd w:val="clear" w:color="auto" w:fill="DEEBF7"/>
            <w:tcMar>
              <w:top w:w="72" w:type="dxa"/>
              <w:left w:w="144" w:type="dxa"/>
              <w:bottom w:w="72" w:type="dxa"/>
              <w:right w:w="144" w:type="dxa"/>
            </w:tcMar>
            <w:vAlign w:val="center"/>
          </w:tcPr>
          <w:p w14:paraId="0F161670">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“十四五”实际值</w:t>
            </w:r>
          </w:p>
        </w:tc>
        <w:tc>
          <w:tcPr>
            <w:tcW w:w="0" w:type="auto"/>
            <w:vMerge w:val="continue"/>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4A51F3DC">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0" w:type="auto"/>
            <w:vMerge w:val="continue"/>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7C59AA11">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37E33045">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1.23</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00CE4306">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2994C7E3">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1.45</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36D43912">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w:t>
            </w:r>
          </w:p>
        </w:tc>
      </w:tr>
      <w:tr w14:paraId="046343D4">
        <w:tblPrEx>
          <w:tblCellMar>
            <w:top w:w="0" w:type="dxa"/>
            <w:left w:w="0" w:type="dxa"/>
            <w:bottom w:w="0" w:type="dxa"/>
            <w:right w:w="0" w:type="dxa"/>
          </w:tblCellMar>
        </w:tblPrEx>
        <w:trPr>
          <w:trHeight w:val="23" w:hRule="atLeast"/>
        </w:trPr>
        <w:tc>
          <w:tcPr>
            <w:tcW w:w="0" w:type="auto"/>
            <w:tcBorders>
              <w:top w:val="single" w:color="5B9BD5" w:sz="8" w:space="0"/>
              <w:left w:val="single" w:color="5B9BD5" w:sz="8" w:space="0"/>
              <w:bottom w:val="single" w:color="5B9BD5" w:sz="8" w:space="0"/>
              <w:right w:val="single" w:color="5B9BD5" w:sz="8" w:space="0"/>
            </w:tcBorders>
            <w:shd w:val="clear" w:color="auto" w:fill="DEEBF7"/>
            <w:tcMar>
              <w:top w:w="72" w:type="dxa"/>
              <w:left w:w="144" w:type="dxa"/>
              <w:bottom w:w="72" w:type="dxa"/>
              <w:right w:w="144" w:type="dxa"/>
            </w:tcMar>
            <w:vAlign w:val="center"/>
          </w:tcPr>
          <w:p w14:paraId="5BAD1C07">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HSE目标值</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0ED1BECA">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0957177F">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779B559B">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同比下降&gt;4%</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16A3EB3B">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&lt;1.192</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4D11EA8B">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&lt;1.14</w:t>
            </w:r>
          </w:p>
        </w:tc>
        <w:tc>
          <w:tcPr>
            <w:tcW w:w="0" w:type="auto"/>
            <w:tcBorders>
              <w:top w:val="single" w:color="5B9BD5" w:sz="8" w:space="0"/>
              <w:left w:val="single" w:color="5B9BD5" w:sz="8" w:space="0"/>
              <w:bottom w:val="single" w:color="5B9BD5" w:sz="8" w:space="0"/>
              <w:right w:val="single" w:color="5B9BD5" w:sz="8" w:space="0"/>
            </w:tcBorders>
            <w:shd w:val="clear" w:color="auto" w:fill="FFFFFF"/>
            <w:tcMar>
              <w:top w:w="72" w:type="dxa"/>
              <w:left w:w="144" w:type="dxa"/>
              <w:bottom w:w="72" w:type="dxa"/>
              <w:right w:w="144" w:type="dxa"/>
            </w:tcMar>
            <w:vAlign w:val="center"/>
          </w:tcPr>
          <w:p w14:paraId="541E6096">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&lt;1.77</w:t>
            </w:r>
          </w:p>
        </w:tc>
      </w:tr>
    </w:tbl>
    <w:p w14:paraId="16D0381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1912351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24ABCC4C">
      <w:pPr>
        <w:widowControl/>
        <w:spacing w:line="56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2.4.2 2025年指标完成情况原因分析</w:t>
      </w:r>
    </w:p>
    <w:p w14:paraId="2ECDF5E7">
      <w:pPr>
        <w:widowControl/>
        <w:spacing w:line="560" w:lineRule="exact"/>
        <w:ind w:firstLine="560" w:firstLineChars="200"/>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val="en-US" w:eastAsia="zh-CN" w:bidi="ar"/>
          <w14:textFill>
            <w14:solidFill>
              <w14:schemeClr w14:val="tx1"/>
            </w14:solidFill>
          </w14:textFill>
        </w:rPr>
        <w:t>由于“十四五”规划按东营基地满产预计，且建议的节能降碳项目暂未落实，因此预计2025年二氧化碳排放指标不及规划预期，但仍在HSE目标值范围内。</w:t>
      </w:r>
    </w:p>
    <w:p w14:paraId="56CA2549">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 存量项目影响</w:t>
      </w:r>
    </w:p>
    <w:p w14:paraId="3750CF7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存量项目对2025年碳排放强度的影响主要体现在部分企业的停产状态以及低碳规划的假设偏差上。</w:t>
      </w:r>
    </w:p>
    <w:p w14:paraId="325B032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华星石化、正和石化、昌邑石化、大庆石化等企业，2025年处于停产或低负荷状态，导致无二氧化碳排放数据。低碳规划未充分考虑这些企业停产或低负荷的情况，导致整体二氧化碳排放预测值偏高。这些企业的停产导致实际碳排放量低于预计，但规划中未作调整，造成实际排放强度高于目标。</w:t>
      </w:r>
    </w:p>
    <w:p w14:paraId="521B822A">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泉州基地根据100%满产进行碳排放预测，但实际生产并未满负荷运行。碳排放预测未考虑到生产波动与实际产能的差异。实际排放强度未达到预计目标，可能导致碳排放低于预期。</w:t>
      </w:r>
    </w:p>
    <w:p w14:paraId="231325B8">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 增量项目影响</w:t>
      </w:r>
    </w:p>
    <w:p w14:paraId="44CBF01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增量项目未能落地对碳排放强度的影响较为显著。具体项目如下：</w:t>
      </w:r>
    </w:p>
    <w:p w14:paraId="4AF666EB">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30万吨合成氨项目：该项目未按计划落地。合成氨项目的预期未能投产，因此原本预期的碳排放未能产生。乙烯扩能项目</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同样未能按计划落地。</w:t>
      </w:r>
    </w:p>
    <w:p w14:paraId="4F92464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3. 测算方法问题</w:t>
      </w:r>
    </w:p>
    <w:p w14:paraId="4EE9B6C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测算方法的不同导致产值和排放强度的预测存在偏差，具体问题如下：2020年不变价体系的使用不变价体系价格计算，</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与</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泉州基地</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利用价格系数测算的计算方式不同，</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导致产值数据偏差，从而影响排放强度计算的准确性。</w:t>
      </w:r>
    </w:p>
    <w:p w14:paraId="0CEFA64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4. 年度执行过程中生产调整</w:t>
      </w:r>
    </w:p>
    <w:p w14:paraId="710C136E">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正和石化、昌邑石化、华星石化等企业的生产调整：2024年这些企业因生产调整而停产或减产，导致能耗和碳排放低于预期。由于生产调整，未能满足既定的能耗强度与碳排放强度要求。生产停滞和检修导致全年整体碳排放低于预期，但强度数据仍未做出调整。</w:t>
      </w:r>
    </w:p>
    <w:p w14:paraId="587B8A6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3C312D8A">
      <w:pPr>
        <w:widowControl/>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表2-</w:t>
      </w:r>
      <w:r>
        <w:rPr>
          <w:rFonts w:hint="eastAsia" w:ascii="Times New Roman Regular" w:hAnsi="Times New Roman Regular" w:eastAsia="黑体" w:cs="Times New Roman Regular"/>
          <w:color w:val="000000" w:themeColor="text1"/>
          <w:sz w:val="20"/>
          <w:szCs w:val="20"/>
          <w14:textFill>
            <w14:solidFill>
              <w14:schemeClr w14:val="tx1"/>
            </w14:solidFill>
          </w14:textFill>
        </w:rPr>
        <w:t>11</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2025年规划与预计情况对比</w:t>
      </w:r>
    </w:p>
    <w:tbl>
      <w:tblPr>
        <w:tblStyle w:val="16"/>
        <w:tblW w:w="8740" w:type="dxa"/>
        <w:tblInd w:w="0" w:type="dxa"/>
        <w:tblLayout w:type="autofit"/>
        <w:tblCellMar>
          <w:top w:w="0" w:type="dxa"/>
          <w:left w:w="0" w:type="dxa"/>
          <w:bottom w:w="0" w:type="dxa"/>
          <w:right w:w="0" w:type="dxa"/>
        </w:tblCellMar>
      </w:tblPr>
      <w:tblGrid>
        <w:gridCol w:w="982"/>
        <w:gridCol w:w="3929"/>
        <w:gridCol w:w="3829"/>
      </w:tblGrid>
      <w:tr w14:paraId="3B00F13B">
        <w:tblPrEx>
          <w:tblCellMar>
            <w:top w:w="0" w:type="dxa"/>
            <w:left w:w="0" w:type="dxa"/>
            <w:bottom w:w="0" w:type="dxa"/>
            <w:right w:w="0" w:type="dxa"/>
          </w:tblCellMar>
        </w:tblPrEx>
        <w:trPr>
          <w:trHeight w:val="460" w:hRule="atLeast"/>
        </w:trPr>
        <w:tc>
          <w:tcPr>
            <w:tcW w:w="982" w:type="dxa"/>
            <w:shd w:val="clear" w:color="auto" w:fill="5B9BD5"/>
            <w:tcMar>
              <w:top w:w="72" w:type="dxa"/>
              <w:left w:w="144" w:type="dxa"/>
              <w:bottom w:w="72" w:type="dxa"/>
              <w:right w:w="144" w:type="dxa"/>
            </w:tcMar>
            <w:vAlign w:val="center"/>
          </w:tcPr>
          <w:p w14:paraId="3FB74009">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项目</w:t>
            </w:r>
          </w:p>
        </w:tc>
        <w:tc>
          <w:tcPr>
            <w:tcW w:w="3929" w:type="dxa"/>
            <w:shd w:val="clear" w:color="auto" w:fill="5B9BD5"/>
            <w:tcMar>
              <w:top w:w="72" w:type="dxa"/>
              <w:left w:w="144" w:type="dxa"/>
              <w:bottom w:w="72" w:type="dxa"/>
              <w:right w:w="144" w:type="dxa"/>
            </w:tcMar>
            <w:vAlign w:val="center"/>
          </w:tcPr>
          <w:p w14:paraId="28B4AA40">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2025年规划情况</w:t>
            </w:r>
          </w:p>
        </w:tc>
        <w:tc>
          <w:tcPr>
            <w:tcW w:w="3829" w:type="dxa"/>
            <w:shd w:val="clear" w:color="auto" w:fill="5B9BD5"/>
            <w:tcMar>
              <w:top w:w="72" w:type="dxa"/>
              <w:left w:w="144" w:type="dxa"/>
              <w:bottom w:w="72" w:type="dxa"/>
              <w:right w:w="144" w:type="dxa"/>
            </w:tcMar>
            <w:vAlign w:val="center"/>
          </w:tcPr>
          <w:p w14:paraId="0486384E">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2025年预计情况</w:t>
            </w:r>
          </w:p>
        </w:tc>
      </w:tr>
      <w:tr w14:paraId="57E4DDED">
        <w:tblPrEx>
          <w:tblCellMar>
            <w:top w:w="0" w:type="dxa"/>
            <w:left w:w="0" w:type="dxa"/>
            <w:bottom w:w="0" w:type="dxa"/>
            <w:right w:w="0" w:type="dxa"/>
          </w:tblCellMar>
        </w:tblPrEx>
        <w:trPr>
          <w:trHeight w:val="2620" w:hRule="atLeast"/>
        </w:trPr>
        <w:tc>
          <w:tcPr>
            <w:tcW w:w="982" w:type="dxa"/>
            <w:shd w:val="clear" w:color="auto" w:fill="FFFFFF"/>
            <w:tcMar>
              <w:top w:w="72" w:type="dxa"/>
              <w:left w:w="144" w:type="dxa"/>
              <w:bottom w:w="72" w:type="dxa"/>
              <w:right w:w="144" w:type="dxa"/>
            </w:tcMar>
            <w:vAlign w:val="center"/>
          </w:tcPr>
          <w:p w14:paraId="6944F5B6">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规划项目</w:t>
            </w:r>
          </w:p>
        </w:tc>
        <w:tc>
          <w:tcPr>
            <w:tcW w:w="3929" w:type="dxa"/>
            <w:shd w:val="clear" w:color="auto" w:fill="FFFFFF"/>
            <w:tcMar>
              <w:top w:w="72" w:type="dxa"/>
              <w:left w:w="144" w:type="dxa"/>
              <w:bottom w:w="72" w:type="dxa"/>
              <w:right w:w="144" w:type="dxa"/>
            </w:tcMar>
            <w:vAlign w:val="center"/>
          </w:tcPr>
          <w:p w14:paraId="7E606249">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泉州：1500万吨/年原油加工量、130万吨/年乙烯、80万吨/年PX及下游化工装置、26万吨/年丙烯腈及30万吨/年合成氨、2x310+3x480吨/小时锅炉及配套机组</w:t>
            </w:r>
          </w:p>
          <w:p w14:paraId="41D6BDB0">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东营：1200万吨/年炼油</w:t>
            </w:r>
          </w:p>
          <w:p w14:paraId="3315BFCE">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3829" w:type="dxa"/>
            <w:shd w:val="clear" w:color="auto" w:fill="FFFFFF"/>
            <w:tcMar>
              <w:top w:w="72" w:type="dxa"/>
              <w:left w:w="144" w:type="dxa"/>
              <w:bottom w:w="72" w:type="dxa"/>
              <w:right w:w="144" w:type="dxa"/>
            </w:tcMar>
            <w:vAlign w:val="center"/>
          </w:tcPr>
          <w:p w14:paraId="3FCC2CEF">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泉州：原油加工非满负荷、100万吨/年乙烯，80万吨PX及下游化工装置，26万吨丙烯腈，2x310+3x480吨/小时锅炉及配套机组</w:t>
            </w:r>
          </w:p>
          <w:p w14:paraId="1F49A789">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东营基地：停产</w:t>
            </w:r>
          </w:p>
          <w:p w14:paraId="5D796D97">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214E5A40">
        <w:tblPrEx>
          <w:tblCellMar>
            <w:top w:w="0" w:type="dxa"/>
            <w:left w:w="0" w:type="dxa"/>
            <w:bottom w:w="0" w:type="dxa"/>
            <w:right w:w="0" w:type="dxa"/>
          </w:tblCellMar>
        </w:tblPrEx>
        <w:trPr>
          <w:trHeight w:val="2000" w:hRule="atLeast"/>
        </w:trPr>
        <w:tc>
          <w:tcPr>
            <w:tcW w:w="982" w:type="dxa"/>
            <w:shd w:val="clear" w:color="auto" w:fill="F2F2F2"/>
            <w:tcMar>
              <w:top w:w="72" w:type="dxa"/>
              <w:left w:w="144" w:type="dxa"/>
              <w:bottom w:w="72" w:type="dxa"/>
              <w:right w:w="144" w:type="dxa"/>
            </w:tcMar>
            <w:vAlign w:val="center"/>
          </w:tcPr>
          <w:p w14:paraId="58DD5305">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减排项目</w:t>
            </w:r>
          </w:p>
        </w:tc>
        <w:tc>
          <w:tcPr>
            <w:tcW w:w="3929" w:type="dxa"/>
            <w:shd w:val="clear" w:color="auto" w:fill="F2F2F2"/>
            <w:tcMar>
              <w:top w:w="72" w:type="dxa"/>
              <w:left w:w="144" w:type="dxa"/>
              <w:bottom w:w="72" w:type="dxa"/>
              <w:right w:w="144" w:type="dxa"/>
            </w:tcMar>
            <w:vAlign w:val="center"/>
          </w:tcPr>
          <w:p w14:paraId="6CABCD66">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节能减排项目：系统优化、智能化升级和节能措施/CFB锅炉抽凝改造/电能优化器应用/支撑碳减排的低生焦量催化裂化相关技术/ DMC工艺减排/泉州基地14.15MW分布式光伏项目/</w:t>
            </w:r>
          </w:p>
        </w:tc>
        <w:tc>
          <w:tcPr>
            <w:tcW w:w="3829" w:type="dxa"/>
            <w:shd w:val="clear" w:color="auto" w:fill="F2F2F2"/>
            <w:tcMar>
              <w:top w:w="72" w:type="dxa"/>
              <w:left w:w="144" w:type="dxa"/>
              <w:bottom w:w="72" w:type="dxa"/>
              <w:right w:w="144" w:type="dxa"/>
            </w:tcMar>
            <w:vAlign w:val="center"/>
          </w:tcPr>
          <w:p w14:paraId="2E9DF7F4">
            <w:pPr>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分布式光伏项目已投产，DMC二期暂停，能源低碳信息系统上线运行，其他节能降碳措施尚未落实。</w:t>
            </w:r>
          </w:p>
        </w:tc>
      </w:tr>
    </w:tbl>
    <w:p w14:paraId="1FA3F3C4">
      <w:pPr>
        <w:widowControl/>
        <w:spacing w:line="56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sectPr>
          <w:pgSz w:w="11906" w:h="16838"/>
          <w:pgMar w:top="1440" w:right="1800" w:bottom="1440" w:left="1800" w:header="851" w:footer="992" w:gutter="0"/>
          <w:pgNumType w:fmt="numberInDash"/>
          <w:cols w:space="425" w:num="1"/>
          <w:docGrid w:type="lines" w:linePitch="312" w:charSpace="0"/>
        </w:sectPr>
      </w:pPr>
    </w:p>
    <w:p w14:paraId="4F9E13FA">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3813FD3A">
      <w:pPr>
        <w:widowControl/>
        <w:spacing w:line="560" w:lineRule="exact"/>
        <w:outlineLvl w:val="0"/>
        <w:rPr>
          <w:rFonts w:ascii="Times New Roman Regular" w:hAnsi="Times New Roman Regular" w:eastAsia="方正公文小标宋" w:cs="Times New Roman Regular"/>
          <w:color w:val="000000" w:themeColor="text1"/>
          <w:sz w:val="28"/>
          <w:szCs w:val="28"/>
          <w:highlight w:val="yellow"/>
          <w14:textFill>
            <w14:solidFill>
              <w14:schemeClr w14:val="tx1"/>
            </w14:solidFill>
          </w14:textFill>
        </w:rPr>
      </w:pPr>
      <w:bookmarkStart w:id="78" w:name="_Toc1840005939"/>
      <w:bookmarkStart w:id="79" w:name="_Toc1986506824"/>
      <w:bookmarkStart w:id="80" w:name="_Toc1689750524"/>
      <w:bookmarkStart w:id="81" w:name="_Toc483152120"/>
      <w:bookmarkStart w:id="82" w:name="_Toc18431"/>
      <w:r>
        <w:rPr>
          <w:rFonts w:ascii="Times New Roman Regular" w:hAnsi="Times New Roman Regular" w:eastAsia="方正公文小标宋" w:cs="Times New Roman Regular"/>
          <w:color w:val="000000" w:themeColor="text1"/>
          <w:sz w:val="28"/>
          <w:szCs w:val="28"/>
          <w14:textFill>
            <w14:solidFill>
              <w14:schemeClr w14:val="tx1"/>
            </w14:solidFill>
          </w14:textFill>
        </w:rPr>
        <w:t>三、发展环境分析（2025</w:t>
      </w:r>
      <w:r>
        <w:rPr>
          <w:rFonts w:hint="eastAsia" w:ascii="Times New Roman Regular" w:hAnsi="Times New Roman Regular" w:eastAsia="方正公文小标宋" w:cs="Times New Roman Regular"/>
          <w:color w:val="000000" w:themeColor="text1"/>
          <w:sz w:val="28"/>
          <w:szCs w:val="28"/>
          <w14:textFill>
            <w14:solidFill>
              <w14:schemeClr w14:val="tx1"/>
            </w14:solidFill>
          </w14:textFill>
        </w:rPr>
        <w:t>—</w:t>
      </w:r>
      <w:r>
        <w:rPr>
          <w:rFonts w:ascii="Times New Roman Regular" w:hAnsi="Times New Roman Regular" w:eastAsia="方正公文小标宋" w:cs="Times New Roman Regular"/>
          <w:color w:val="000000" w:themeColor="text1"/>
          <w:sz w:val="28"/>
          <w:szCs w:val="28"/>
          <w14:textFill>
            <w14:solidFill>
              <w14:schemeClr w14:val="tx1"/>
            </w14:solidFill>
          </w14:textFill>
        </w:rPr>
        <w:t>2030年）</w:t>
      </w:r>
      <w:bookmarkEnd w:id="78"/>
      <w:bookmarkEnd w:id="79"/>
      <w:bookmarkEnd w:id="80"/>
      <w:bookmarkEnd w:id="81"/>
      <w:bookmarkEnd w:id="82"/>
    </w:p>
    <w:p w14:paraId="5A7320C4">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83" w:name="_Toc291931059"/>
      <w:bookmarkStart w:id="84" w:name="_Toc1313308940"/>
      <w:bookmarkStart w:id="85" w:name="_Toc702011533"/>
      <w:bookmarkStart w:id="86" w:name="_Toc22143"/>
      <w:bookmarkStart w:id="87" w:name="_Toc1215299973"/>
      <w:r>
        <w:rPr>
          <w:rFonts w:ascii="Times New Roman Regular" w:hAnsi="Times New Roman Regular" w:eastAsia="黑体" w:cs="Times New Roman Regular"/>
          <w:color w:val="000000" w:themeColor="text1"/>
          <w:sz w:val="28"/>
          <w:szCs w:val="28"/>
          <w14:textFill>
            <w14:solidFill>
              <w14:schemeClr w14:val="tx1"/>
            </w14:solidFill>
          </w14:textFill>
        </w:rPr>
        <w:t>3.1 国内“双碳</w:t>
      </w:r>
      <w:r>
        <w:rPr>
          <w:rFonts w:hint="eastAsia" w:ascii="Times New Roman Regular" w:hAnsi="Times New Roman Regular" w:eastAsia="黑体" w:cs="Times New Roman Regular"/>
          <w:color w:val="000000" w:themeColor="text1"/>
          <w:sz w:val="28"/>
          <w:szCs w:val="28"/>
          <w14:textFill>
            <w14:solidFill>
              <w14:schemeClr w14:val="tx1"/>
            </w14:solidFill>
          </w14:textFill>
        </w:rPr>
        <w:t>”“</w:t>
      </w:r>
      <w:r>
        <w:rPr>
          <w:rFonts w:ascii="Times New Roman Regular" w:hAnsi="Times New Roman Regular" w:eastAsia="黑体" w:cs="Times New Roman Regular"/>
          <w:color w:val="000000" w:themeColor="text1"/>
          <w:sz w:val="28"/>
          <w:szCs w:val="28"/>
          <w14:textFill>
            <w14:solidFill>
              <w14:schemeClr w14:val="tx1"/>
            </w14:solidFill>
          </w14:textFill>
        </w:rPr>
        <w:t>两高”等政策要求</w:t>
      </w:r>
      <w:r>
        <w:rPr>
          <w:rFonts w:ascii="Times New Roman Regular" w:hAnsi="Times New Roman Regular" w:eastAsia="黑体" w:cs="Times New Roman Regular"/>
          <w:color w:val="000000" w:themeColor="text1"/>
          <w:sz w:val="28"/>
          <w:szCs w:val="28"/>
          <w:lang w:bidi="ar"/>
          <w14:textFill>
            <w14:solidFill>
              <w14:schemeClr w14:val="tx1"/>
            </w14:solidFill>
          </w14:textFill>
        </w:rPr>
        <w:t>对公司低碳发展的影响</w:t>
      </w:r>
      <w:bookmarkEnd w:id="83"/>
      <w:bookmarkEnd w:id="84"/>
      <w:bookmarkEnd w:id="85"/>
      <w:bookmarkEnd w:id="86"/>
      <w:bookmarkEnd w:id="87"/>
    </w:p>
    <w:p w14:paraId="5B44D43C">
      <w:pPr>
        <w:widowControl/>
        <w:numPr>
          <w:ilvl w:val="255"/>
          <w:numId w:val="0"/>
        </w:numPr>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3.1.1 “双碳”目标明确，将对企业产生降碳减排压力</w:t>
      </w:r>
    </w:p>
    <w:p w14:paraId="603A7152">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在总体政策体系构建层面，我国“双碳”目标的推进已形成“1+N”的政策体系，从顶层设计到行业实践全面强化对企业的降碳约束。2020年9月，习近平主席在第75届联合国大会上明确宣示“2030年前实现碳达峰、2060年前实现碳中和”的目标，标志着生态文明建设进入以降碳为核心战略方向的新阶段。这一目标通过2021年10月中共中央、国务院印发的《关于完整准确全面贯彻新发展理念做好碳达峰碳中和工作的意见》体现，是为“1+N”政策体系中的“1”，覆盖碳达峰、碳中和两个阶段，是管总体、管长远的顶层设计。2021年10月国务院印发的《2030年前碳达峰行动方案》，作为“N”政策中的首要文件，明确聚焦2030年前碳达峰目标，将相关指标和任务进一步细化、实化、具体化，要求石油化工等重点行业严控产能规模、推动原料轻质化转型。</w:t>
      </w:r>
    </w:p>
    <w:p w14:paraId="5B475682">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从国际环境看，全球绿色低碳转型趋势深度重塑产业规则。据测算，为实现《巴黎协定》气候目标，2020</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2050年全球能源投资需累计达215万亿美元，主要经济体正加速布局可再生能源、氢能等产业，并通过碳边境调节机制（CBAM）等规则抢占标准主导权。欧盟要求进口产品承担碳成本的政策将于2026年全面实施，直接倒逼国内石化企业提升碳效竞争力。</w:t>
      </w:r>
    </w:p>
    <w:p w14:paraId="3EA67A3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国内环境方面，绿色化已成为高质量发展的核心引擎。新能源汽车、新能源装备等产业规模持续扩张，2023年光伏组件产量占全球比重超过80%。传统产业绿色低碳改造潜力巨大，大规模设备更新持续推进，转型升级效果逐步显现。消费品以旧换新政策加力实施，绿色消费活力得到释放，消费者的节约意识、生态意识、环保意识不断增强。产业升级与消费转型的协同效应为绿色科技创新和产业发展提供了坚实基础。</w:t>
      </w:r>
    </w:p>
    <w:p w14:paraId="0D2886D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这一系列政策与</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国际国内形势</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的叠加，使石油化工企业面临多维压力：短期需应对落后产能淘汰与碳配额履约成本，中期须完成生产工艺革新与能源结构转型，长期则需构建覆盖全供应链的碳管理体系以参与全球竞争。企业若无法在绿色低碳技术创新与模式转型上取得突破，将面临市场份额萎缩与成本优势丧失的双重风险。</w:t>
      </w:r>
    </w:p>
    <w:p w14:paraId="5EB0E00B">
      <w:pPr>
        <w:widowControl/>
        <w:numPr>
          <w:ilvl w:val="255"/>
          <w:numId w:val="0"/>
        </w:numPr>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3.1.2 “能耗”双控逐渐向“碳排放”双控转变，碳排放指标的约束力进一步提升</w:t>
      </w:r>
    </w:p>
    <w:p w14:paraId="23AE89CB">
      <w:pPr>
        <w:widowControl/>
        <w:numPr>
          <w:ilvl w:val="255"/>
          <w:numId w:val="0"/>
        </w:numPr>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2023年修订的《固定资产投资项目节能审查办法》要求将“碳排放评价”纳入项目审批环节，未通过评价的项目不得开工建设。与此配套，2024年7月30日，国务院办公厅印发《加快构建碳排放双控制度体系工作方案》的通知，工作方案中明确“十五五”时期，实施以总量控制为主、强度控制为辅的碳排放双控制度，并建立碳达峰碳中和综合评价考核制度；碳达峰后，实施以强度控制为主、总量控制为辅的碳排放双控制度，建立碳中和目标评价考核制度。这些政策强化了碳排放约束机制，并与碳达峰碳中和综合评价考核制度形成政策闭环，推动碳控制度从宏观目标向具体执行层面落地。</w:t>
      </w:r>
    </w:p>
    <w:p w14:paraId="6B452838">
      <w:pPr>
        <w:widowControl/>
        <w:numPr>
          <w:ilvl w:val="255"/>
          <w:numId w:val="0"/>
        </w:numPr>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能耗“双控”转向碳排放“双控”是循序渐进的过程，《关于进一步做好新增可再生能源消费不纳入能源消费总量控制有关工作的通知》和《关于进一步做好原料用能不纳入能源消费总量控制有关工作的通知》，明确了新增可再生能源和原料用能消费不纳入能源消费总量控制。以上文件的发布一定程度上解决了能耗“双控”与碳达峰碳中和目标的衔接问题，标志着我国碳约束机制向精细化、科学化管理的升级。</w:t>
      </w:r>
    </w:p>
    <w:p w14:paraId="7EB048A3">
      <w:pPr>
        <w:widowControl/>
        <w:numPr>
          <w:ilvl w:val="255"/>
          <w:numId w:val="0"/>
        </w:numPr>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石油化工行业的原料用能占比普遍较高，传统能耗“双控”政策曾对企业扩大产能形成制约。根据新政策，原油、天然气等作为原料（非燃料）的能源消耗不再纳入总量控制，直接减轻了石化企业在合规方面的压力。此外，原料用能扣减政策增加了企业在产量和产能配置上的灵活性，有助于石化企业推动原料轻质化发展。另一方面，根据新增可再生能源消费不纳入能耗总量控制的规定，石化企业可加速布局可再生能源项目（如绿氢等），既实现原料用能扣减，又降低工艺碳排放，进一步满足了石油化工企业使用原油、天然气作为原料用能的刚性需求和可再生能源的开发利用需求。</w:t>
      </w:r>
    </w:p>
    <w:p w14:paraId="1B223B99">
      <w:pPr>
        <w:widowControl/>
        <w:numPr>
          <w:ilvl w:val="255"/>
          <w:numId w:val="0"/>
        </w:numPr>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3.1.3 石油化工行业节能降碳工作明确</w:t>
      </w:r>
    </w:p>
    <w:p w14:paraId="4E9BD0E0">
      <w:pPr>
        <w:widowControl/>
        <w:numPr>
          <w:ilvl w:val="255"/>
          <w:numId w:val="0"/>
        </w:numPr>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我国针对石油化工行业节能降碳工作已形成系统性政策框架，以《炼油行业节能降碳专项行动计划》和《石化化工重点行业严格能效约束推动节能降碳行动方案》为核心，通过能效提升、技术革新到政策保障等多维度措施，推动行业绿色低碳转型。</w:t>
      </w:r>
    </w:p>
    <w:p w14:paraId="398C9CC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能效提升方面，政策明确要求新建和改扩建项目须达到能效标杆水平及环保绩效A级标准；炼油行业淘汰能效基准水平以下产能，全面淘汰200万吨/年及以下的常减压装置；化工行业需淘汰单套30万吨/年及以下乙烯装置。能效提升目标进一步细化，炼油领域单位能量因数能耗标杆水平设定为7.5千克标准油/吨·因数，乙烯领域单位产品能耗标杆水平降至590千克标准油/吨，通过能效分级管理倒逼企业技术改造。到2025年，能效标杆水平的产能比例超过30%，主要用能设备能效基本达到先进水平；行业整体能效水平显著提升，碳排放强度明显下降，绿色低碳发展能力增强。到2030年，行业能效标杆产能占比持续提升，能源资源利用效率达到国际先进水平。</w:t>
      </w:r>
    </w:p>
    <w:p w14:paraId="0445F8A6">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技术路径与产业转型层面，政策聚焦工艺优化与清洁能源替代。推广优化炼油核心工艺的换热网络集成，实施蒸汽动力系统智能化调节；推广氢气精细化管理技术，提高氢气利用效率。加快淘汰落后设备，强制要求新建项目主要用能设备达到能效先进水平。提升企业电气化水平，推动蒸汽驱动向电力驱动转型，新建项目原则上不再新增自备燃煤机组；逐步提高绿氢在炼油工艺中的使用比例，鼓励使用绿电、绿氢供汽供热，同时探索核电供热/供电示范应用。推进炼化一体化、煤化电热一体化发展，引导企业向化工园区集聚，降低物流能耗；推动炼油与钢铁、新能源等行业协同发展，实现能源梯级利用；探索废塑料、废弃油脂等与原油耦合加工，促进资源循环利用。建立数字化能源管理中心，构建覆盖电力、蒸汽、氢气等能源资源的智能管理平台；推进用能数据与碳排放数据的协同管理，加快智能化炼厂建设。</w:t>
      </w:r>
    </w:p>
    <w:p w14:paraId="60BBA6EE">
      <w:pPr>
        <w:widowControl/>
        <w:numPr>
          <w:ilvl w:val="255"/>
          <w:numId w:val="0"/>
        </w:numPr>
        <w:spacing w:line="560" w:lineRule="exact"/>
        <w:ind w:firstLine="56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政策保障机制通过“激励+约束”双轨制落地。正向激励通过财政补贴、税收优惠、绿色金融工具支持企业技改，对落后产能实施差别化电价等约束措施。技术标准方面，制定炼油行业能效标杆和基准水平标准，发布《炼油行业节能降碳先进技术汇编》指导技术应用。监管宣传方面，建立能耗与碳排放监测评价体系，实施工业专项节能监察，强化违规项目查处、强化政策宣传引导等。</w:t>
      </w:r>
    </w:p>
    <w:p w14:paraId="0E097C77">
      <w:pPr>
        <w:widowControl/>
        <w:numPr>
          <w:ilvl w:val="255"/>
          <w:numId w:val="0"/>
        </w:numPr>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3.1.4 碳市场扩容信号或将传递至石化企业成本端</w:t>
      </w:r>
    </w:p>
    <w:p w14:paraId="7307DF7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企业层级边界的碳排放将受到国家碳市场机制完善扩容的影响，对于处于不同低碳绩效水平的石油化工企业将产生截然不同的影响。</w:t>
      </w:r>
    </w:p>
    <w:p w14:paraId="3B7D626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我国已完善碳定价政策的顶层设计，并通过碳市场交易制度不断收紧企业层级碳排放配额约束，目前已明确积极稳妥有序将水泥、钢铁、电解铝行业纳入全国碳排放权交易市场覆盖范围，并计划“十五五”时期逐渐扩容至石化、化工等重点领域。石化行业作为高耗能、高排放的典型代表，其炼油、乙烯等核心环节的碳排放将被纳入配额管理，碳排放成本显性化将直接传导至企业经营端。</w:t>
      </w:r>
    </w:p>
    <w:p w14:paraId="6D985155">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碳市场扩容的本质是通过市场化机制将碳排放外部性内部化，驱动石油化工行业从“被动合规”转向“主动创效”。在碳市场扩容过程中，将加剧行业内部“低碳溢价”与“高碳惩罚”的分化；具备低碳技术储备与碳管理能力的企业将赢得成本优势与市场份额，而高碳排放锁定企业可能面临产能出清风险，行业格局加速重构。</w:t>
      </w:r>
    </w:p>
    <w:p w14:paraId="48159105">
      <w:pPr>
        <w:widowControl/>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3.1.5 产品碳足迹竞争将从产业链传递</w:t>
      </w:r>
    </w:p>
    <w:p w14:paraId="4F332C09">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碳足迹是</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“双碳”</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战略的重要抓手，也是企业实现</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“双碳”</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战略的重要核算指标，对我国碳达峰碳中和目标的实现有着重要意义。</w:t>
      </w:r>
    </w:p>
    <w:p w14:paraId="2798A7E6">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7月30日，国务院办公厅印发的《加快构建碳排放双控制度体系工作方案》的通知中明确提出加快制定产品碳足迹核算规则标准，其中提出需要聚焦燃油、乙烯、合成醇等重点产品，并提出要加强碳足迹背景数据库建设和产品碳标识认证制度建设。</w:t>
      </w:r>
    </w:p>
    <w:p w14:paraId="426EB4F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针对出口型企业，近年欧盟发布《碳边境调节机制法案（CBAM）》，又称“碳边境税”或“碳关税”，是欧盟对进入欧盟的碳密集型商品在生产过程中所嵌入的碳排放进行定价调整的工具。目前CBAM的适用范围为电力、水泥、化肥、钢铁、铝和氢六个行业的相关产品，将影响第三国出口商和经营者，需满足碳排放和碳足迹的披露或阈值要求；欧盟委员会税务与海关同盟总司明确表示，2025 年底前将评估要扩大的 CBAM 范围，其中有机化学品、聚合物及炼油等化工行业作为存在碳泄露可能的产品有望被纳入CBAM 中</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w:t>
      </w:r>
    </w:p>
    <w:p w14:paraId="1DEED97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针对中央企业，国资委《关于加快建立产品碳足迹管理体系》中明确要求央企率先构建供应链碳足迹管理体系，率先开展碳足迹核算评价、认证和推广工作。</w:t>
      </w:r>
    </w:p>
    <w:p w14:paraId="674902B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石油化工行业碳足迹核算与评价可帮助摸清行业碳排放现状，整体认识企业碳排放水平，对于石化行业整体节能减排具有重要指导作用。一方面，企业通过全生命周期分析发现，将产品层级碳排放按照供应链上下游进行拆分，以便于企业精准识别高排放环节，并有的放矢地针对高排放环节进行节能减排改造。另一方面，碳足迹碳标识认证助力产品差异化竞争。随着碳排放管理向产品全生命周期延伸，绿色低碳供应链的要求愈加凸显，石化企业将越来越感受到</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来自</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其下游客户的绿色采购压力。特别是在出口市场，碳足迹管理良好的企业将在欧盟等市场获得竞争优势和溢价空间。因此，碳足迹管理正成为石化企业推动技术升级和拓展市场的重要抓手。</w:t>
      </w:r>
    </w:p>
    <w:p w14:paraId="76FE4C59">
      <w:pPr>
        <w:widowControl/>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3.1.6 工业领域重点节能低碳指标和任务基本明确</w:t>
      </w:r>
    </w:p>
    <w:p w14:paraId="376FB38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工业领域碳达峰行动是《2030年前碳达峰行动方案》的十大行动之一，明确了工业领域碳达峰的重点行业、主要环节和关键问题，指出要重点处理好发展和减排、整体和局部、短期和中长期的关系，政府和市场两手发力，确保工业领域二氧化碳排放在2030年前顺利达峰，并提出了六大重点任务。</w:t>
      </w:r>
    </w:p>
    <w:p w14:paraId="0FADD20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在深度调整产业结构方面，国家政策明确了工业重点领域能耗标杆水平和基准水平值，明确技术改造或淘汰退出的阈值，并针对</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炼油</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 xml:space="preserve">的能效限额标准进行了整合，明确了相关计算依据。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国家发展改革委</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等部门发布</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的</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《工业重点领域能效标杆水平和基准水平（2023年版）》</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明确石油化工行业炼油单位能量因数综合能耗基准水平为8.5千克标油/吨·能量因数、标杆水平为7.5千克标油/吨·能量因数，乙烯、石脑油烃类单位产品能耗基准水平为640千克标油/吨、标杆水平为590千克标油/吨，对二甲苯单位产品能耗基准水平为550千克标油/吨、标杆水平为380千克标油/吨。与之相比，2024年5月1日实施的《GB 30251-2024 炼化行业单位产品能源消耗限额》国家标准中对石化行业的能耗限额做出了更高的要求，炼油、乙烯与对二甲苯的1级能耗限额分别规定为6.85千克标油/吨·能量因数、580千克标油/吨与370千克标油/吨。</w:t>
      </w:r>
    </w:p>
    <w:p w14:paraId="56634128">
      <w:pPr>
        <w:widowControl/>
        <w:spacing w:line="560" w:lineRule="exact"/>
        <w:ind w:firstLine="56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以上政策文件的出台，表明国家在工业领域节能降碳的政策框架和指标体系已基本形成，石化重点产品的能耗标准不断提高，显示出政策对工业节能低碳转型的推动力度进一步加大，也预示着未来产业结构和技术路径将持续向高效、低碳方向加速调整。</w:t>
      </w:r>
    </w:p>
    <w:p w14:paraId="4E95252C">
      <w:pPr>
        <w:widowControl/>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3.1.7 绿色电力政策衔接为企业低碳绿色转型提供了可靠工具</w:t>
      </w:r>
    </w:p>
    <w:p w14:paraId="28E42355">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2024年1月，国家发展改革委、国家统计局、国家能源局印发《关于加强绿色电力证书与节能降碳政策衔接大力促进非化石能源消费的通知》，通知中提出要不断拓展绿证的应用场景，完善绿证与碳核算和碳市场管理衔接机制，加强绿证对产品碳足迹管理支撑保障。</w:t>
      </w:r>
    </w:p>
    <w:p w14:paraId="5A9D4CA7">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2024年8月，国家能源局综合司、生态环境部办公厅印发《关于做好可再生能源绿色电力证书与自愿减排市场衔接工作的通知》，通知中明确避免可再生能源发电项目从绿证和CCER重复获益。同月，国家能源局正式发布《可再生能源绿色电力证书核发和交易规则》（以下简称《规则》），明确了绿证作为可再生能源电量环境属性的唯一凭证地位，覆盖风电、光伏、生物质发电等全品类可再生能源，标志着我国绿证管理体系迈入规范化、市场化新阶段。</w:t>
      </w:r>
    </w:p>
    <w:p w14:paraId="3AD14611">
      <w:pPr>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现阶段，北京和上海碳市场已发布绿电抵销碳排放的政策，明确仅允许绿电抵销，在碳排放核算时绿电核算碳排为0；天津、湖北碳市场允许企业购买使用“绿电</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绿证”进行碳抵销。全国碳市场2023年发布的《关于做好2023—2025年部分重点行业企业温室气体排放报告与核查工作的通知》明确：“在核算企业层级净购入电量或设施层级消耗电量对应的排放量时，直供重点行业企业使用且未并入市政电网、企业自发自用（包括并网不上网和余电上网的情况）的非化石能源电量对应的排放量按0计算，重点行业企业应提供相关证明材料”。</w:t>
      </w:r>
    </w:p>
    <w:p w14:paraId="23F3A727">
      <w:pPr>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然而绿证环境属性双重计量的风险仍然存在，这一风险预计将在中国绿证与国际绿证和碳市场环境属性的衔接、监管机制进一步加强后得到改善。</w:t>
      </w:r>
    </w:p>
    <w:p w14:paraId="08CA09B7">
      <w:pPr>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3.1.8 推进“两高”行业减污降碳协同控制，碳排放影响评价已纳入环境影响评价体系</w:t>
      </w:r>
    </w:p>
    <w:p w14:paraId="70ACCAE6">
      <w:pPr>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我国“两高”（高耗能、高排放）行业减污降碳协同控制体系已通过《关于加强高耗能、高排放建设项目生态环境源头防控的指导意见》构建起系统性政策框架，重点围绕提升清洁生产和污染防治水平、将碳排放影响评价纳入环境影响评价体系两方面推进。</w:t>
      </w:r>
    </w:p>
    <w:p w14:paraId="759992C1">
      <w:pPr>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指导意见》在提升清洁生产和污染防治水平方面规定，新建、扩建“两高”项目应采用先进适用的工艺技术和装备，单位产品物耗、能耗、水耗等达到清洁生产先进水平，依法制定并严格落实防治土壤与地下水污染的措施。国家或地方已出台超低排放要求的“两高”行业建设项目应满足超低排放要求。鼓励使用清洁燃料，重点区域建设项目原则上不新建燃煤自备锅炉。大宗物料优先采用铁路、管道或水路运输，短途接驳优先使用新能源车辆运输。</w:t>
      </w:r>
    </w:p>
    <w:p w14:paraId="0AFF4238">
      <w:pPr>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在将碳排放影响评价纳入环境影响评价体系方面，各级生态环境部门和行政审批部门应积极推进“两高”项目环评开展试点工作，衔接落实有关区域和行业碳达峰行动方案、清洁能源替代、清洁运输、煤炭消费总量控制等政策要求。在环评工作中，统筹开展污染物和碳排放的源项识别、源强核算、减污降碳措施可行性论证及方案比选，提出协同控制最优方案。鼓励有条件的地区、企业探索实施减污降碳协同治理和碳捕集、封存、综合利用工程试点、示范。</w:t>
      </w:r>
    </w:p>
    <w:p w14:paraId="35BA6DFF">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88" w:name="_Toc946430714"/>
      <w:bookmarkStart w:id="89" w:name="_Toc1632658865"/>
      <w:bookmarkStart w:id="90" w:name="_Toc829679594"/>
      <w:bookmarkStart w:id="91" w:name="_Toc22018"/>
      <w:bookmarkStart w:id="92" w:name="_Toc432678513"/>
      <w:r>
        <w:rPr>
          <w:rFonts w:ascii="Times New Roman Regular" w:hAnsi="Times New Roman Regular" w:eastAsia="黑体" w:cs="Times New Roman Regular"/>
          <w:color w:val="000000" w:themeColor="text1"/>
          <w:sz w:val="28"/>
          <w:szCs w:val="28"/>
          <w14:textFill>
            <w14:solidFill>
              <w14:schemeClr w14:val="tx1"/>
            </w14:solidFill>
          </w14:textFill>
        </w:rPr>
        <w:t>3.2 地方“双碳</w:t>
      </w:r>
      <w:r>
        <w:rPr>
          <w:rFonts w:hint="eastAsia" w:ascii="Times New Roman Regular" w:hAnsi="Times New Roman Regular" w:eastAsia="黑体" w:cs="Times New Roman Regular"/>
          <w:color w:val="000000" w:themeColor="text1"/>
          <w:sz w:val="28"/>
          <w:szCs w:val="28"/>
          <w14:textFill>
            <w14:solidFill>
              <w14:schemeClr w14:val="tx1"/>
            </w14:solidFill>
          </w14:textFill>
        </w:rPr>
        <w:t>”“</w:t>
      </w:r>
      <w:r>
        <w:rPr>
          <w:rFonts w:ascii="Times New Roman Regular" w:hAnsi="Times New Roman Regular" w:eastAsia="黑体" w:cs="Times New Roman Regular"/>
          <w:color w:val="000000" w:themeColor="text1"/>
          <w:sz w:val="28"/>
          <w:szCs w:val="28"/>
          <w14:textFill>
            <w14:solidFill>
              <w14:schemeClr w14:val="tx1"/>
            </w14:solidFill>
          </w14:textFill>
        </w:rPr>
        <w:t>两高”政策要求</w:t>
      </w:r>
      <w:bookmarkEnd w:id="88"/>
      <w:bookmarkEnd w:id="89"/>
      <w:bookmarkEnd w:id="90"/>
      <w:bookmarkEnd w:id="91"/>
      <w:bookmarkEnd w:id="92"/>
    </w:p>
    <w:p w14:paraId="1BCFBE7A">
      <w:pPr>
        <w:spacing w:before="156" w:beforeLines="50" w:after="156" w:afterLines="50"/>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3.2.1 福建泉州</w:t>
      </w:r>
    </w:p>
    <w:p w14:paraId="59A0555D">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泉惠石化工业区位于福建省泉州市惠安县，其所在的湄洲湾地区是福建省炼油化工的重要基地。目前，福建省及泉州市已出台一系列低碳发展相关政策以指导炼化产业的发展，具体包括中共福建省委、福建省人民政府《关于完整准确全面贯彻新发展理念做好碳达峰碳中和工作的实施意见》、福建省发展和改革委员会《关于福建省完善能源绿色低碳转型体制机制和政策措施的意见》、福建省人民政府《福建省加快建立健全绿色低碳循环发展经济体系实施方案</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福建省工业领域碳达峰实施方案》、泉州市发展和改革委员会《推动泉港、泉惠石化工业园区差异化与协同发展提升我市石化产业发展能级若干措施</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泉州市工业领域碳达峰行动方案》等。</w:t>
      </w:r>
    </w:p>
    <w:p w14:paraId="56A19144">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根据福建省及泉州市最新政策规划，石化工业领域需在2030年前实现碳排放达峰。到2060年，应全面实现碳中和目标，并确保能源利用效率达到国际先进水平，非化石能源消费占比达到80%以上。</w:t>
      </w:r>
    </w:p>
    <w:p w14:paraId="2479EA97">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能源结构优化方面，福建省提出要严格控制化石能源消费增长，逐步提高非化石能源消费比例，使其在2030年前占比达30%以上。同时鼓励石化企业进行“煤改电</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煤改气”，增加天然气、乙烷、丙烷等低碳原料的使用，并积极建设“光伏+储能”等新能源项目，充分利用清洁低碳能源满足新增能源需求，逐渐替代传统化石能源。此外，鼓励工业领域进行电气化改造，尤其是推动1000℃以下中低温热源电气化改造，促进绿色电力交易，扩大绿色能源消纳。泉惠石化园区将布局制氢、储氢、运氢、加氢的全产业链，提高园区内绿氢应用比例。</w:t>
      </w:r>
    </w:p>
    <w:p w14:paraId="1F19C254">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节能降碳技术方面鼓励石化企业加强能源梯级利用，提升工业能效水平；推广高效热泵、电窑炉、电气化技术；实施低效设备的更新换代和工艺升级改造，开展能效和水效“领跑者”行动；强化余热、余压、余气的回收利用，在园区实现区域性集中供热；大力推动工业领域绿色微电网建设，促进源网荷储协调互动和绿色能源的规模化应用；通过实施差别电价、阶梯电价等绿色电价政策，进一步激励企业积极参与节能降碳行动；依托泉港、泉惠石化园区加快行业“减油增化”，推广应用原油直接裂解制乙烯、合成气一步法制烯烃乙醇等短流程合成技术，实现产业工艺效率的提升与低碳化目标；引导企业在碳捕集利用与封存（CCUS）领域开展技术应用和产业化示范，重点推进石化化工企业创新应用碳捕集技术回收高浓度二氧化碳，并在食品饮料、二氧化碳基聚酯多元醇、二氧化碳基可降解塑料等产品中实现应用。</w:t>
      </w:r>
    </w:p>
    <w:p w14:paraId="28A637A9">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绿色制造体系建设方面，鼓励工业企业建设绿色工厂、零碳工厂；鼓励龙头企业实施绿色采购，带动上下游企业融入绿色供应链，申报国家绿色供应链试点，探索建立绿色供应链制度体系。积极构建园区内的绿色低碳产业链，打造生态化、低碳化的绿色工业园区；到2030年，省内重点产业园区都将实施循环化、低碳化改造。推行绿色产品认证与标识制度，按照全生命周期管理要求，探索开展产品碳足迹核算和认证。鼓励企业采用自愿性认证方式，发布绿色低碳产品名单。</w:t>
      </w:r>
    </w:p>
    <w:p w14:paraId="04536991">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生产过程碳排放数字化管理方面，鼓励企业研发和应用能耗与碳排放监测管理工具，加强能源与碳排放数据计量、监测与分析，推动企业强化生产过程物质流、能量流等信息采集监控、智能分析和精细管理，实现企业能源与碳排放管理一体化。推动重点用能设备上云上平台，促进能源消耗和碳排放的实时监测和智能调控，鼓励重点行业企业开发建设碳足迹管理系统，提升能耗与碳排放的数字化管理、网络化协同、智能化管控水平。</w:t>
      </w:r>
    </w:p>
    <w:p w14:paraId="08F150F4">
      <w:pPr>
        <w:tabs>
          <w:tab w:val="left" w:pos="420"/>
        </w:tabs>
        <w:spacing w:before="156" w:beforeLines="50" w:after="156" w:afterLines="50"/>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3.2.</w:t>
      </w:r>
      <w:r>
        <w:rPr>
          <w:rFonts w:hint="eastAsia" w:ascii="Times New Roman Regular" w:hAnsi="Times New Roman Regular" w:eastAsia="楷体_GB2312" w:cs="Times New Roman Regular"/>
          <w:color w:val="000000" w:themeColor="text1"/>
          <w:sz w:val="28"/>
          <w:szCs w:val="28"/>
          <w:lang w:bidi="ar"/>
          <w14:textFill>
            <w14:solidFill>
              <w14:schemeClr w14:val="tx1"/>
            </w14:solidFill>
          </w14:textFill>
        </w:rPr>
        <w:t>2</w:t>
      </w: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 xml:space="preserve"> </w:t>
      </w:r>
      <w:r>
        <w:rPr>
          <w:rFonts w:hint="eastAsia" w:ascii="Times New Roman Regular" w:hAnsi="Times New Roman Regular" w:eastAsia="楷体_GB2312" w:cs="Times New Roman Regular"/>
          <w:color w:val="000000" w:themeColor="text1"/>
          <w:sz w:val="28"/>
          <w:szCs w:val="28"/>
          <w:lang w:bidi="ar"/>
          <w14:textFill>
            <w14:solidFill>
              <w14:schemeClr w14:val="tx1"/>
            </w14:solidFill>
          </w14:textFill>
        </w:rPr>
        <w:t>山东东营</w:t>
      </w:r>
    </w:p>
    <w:p w14:paraId="790D0F99">
      <w:pPr>
        <w:pStyle w:val="15"/>
        <w:spacing w:line="560" w:lineRule="exact"/>
        <w:ind w:firstLine="561"/>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b/>
          <w:bCs/>
          <w:color w:val="000000" w:themeColor="text1"/>
          <w:sz w:val="28"/>
          <w:szCs w:val="28"/>
          <w:lang w:bidi="ar"/>
          <w14:textFill>
            <w14:solidFill>
              <w14:schemeClr w14:val="tx1"/>
            </w14:solidFill>
          </w14:textFill>
        </w:rPr>
        <w:t>碳达峰目标节点：</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东营市明确将在2030年前实现二氧化碳排放峰值，确保按期完成碳达峰目标 。为此，《东营市碳达峰工作方案》设定了分阶段目标：“十四五”时期夯实基础，到2025年非化石能源消费比重提高至约13%，单位GDP能耗比2020年下降16.2%，单位GDP二氧化碳排放下降率完成省下达目标 。到“十五五”末期（2030年前后），产业和能源结构将大幅优化，绿色低碳高质量发展取得显著成效 。碳中和方面，尽管城市层面未提出具体年份，《方案》总体对接了国家“2030碳达峰、2060碳中和”战略，要求为2060年前实现碳中和打好基础。</w:t>
      </w:r>
    </w:p>
    <w:p w14:paraId="00C79FF0">
      <w:pPr>
        <w:pStyle w:val="15"/>
        <w:spacing w:line="560" w:lineRule="exact"/>
        <w:ind w:firstLine="561"/>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b/>
          <w:bCs/>
          <w:color w:val="000000" w:themeColor="text1"/>
          <w:sz w:val="28"/>
          <w:szCs w:val="28"/>
          <w:lang w:bidi="ar"/>
          <w14:textFill>
            <w14:solidFill>
              <w14:schemeClr w14:val="tx1"/>
            </w14:solidFill>
          </w14:textFill>
        </w:rPr>
        <w:t>实现路径要求：</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围绕上述目标，东营市制定了“碳达峰十大行动”，涵盖能源、工业、科技、碳汇等领域。其中，对石化化工高排放产业，要求通过优化产业结构和严格项目管控来实现有序达峰。一方面，加快传统炼油、化工产业转型升级，打造高端石化产业基地，提升产业链价值和能源效率；另一方面，坚决遏制“两高”项目盲目发展，对高耗能高排放项目实行清单管理、分类处置和动态监控。存量落后产能依法依规加快退出，有改造潜力的尽快实施节能降碳技术改造；所有新建项目必须落实产能、煤耗、能耗、碳排放等量或减量替代要求，确保能源和碳排放总量不增。这些措施为东营市石化行业设定了明确的碳达峰路线图和“两高”治理红线。</w:t>
      </w:r>
    </w:p>
    <w:p w14:paraId="293A0DEA">
      <w:pPr>
        <w:pStyle w:val="15"/>
        <w:spacing w:line="560" w:lineRule="exact"/>
        <w:ind w:firstLine="561"/>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b/>
          <w:bCs/>
          <w:color w:val="000000" w:themeColor="text1"/>
          <w:sz w:val="28"/>
          <w:szCs w:val="28"/>
          <w:lang w:bidi="ar"/>
          <w14:textFill>
            <w14:solidFill>
              <w14:schemeClr w14:val="tx1"/>
            </w14:solidFill>
          </w14:textFill>
        </w:rPr>
        <w:t>节能降碳技术方向:</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面向石化化工等高耗能行业，东营市“双碳”政策明确了一系列节能降碳技术推广方向，鼓励企业应用先进适用的新技术来降低碳排放：</w:t>
      </w:r>
    </w:p>
    <w:p w14:paraId="63A1A0EB">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二氧化碳捕集利用与封存（CCUS）：依托胜利油田和化工园区的资源禀赋，东营市计划打造百万吨级CCUS全产业链示范基地 。支持胜利油田攻关低成本CCUS一体化技术，研发完善二氧化碳捕集、输送、驱油封存等成套技术标准。在二氧化碳排放集中的炼化、煤电企业，采用溶剂吸收、膜分离、低温精馏等技术对烟气进行高效捕集，并探索捕集到的CO₂就近用于驱油提高采收率或生产化工产品。目标到2025年实现年注入封存CO</w:t>
      </w:r>
      <w:r>
        <w:rPr>
          <w:rFonts w:hint="eastAsia" w:ascii="Times New Roman Regular" w:hAnsi="Times New Roman Regular" w:eastAsia="仿宋_GB2312" w:cs="Times New Roman Regular"/>
          <w:color w:val="000000" w:themeColor="text1"/>
          <w:sz w:val="28"/>
          <w:szCs w:val="28"/>
          <w:vertAlign w:val="subscript"/>
          <w:lang w:bidi="ar"/>
          <w14:textFill>
            <w14:solidFill>
              <w14:schemeClr w14:val="tx1"/>
            </w14:solidFill>
          </w14:textFill>
        </w:rPr>
        <w:t xml:space="preserve">2  </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300万吨、2030年达到1000万吨规模的CO</w:t>
      </w:r>
      <w:r>
        <w:rPr>
          <w:rFonts w:hint="eastAsia" w:ascii="Times New Roman Regular" w:hAnsi="Times New Roman Regular" w:eastAsia="仿宋_GB2312" w:cs="Times New Roman Regular"/>
          <w:color w:val="000000" w:themeColor="text1"/>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驱油封存能力，打造化工园区“碳排放净零”标杆 。</w:t>
      </w:r>
    </w:p>
    <w:p w14:paraId="1CC07A53">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余热余压利用及热泵技术：推广工业余热回收用于城市集中供暖和生产环节。东营市要求加快工业余热规模化供暖示范，鼓励石化企业将生产装置中的低品位余热通过热网供暖周边社区。同时，在各领域积极推行热泵技术利用中低温热源供暖制冷，如工业余热热泵、地源热泵等，以替代燃煤锅炉供热。这些技术可以大幅提高能源利用效率，减少燃烧化石燃料产生的直接排放。</w:t>
      </w:r>
    </w:p>
    <w:p w14:paraId="43ACE8E7">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可再生能源与微电网：在工业园区和大型用能场所，倡导构建“光伏+储能+微网”等绿色能源系统。政策提出建设集成光伏发电、储能、直流配电、柔性用电的“光储直柔”示范建筑和园区。通过分布式光伏就地供电、储能削峰填谷、能源互联网调控等手段，实现部分石化企业厂区能源的局部自给和平衡，形成绿色微电网。例如，东营已在河口区开展整县屋顶分布式光伏试点，在海上油气平台探索海上风电直供等模式。</w:t>
      </w:r>
    </w:p>
    <w:p w14:paraId="44B5B893">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氢能利用和原料替代：发挥东营市工业副产氢气资源丰富的优势，提高副产氢的收集纯化和回收利用率。推动发展“绿氢化工”，以可再生能源制氢逐步替代传统化石能源制氢（“灰氢”），将绿色氢气用于炼化生产和化工原料。这将从源头上减少石化产品生产过程中的碳排放。与此同时，鼓励研发生物质化工工艺，实现石化原料多元化替代；研究乙醇等短流程合成烯烃的新工艺，在2030年前实现规模应用，减少石化对长流程高碳工艺的依赖。</w:t>
      </w:r>
    </w:p>
    <w:p w14:paraId="7F094713">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工艺改进与过程电气化：鼓励石化企业实施深度脱碳的工艺改造和流程再造，引进先进生产线和装备，提高能效和减排水平。例如推广高效节能锅炉、节能压缩机、抽油泵变频改造等，提高关键设备效率。实施生产环节的电气化改造，用电驱动替代原先燃油燃气的工艺过程（如电加热替代燃气加热等），减少工艺过程燃烧排放 。还鼓励开展CO</w:t>
      </w:r>
      <w:r>
        <w:rPr>
          <w:rFonts w:hint="eastAsia" w:ascii="Times New Roman Regular" w:hAnsi="Times New Roman Regular" w:eastAsia="仿宋_GB2312" w:cs="Times New Roman Regular"/>
          <w:color w:val="000000" w:themeColor="text1"/>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循环利用示范，将工艺排放的二氧化碳作为原料生产甲醇、碳酸盐等，实现资源化利用。</w:t>
      </w:r>
    </w:p>
    <w:p w14:paraId="465EF275">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通过以上技术路径，东营市为石化产业低碳转型提供了清晰方向：既包括末端治理的CCUS等重大示范工程，也涵盖源头替代的清洁能源与原料，以及过程降碳的效率技术。这些技术措施的推广将有效降低单位产品的碳足迹和能耗强度。</w:t>
      </w:r>
    </w:p>
    <w:p w14:paraId="2B6DBABD">
      <w:pPr>
        <w:pStyle w:val="15"/>
        <w:spacing w:line="560" w:lineRule="exact"/>
        <w:ind w:firstLine="561"/>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b/>
          <w:bCs/>
          <w:color w:val="000000" w:themeColor="text1"/>
          <w:sz w:val="28"/>
          <w:szCs w:val="28"/>
          <w:lang w:bidi="ar"/>
          <w14:textFill>
            <w14:solidFill>
              <w14:schemeClr w14:val="tx1"/>
            </w14:solidFill>
          </w14:textFill>
        </w:rPr>
        <w:t>碳足迹和管理平台：</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东营市推动重点产品全生命周期碳足迹核算试点，要求石化企业量化其主要产品从原料获取、生产制造到物流运输各环节的碳排放 。这有助于企业识别供应链中的碳排放热点，实施有针对性的减碳措施。同时，东营鼓励有条件的龙头企业建立碳管理系统或参与全国碳交易市场。当前东营市已着手将石化、化工行业纳入碳排放权交易的准备工作，培养企业碳资产管理能力。例如，胜利油田等企业在开展二氧化碳驱油封存项目的同时，研究碳减排量核算和交易方法，将来可将核证减排量在自愿减排或国家碳市场中交易 .政府层面也在探索将碳减排绩效纳入企业绿色金融、环保信用评价等体系，形成数字化、市场化的碳排放管理机制。</w:t>
      </w:r>
    </w:p>
    <w:p w14:paraId="1C292F1D">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93" w:name="_Toc26852"/>
      <w:bookmarkStart w:id="94" w:name="_Toc813616387"/>
      <w:bookmarkStart w:id="95" w:name="_Toc648139249"/>
      <w:bookmarkStart w:id="96" w:name="_Toc249636869"/>
      <w:bookmarkStart w:id="97" w:name="_Toc1698986336"/>
      <w:r>
        <w:rPr>
          <w:rFonts w:ascii="Times New Roman Regular" w:hAnsi="Times New Roman Regular" w:eastAsia="黑体" w:cs="Times New Roman Regular"/>
          <w:color w:val="000000" w:themeColor="text1"/>
          <w:sz w:val="28"/>
          <w:szCs w:val="28"/>
          <w14:textFill>
            <w14:solidFill>
              <w14:schemeClr w14:val="tx1"/>
            </w14:solidFill>
          </w14:textFill>
        </w:rPr>
        <w:t>3.3 产业相关低碳技术趋势与创新方向</w:t>
      </w:r>
      <w:bookmarkEnd w:id="93"/>
      <w:bookmarkEnd w:id="94"/>
      <w:bookmarkEnd w:id="95"/>
      <w:bookmarkEnd w:id="96"/>
      <w:bookmarkEnd w:id="97"/>
    </w:p>
    <w:p w14:paraId="5C410F00">
      <w:pPr>
        <w:pStyle w:val="15"/>
        <w:spacing w:line="560" w:lineRule="exact"/>
        <w:ind w:firstLine="560" w:firstLineChars="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在全球碳中和目标驱动下，石化行业作为碳排放重点领域，</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亟须通过</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技术创新实现低碳转型。其低碳技术的应用与创新主要从源头降碳、过程控碳和末端固碳三个方面推进。​</w:t>
      </w:r>
    </w:p>
    <w:p w14:paraId="5AED21DC">
      <w:pPr>
        <w:pStyle w:val="15"/>
        <w:numPr>
          <w:ilvl w:val="255"/>
          <w:numId w:val="0"/>
        </w:numPr>
        <w:spacing w:before="156" w:beforeLines="50" w:after="156" w:afterLines="50" w:line="560" w:lineRule="exact"/>
        <w:outlineLvl w:val="2"/>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2"/>
          <w:sz w:val="28"/>
          <w:szCs w:val="28"/>
          <w:lang w:bidi="ar"/>
          <w14:textFill>
            <w14:solidFill>
              <w14:schemeClr w14:val="tx1"/>
            </w14:solidFill>
          </w14:textFill>
        </w:rPr>
        <w:t>3.3.1 源头降碳技术</w:t>
      </w:r>
    </w:p>
    <w:p w14:paraId="2E004651">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原料替代技术是实现源头降碳的重要手段。长期以来，传统石化生产以石油、天然气等化石能源为主要原料，直接导致行业整体碳排放强度居高不下。为有效破解这一难题，石化企业可积极开发和应用各类非化石替代原料，如生物质和再生塑料，逐步推进原料来源的低碳化和多样化。具体来看，生物质原料利用的日益成熟，可以广泛用于制备生物航煤、生物柴油、生物基润滑油，以及生产乙醇、乙烯等关键基础化工产品，从而降低整个生产链条的碳排放。与此同时，废塑料资源的回收与再生利用技术也在迅速发展，不仅有助于减少废弃物处置产生的环境影响，还进一步推动碳的闭环循环利用，助力石化企业实现产品全生命周期的碳减排目标。以可再生原料替代传统化石原料，不仅实现了资源的高效循环利用，也为企业长远发展提供了更可持续的路径。</w:t>
      </w:r>
    </w:p>
    <w:p w14:paraId="23A2802D">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绿色氢能技术的快速发展，也为源头降碳提供了强有力的技术支撑。在传统石化生产过程中，氢气主要依靠化石燃料制备，这种方式会释放大量二氧化碳，不利于碳中和目标的实现。随着全球低碳能源技术的进步，通过可再生能源驱动的电解水制氢以及生物质气化制氢等绿色制氢技术已成为行业转型的重要方向。由可再生能源电解水制备的绿氢，完全避免了传统制氢过程中的碳排放，被广泛视作未来最具前景的清洁氢源之一。此外，生物质气化制氢技术逐步成熟，为企业提供了另一种可靠的绿氢来源。随着技术的进步、产业规模扩大以及配套政策的持续推进，预计2030年后绿氢的制备成本将明显下降，推动企业逐步从传统灰氢向绿氢转型。</w:t>
      </w:r>
    </w:p>
    <w:p w14:paraId="4E2C3AF4">
      <w:pPr>
        <w:pStyle w:val="15"/>
        <w:spacing w:before="156" w:beforeLines="50" w:after="156" w:afterLines="50" w:line="560" w:lineRule="exact"/>
        <w:ind w:firstLine="0" w:firstLineChars="0"/>
        <w:outlineLvl w:val="2"/>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2"/>
          <w:sz w:val="28"/>
          <w:szCs w:val="28"/>
          <w:lang w:bidi="ar"/>
          <w14:textFill>
            <w14:solidFill>
              <w14:schemeClr w14:val="tx1"/>
            </w14:solidFill>
          </w14:textFill>
        </w:rPr>
        <w:t>3.3.2 过程控碳技术</w:t>
      </w:r>
    </w:p>
    <w:p w14:paraId="7AD5DE1B">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石化企业的生产过程中伴随大量的余热和余压，这些能源若未加有效利用将造成资源浪费并增加额外碳排放。当前，余热余压回收技术已经逐步成熟，并向更高效、更低温、更集成的方向发展。炼化装置普遍推行换热网络集成优化，通过精准的流程设计和工艺集成，可大幅降低能源损耗，减少对外部热源的依赖，有效降低装置综合能耗。此外，低温余热回收技术也日益成熟，通过有机朗肯循环（ORC）等先进方式，将工业生产中的低温余热用于发电或工艺热源，进一步提升能源利用率，助力企业显著减少碳排放。</w:t>
      </w:r>
    </w:p>
    <w:p w14:paraId="5083996A">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数字化技术的融合应用则是过程控碳的又一关键突破方向。当前，以人工智能、大数据分析、数字孪生和工业互联网为代表的先进数字技术，正深度</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融入</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石化生产各环节中。具体而言，石化企业可加快推进AI驱动的生产装置模拟优化和过程精准控制，例如实时优化反应装置运行条件，利用数字模型等实现更高效的工艺控制。通过对关键设备运行状态的实时监测、数据分析和预测性维护，可提前发现并消除运行中的异常波动，有效提高生产过程的稳定性和能效水平，进而在不显著增加投资的前提下，大幅降低单位产品碳排放强度。</w:t>
      </w:r>
    </w:p>
    <w:p w14:paraId="405961FF">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低碳工艺技术的推进则意味着工艺流程本身的创新与革新。当前石化企业正在加快发展具有本质低碳属性的炼油化工技术，以及炼化一体化技术。这些技术的共同特点是通过工艺优化，尽可能降低生产过程中的碳排放与资源消耗。炼化一体化技术通过促进传统炼油向以化工为主的方向转型，使生产过程更高效、更清洁。随着技术的成熟与政策推动，炼化一体化模式终将成为石化企业的主要发展模式，全生命周期碳排放水平也将显著低于传统燃料型炼厂。</w:t>
      </w:r>
    </w:p>
    <w:p w14:paraId="1DD4950B">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节能技术则始终是过程控碳领域的重要支撑之一。当前节能技术的发展趋势主要体现在新型高效催化剂的研发应用、反应与分离过程的强化技术以及设备的能效提升方面。通过持续改进催化剂性能，可有效降低反应所需的温度和压力，减少过程能耗。此外，通过膜分离、精馏强化等分离技术的创新，进一步提升分离效率并降低能源消耗。先进节能设备的广泛应用，如高效电机、变频调速装置等，也为实现生产过程的整体节能提供了重要保障。这些节能技术的协同应用将持续推动石化企业在生产过程中的节能减排水平，降低生产的碳强度，助力行业实现低碳转型目标。</w:t>
      </w:r>
    </w:p>
    <w:p w14:paraId="390D13E5">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2024年12月16日，国家能源局公示炼油行业节能降碳先进技术和典型案例。据悉，开展炼油行业节能低碳先进技术和典型案例的征集汇编，旨在总结近年来炼油行业节能低碳先进技术和有效经验做法，供有关单位在炼油行业节能低碳等工作中借鉴参考，引导鼓励企业节能降碳，促进炼油行业绿色创新高质量发展。</w:t>
      </w:r>
    </w:p>
    <w:p w14:paraId="637C8C23"/>
    <w:p w14:paraId="37CE51B2">
      <w:pPr>
        <w:widowControl/>
        <w:jc w:val="center"/>
        <w:rPr>
          <w:rFonts w:eastAsia="黑体"/>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3</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1</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炼油行业节能降碳先进技术和典型案例</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1"/>
        <w:gridCol w:w="2089"/>
        <w:gridCol w:w="4109"/>
      </w:tblGrid>
      <w:tr w14:paraId="1F0C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362" w:type="pct"/>
          </w:tcPr>
          <w:p w14:paraId="7FF7DD7D">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w:t>
            </w:r>
          </w:p>
        </w:tc>
        <w:tc>
          <w:tcPr>
            <w:tcW w:w="1226" w:type="pct"/>
          </w:tcPr>
          <w:p w14:paraId="268D134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技术名称</w:t>
            </w:r>
          </w:p>
        </w:tc>
        <w:tc>
          <w:tcPr>
            <w:tcW w:w="2411" w:type="pct"/>
          </w:tcPr>
          <w:p w14:paraId="029DD6E7">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效果</w:t>
            </w:r>
          </w:p>
        </w:tc>
      </w:tr>
      <w:tr w14:paraId="22AE3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5BDCE0C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中国石化工程建设有限公司（SEI）</w:t>
            </w:r>
          </w:p>
        </w:tc>
        <w:tc>
          <w:tcPr>
            <w:tcW w:w="1226" w:type="pct"/>
            <w:vAlign w:val="center"/>
          </w:tcPr>
          <w:p w14:paraId="21089B0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烟气轮机节能技术</w:t>
            </w:r>
          </w:p>
        </w:tc>
        <w:tc>
          <w:tcPr>
            <w:tcW w:w="2411" w:type="pct"/>
            <w:vAlign w:val="center"/>
          </w:tcPr>
          <w:p w14:paraId="1BBCE45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年减排二氧化碳15.8万吨，累计节电214亿度，节省电费12亿元，回收功率达35000kW。</w:t>
            </w:r>
          </w:p>
        </w:tc>
      </w:tr>
      <w:tr w14:paraId="609C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516A1CE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中国石化工程建设有限公司（SEI）</w:t>
            </w:r>
          </w:p>
        </w:tc>
        <w:tc>
          <w:tcPr>
            <w:tcW w:w="1226" w:type="pct"/>
            <w:vAlign w:val="center"/>
          </w:tcPr>
          <w:p w14:paraId="10AAC32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芳烃低温热发生蒸汽及高效利用技术</w:t>
            </w:r>
          </w:p>
        </w:tc>
        <w:tc>
          <w:tcPr>
            <w:tcW w:w="2411" w:type="pct"/>
            <w:vAlign w:val="center"/>
          </w:tcPr>
          <w:p w14:paraId="6162739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年节能量13.44万吨标油，年减排二氧化碳23.26万吨，蒸汽升压能耗降低53%，投资节省44%。</w:t>
            </w:r>
          </w:p>
        </w:tc>
      </w:tr>
      <w:tr w14:paraId="7C892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0486286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中国石化工程建设有限公司（SEI）</w:t>
            </w:r>
          </w:p>
        </w:tc>
        <w:tc>
          <w:tcPr>
            <w:tcW w:w="1226" w:type="pct"/>
            <w:vAlign w:val="center"/>
          </w:tcPr>
          <w:p w14:paraId="0E8B571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炼油加热炉绿色节能降碳成套技术</w:t>
            </w:r>
          </w:p>
        </w:tc>
        <w:tc>
          <w:tcPr>
            <w:tcW w:w="2411" w:type="pct"/>
            <w:vAlign w:val="center"/>
          </w:tcPr>
          <w:p w14:paraId="52DC87F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热效率提升至95%，排烟温度≤80℃，外壁温度≤70℃，年减排CO₂12.6万吨，NOx减少37吨。</w:t>
            </w:r>
          </w:p>
        </w:tc>
      </w:tr>
      <w:tr w14:paraId="78B47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62" w:type="pct"/>
            <w:vAlign w:val="center"/>
          </w:tcPr>
          <w:p w14:paraId="231F0DC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中石化（大连）石油化工研究院</w:t>
            </w:r>
          </w:p>
        </w:tc>
        <w:tc>
          <w:tcPr>
            <w:tcW w:w="1226" w:type="pct"/>
            <w:vAlign w:val="center"/>
          </w:tcPr>
          <w:p w14:paraId="3A802FB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胶液脱硫系统节能与长周期稳定运行技术</w:t>
            </w:r>
          </w:p>
        </w:tc>
        <w:tc>
          <w:tcPr>
            <w:tcW w:w="2411" w:type="pct"/>
            <w:vAlign w:val="center"/>
          </w:tcPr>
          <w:p w14:paraId="0E0ACB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CO₂共吸率降低20%，剂耗降低40%，能耗下降5%，年创效2789万元。</w:t>
            </w:r>
          </w:p>
        </w:tc>
      </w:tr>
      <w:tr w14:paraId="1741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5659AFB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中石化炼化工程（洛阳技术研发中心）</w:t>
            </w:r>
          </w:p>
        </w:tc>
        <w:tc>
          <w:tcPr>
            <w:tcW w:w="1226" w:type="pct"/>
            <w:vAlign w:val="center"/>
          </w:tcPr>
          <w:p w14:paraId="1E66C62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低氮强化燃烧技术</w:t>
            </w:r>
          </w:p>
        </w:tc>
        <w:tc>
          <w:tcPr>
            <w:tcW w:w="2411" w:type="pct"/>
            <w:vAlign w:val="center"/>
          </w:tcPr>
          <w:p w14:paraId="62D3CFE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烟气中CO含量降至50mg/m³以下，NOx≤60mg/m³，热效率提升0.17%-1.16%，年减排CO₂31.5吨。</w:t>
            </w:r>
          </w:p>
        </w:tc>
      </w:tr>
      <w:tr w14:paraId="0C291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4E19EB9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中石化炼化工程（洛阳技术研发中心）</w:t>
            </w:r>
          </w:p>
        </w:tc>
        <w:tc>
          <w:tcPr>
            <w:tcW w:w="1226" w:type="pct"/>
            <w:vAlign w:val="center"/>
          </w:tcPr>
          <w:p w14:paraId="616BAEB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新型催化裂化高效汽提器</w:t>
            </w:r>
          </w:p>
        </w:tc>
        <w:tc>
          <w:tcPr>
            <w:tcW w:w="2411" w:type="pct"/>
            <w:vAlign w:val="center"/>
          </w:tcPr>
          <w:p w14:paraId="512A259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焦炭氢含量降低29%，汽提蒸汽用量下降21%，年节能3.0×10⁵GJ，减排CO₂2.7万吨。</w:t>
            </w:r>
          </w:p>
        </w:tc>
      </w:tr>
      <w:tr w14:paraId="0E1DC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61A893B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中国石化工程建设有限公司（SEI）</w:t>
            </w:r>
          </w:p>
        </w:tc>
        <w:tc>
          <w:tcPr>
            <w:tcW w:w="1226" w:type="pct"/>
            <w:vAlign w:val="center"/>
          </w:tcPr>
          <w:p w14:paraId="0EB55F9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催化裂化副产10兆帕等级高压蒸汽成套技术</w:t>
            </w:r>
          </w:p>
        </w:tc>
        <w:tc>
          <w:tcPr>
            <w:tcW w:w="2411" w:type="pct"/>
            <w:vAlign w:val="center"/>
          </w:tcPr>
          <w:p w14:paraId="71457CF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装置能耗降低3-4kg标准/t原料，全厂CO₂减排38.4万吨/年，停运动力锅炉节省煤炭20万吨/年。</w:t>
            </w:r>
          </w:p>
        </w:tc>
      </w:tr>
      <w:tr w14:paraId="054A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424DCA3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中石化（大连）石油化工研究院</w:t>
            </w:r>
          </w:p>
        </w:tc>
        <w:tc>
          <w:tcPr>
            <w:tcW w:w="1226" w:type="pct"/>
            <w:vAlign w:val="center"/>
          </w:tcPr>
          <w:p w14:paraId="7A92740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氢气资源优化技术（H2-STAR）</w:t>
            </w:r>
          </w:p>
        </w:tc>
        <w:tc>
          <w:tcPr>
            <w:tcW w:w="2411" w:type="pct"/>
            <w:vAlign w:val="center"/>
          </w:tcPr>
          <w:p w14:paraId="655F92E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减少外购氢用量77.5%，增收氢气7300Nm³/h，年减排CO₂5.5万吨，制氢成本降低2500万元/年。</w:t>
            </w:r>
          </w:p>
        </w:tc>
      </w:tr>
      <w:tr w14:paraId="3E45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1CD7856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中石化广州工程有限公司</w:t>
            </w:r>
          </w:p>
        </w:tc>
        <w:tc>
          <w:tcPr>
            <w:tcW w:w="1226" w:type="pct"/>
            <w:vAlign w:val="center"/>
          </w:tcPr>
          <w:p w14:paraId="30BABFC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LQSR节能型硫磺回收尾气处理技术</w:t>
            </w:r>
          </w:p>
        </w:tc>
        <w:tc>
          <w:tcPr>
            <w:tcW w:w="2411" w:type="pct"/>
            <w:vAlign w:val="center"/>
          </w:tcPr>
          <w:p w14:paraId="4E165EF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总硫回收率≥99.95%，SO₂排放浓度&lt;100mg/Nm³，能耗降低30%，投资减少20%。</w:t>
            </w:r>
          </w:p>
        </w:tc>
      </w:tr>
      <w:tr w14:paraId="7F3DC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37D5BC8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中国石油规划总院</w:t>
            </w:r>
          </w:p>
        </w:tc>
        <w:tc>
          <w:tcPr>
            <w:tcW w:w="1226" w:type="pct"/>
            <w:vAlign w:val="center"/>
          </w:tcPr>
          <w:p w14:paraId="03A0F6B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蒸汽动力系统在线模拟优化软件</w:t>
            </w:r>
          </w:p>
        </w:tc>
        <w:tc>
          <w:tcPr>
            <w:tcW w:w="2411" w:type="pct"/>
            <w:vAlign w:val="center"/>
          </w:tcPr>
          <w:p w14:paraId="421D3FE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能耗降低1-3个百分点，年节能4256吨标煤，减排CO₂1.38万吨，节约成本500-1500万元/年。</w:t>
            </w:r>
          </w:p>
        </w:tc>
      </w:tr>
      <w:tr w14:paraId="1408E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49B8588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中国科学院大连化学物理研究所</w:t>
            </w:r>
          </w:p>
        </w:tc>
        <w:tc>
          <w:tcPr>
            <w:tcW w:w="1226" w:type="pct"/>
            <w:vAlign w:val="center"/>
          </w:tcPr>
          <w:p w14:paraId="744E57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重油浆态床加氢解构全转化技术（ASHS）</w:t>
            </w:r>
          </w:p>
        </w:tc>
        <w:tc>
          <w:tcPr>
            <w:tcW w:w="2411" w:type="pct"/>
            <w:vAlign w:val="center"/>
          </w:tcPr>
          <w:p w14:paraId="5C57EC1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重油转化率&gt;97%，液体收率95%，能耗39.92kg标准/t，较传统技术节能40%，减排CO₂66%。</w:t>
            </w:r>
          </w:p>
        </w:tc>
      </w:tr>
      <w:tr w14:paraId="63C7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62" w:type="pct"/>
            <w:vAlign w:val="center"/>
          </w:tcPr>
          <w:p w14:paraId="70CF460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中国石化工程建设有限公司（SEI）</w:t>
            </w:r>
          </w:p>
        </w:tc>
        <w:tc>
          <w:tcPr>
            <w:tcW w:w="1226" w:type="pct"/>
            <w:vAlign w:val="center"/>
          </w:tcPr>
          <w:p w14:paraId="5E69F36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重整生成油分壁塔技术</w:t>
            </w:r>
          </w:p>
        </w:tc>
        <w:tc>
          <w:tcPr>
            <w:tcW w:w="2411" w:type="pct"/>
            <w:vAlign w:val="center"/>
          </w:tcPr>
          <w:p w14:paraId="207F7F8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综合能耗降低15%，设备投资减少20%，年节能2354吨标煤，减排CO</w:t>
            </w:r>
            <w:r>
              <w:rPr>
                <w:rFonts w:hint="eastAsia"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 6262吨。</w:t>
            </w:r>
          </w:p>
        </w:tc>
      </w:tr>
    </w:tbl>
    <w:p w14:paraId="7DF0A06C"/>
    <w:p w14:paraId="1C4F01B2">
      <w:pPr>
        <w:pStyle w:val="15"/>
        <w:spacing w:before="156" w:beforeLines="50" w:after="156" w:afterLines="50" w:line="560" w:lineRule="exact"/>
        <w:ind w:firstLine="0" w:firstLineChars="0"/>
        <w:outlineLvl w:val="2"/>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2"/>
          <w:sz w:val="28"/>
          <w:szCs w:val="28"/>
          <w:lang w:bidi="ar"/>
          <w14:textFill>
            <w14:solidFill>
              <w14:schemeClr w14:val="tx1"/>
            </w14:solidFill>
          </w14:textFill>
        </w:rPr>
        <w:t>3.3.3 末端固碳技术</w:t>
      </w:r>
    </w:p>
    <w:p w14:paraId="1AEDFA34">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碳捕集、利用与封存（CCUS）技术是末端固碳领域的重要方向。该技术以石化生产过程中产生的二氧化碳为主要对象，通过高效的碳捕集设备将二氧化碳从烟气或废气中分离捕获，随后通过不同的技术路线实现碳的资源化利用或长期安全封存，如驱油、制备合成化学品以及矿化固碳等。随着技术逐渐成熟，捕集效率明显提升，成本逐步下降，石化企业在推广应用CCUS技术方面的积极性逐步提升。未来，随着CCUS技术不断成熟与规模化应用，石化行业的碳排放控制能力将进一步增强，成为实现碳中和的重要技术路径。</w:t>
      </w:r>
    </w:p>
    <w:p w14:paraId="60917372">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同时，石化产业也可通过生态系统固碳的方式，即碳汇技术实现碳减排目标。碳汇技术主要依靠自然生态系统对二氧化碳的吸收与固定能力，通过植树造林、湿地恢复与保护、生态系统管理和海洋碳汇工程等方式增加生态碳汇容量，从而抵消企业的部分碳排放。这一方式的优势在于不仅实现碳减排，还能促进生态环境改善，兼具环境和经济效益。生物质碳汇因成本低廉且生态效益突出，已逐步成为企业在实现碳中和目标过程中的重要补充手段。</w:t>
      </w:r>
    </w:p>
    <w:p w14:paraId="3E6F80EB">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98" w:name="_Toc1197"/>
      <w:bookmarkStart w:id="99" w:name="_Toc1422235860"/>
      <w:bookmarkStart w:id="100" w:name="_Toc1920778640"/>
      <w:bookmarkStart w:id="101" w:name="_Toc1239300359"/>
      <w:bookmarkStart w:id="102" w:name="_Toc1611294692"/>
      <w:r>
        <w:rPr>
          <w:rFonts w:ascii="Times New Roman Regular" w:hAnsi="Times New Roman Regular" w:eastAsia="黑体" w:cs="Times New Roman Regular"/>
          <w:color w:val="000000" w:themeColor="text1"/>
          <w:sz w:val="28"/>
          <w:szCs w:val="28"/>
          <w14:textFill>
            <w14:solidFill>
              <w14:schemeClr w14:val="tx1"/>
            </w14:solidFill>
          </w14:textFill>
        </w:rPr>
        <w:t>3.</w:t>
      </w:r>
      <w:r>
        <w:rPr>
          <w:rFonts w:hint="eastAsia" w:ascii="Times New Roman Regular" w:hAnsi="Times New Roman Regular" w:eastAsia="黑体" w:cs="Times New Roman Regular"/>
          <w:color w:val="000000" w:themeColor="text1"/>
          <w:sz w:val="28"/>
          <w:szCs w:val="28"/>
          <w14:textFill>
            <w14:solidFill>
              <w14:schemeClr w14:val="tx1"/>
            </w14:solidFill>
          </w14:textFill>
        </w:rPr>
        <w:t>4</w:t>
      </w:r>
      <w:r>
        <w:rPr>
          <w:rFonts w:ascii="Times New Roman Regular" w:hAnsi="Times New Roman Regular" w:eastAsia="黑体" w:cs="Times New Roman Regular"/>
          <w:color w:val="000000" w:themeColor="text1"/>
          <w:sz w:val="28"/>
          <w:szCs w:val="28"/>
          <w14:textFill>
            <w14:solidFill>
              <w14:schemeClr w14:val="tx1"/>
            </w14:solidFill>
          </w14:textFill>
        </w:rPr>
        <w:t xml:space="preserve"> 政策对公司产业未来发展的影响分析</w:t>
      </w:r>
      <w:bookmarkEnd w:id="98"/>
      <w:bookmarkEnd w:id="99"/>
      <w:bookmarkEnd w:id="100"/>
      <w:bookmarkEnd w:id="101"/>
      <w:bookmarkEnd w:id="102"/>
    </w:p>
    <w:p w14:paraId="28A21208">
      <w:pPr>
        <w:widowControl/>
        <w:numPr>
          <w:ilvl w:val="255"/>
          <w:numId w:val="0"/>
        </w:numPr>
        <w:spacing w:before="156" w:beforeLines="50" w:after="156" w:afterLines="50" w:line="560" w:lineRule="exact"/>
        <w:outlineLvl w:val="2"/>
        <w:rPr>
          <w:rFonts w:ascii="Times New Roman Regular" w:hAnsi="Times New Roman Regular" w:eastAsia="楷体_GB2312" w:cs="Times New Roman Regular"/>
          <w:color w:val="000000" w:themeColor="text1"/>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sz w:val="28"/>
          <w:szCs w:val="28"/>
          <w:lang w:bidi="ar"/>
          <w14:textFill>
            <w14:solidFill>
              <w14:schemeClr w14:val="tx1"/>
            </w14:solidFill>
          </w14:textFill>
        </w:rPr>
        <w:t>3.4.1 化石能源供应体系的兜底保障地位未发生改变</w:t>
      </w:r>
    </w:p>
    <w:p w14:paraId="1411F05A">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在全球能源格局深刻变革的背景下，尽管我国积极推动能源结构优化和低碳转型，但石油和天然气作为重要的一次能源，依然在我国能源安全中占据基础性地位，发挥着不可替代的作用。油气资源的稳定供应不仅直接影响国家能源安全，还深刻影响经济社会发展的全局。截至2024年，我国原油对外依存度达到71.2%，天然气对外依存度达到40.2%。如此高的外部依存度意味着国际油气供应链的任何波动都将直接影响我国经济安全和社会稳定，凸显了提升油气资源自主保障能力的紧迫性。</w:t>
      </w:r>
    </w:p>
    <w:p w14:paraId="17A9C0D1">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习近平总书记强调，能源安全关系我国经济社会发展全局，是最重要的安全之一，“能源的饭碗必须端在自己手里”，并反复要求确保油气资源的自主可控与安全供应。《中华人民共和国能源法》（2025年1月1日实行）明确提出要加大油气资源的勘探开发力度，鼓励规模化开发页岩油、页岩气、致密油气等非常规油气资源。这从法律层面明确了油气资源在国家能源战略中的基础地位，凸显了油气资源供应安全的战略重要性。</w:t>
      </w:r>
    </w:p>
    <w:p w14:paraId="6F0774D1">
      <w:pPr>
        <w:widowControl/>
        <w:numPr>
          <w:ilvl w:val="255"/>
          <w:numId w:val="0"/>
        </w:numPr>
        <w:spacing w:before="156" w:beforeLines="50" w:after="156" w:afterLines="50" w:line="560" w:lineRule="exact"/>
        <w:outlineLvl w:val="2"/>
        <w:rPr>
          <w:rFonts w:ascii="Times New Roman Regular" w:hAnsi="Times New Roman Regular" w:eastAsia="楷体" w:cs="Times New Roman Regular"/>
          <w:color w:val="000000" w:themeColor="text1"/>
          <w:sz w:val="28"/>
          <w:szCs w:val="28"/>
          <w:lang w:bidi="ar"/>
          <w14:textFill>
            <w14:solidFill>
              <w14:schemeClr w14:val="tx1"/>
            </w14:solidFill>
          </w14:textFill>
        </w:rPr>
      </w:pPr>
      <w:r>
        <w:rPr>
          <w:rFonts w:ascii="Times New Roman Regular" w:hAnsi="Times New Roman Regular" w:eastAsia="楷体" w:cs="Times New Roman Regular"/>
          <w:color w:val="000000" w:themeColor="text1"/>
          <w:kern w:val="0"/>
          <w:sz w:val="28"/>
          <w:szCs w:val="28"/>
          <w:lang w:bidi="ar"/>
          <w14:textFill>
            <w14:solidFill>
              <w14:schemeClr w14:val="tx1"/>
            </w14:solidFill>
          </w14:textFill>
        </w:rPr>
        <w:t>3.4.2 化石能源安全可靠有序替代化石能源的绿色低碳转型趋势</w:t>
      </w:r>
    </w:p>
    <w:p w14:paraId="16AA19D0">
      <w:pPr>
        <w:widowControl/>
        <w:numPr>
          <w:ilvl w:val="255"/>
          <w:numId w:val="0"/>
        </w:numPr>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尽管油气资源在未来相当长时期内仍将发挥关键作用，但非化石能源安全可靠有序替代化石能源已是不可逆转的趋势。我国能源政策明确指出，要坚持“先立后破”，即在构建起以风电、太阳能、氢能、储能及核能为主体的新型能源供应体系基础上，有序减少化石能源在能源结构中的占比，避免“一刀切”式的急撤旧能。</w:t>
      </w:r>
    </w:p>
    <w:p w14:paraId="3C23FA05">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风能、太阳能等新能源的发展已经成为电力供应的重要组成部分，显著降低了发电领域的碳排放。氢能因其清洁性、可再生性和广泛应用前景，正逐步从传统化石燃料向可再生能源制氢转型，推动工业、交通、能源等领域的深刻变革。此外，储能技术的快速进步有效解决了风电、光伏发电的波动性问题，为非化石能源的大规模并网和稳定运行提供了重要保障。与此同时，CCUS技术的逐步成熟和广泛应用，也为传统化石能源产业实现低碳转型提供了现实可行的路径。这些技术的协同发展，正加速构建一个安全、高效、低碳的现代能源体系。</w:t>
      </w:r>
    </w:p>
    <w:p w14:paraId="5C62C387">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展望未来，非化石能源比例的不断提高，将逐渐降低对油气的需求压力，实现非化石能源与化石能源之间的安全可靠有序转换，成为确保我国能源安全、实现平稳低碳转型的必由之路。</w:t>
      </w:r>
    </w:p>
    <w:p w14:paraId="3E15D538">
      <w:pPr>
        <w:snapToGrid w:val="0"/>
        <w:spacing w:before="156" w:beforeLines="50" w:after="156" w:afterLines="50" w:line="560" w:lineRule="exact"/>
        <w:outlineLvl w:val="2"/>
        <w:rPr>
          <w:rFonts w:ascii="Times New Roman Regular" w:hAnsi="Times New Roman Regular" w:eastAsia="楷体" w:cs="Times New Roman Regular"/>
          <w:bCs/>
          <w:color w:val="000000" w:themeColor="text1"/>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3.4.3 绿色低碳发展已成为石油化工行业面临的战略选择</w:t>
      </w:r>
    </w:p>
    <w:p w14:paraId="5CF79119">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在上述能源格局转型的大背景下，石油化工行业作为能源消耗和碳排放的大户，绿色低碳发展已是其无法回避的战略抉择。低碳转型不仅出于应对全球气候变化挑战的紧迫需求，更关系到行业未来的市场竞争力和可持续发展。</w:t>
      </w:r>
    </w:p>
    <w:p w14:paraId="1D629684">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从国际趋势来看，各大跨国石化企业如英国石油公司和埃克森美孚公司，均积极布局低碳业务，设定净零排放目标，并在新能源、碳捕集与利用、氢能等领域投入巨资，以抢占全球低碳市场先机。这一趋势表明，石化行业未来国际竞争格局将围绕低碳技术、低碳产品和绿色产业链展开，绿色低碳转型已迫在眉睫。</w:t>
      </w:r>
    </w:p>
    <w:p w14:paraId="6A58217D">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因此，绿色低碳发展对于石油化工行业而言已是战略必选项。我国石化行业应积极把握低碳转型带来的机遇，依靠技术创新，开发清洁低碳工艺与绿色产品，降低自身碳排放。石化企业唯有主动拥抱绿色转型，提前布局未来产业方向，才能在国际竞争中占据有利位置，实现长期高质量可持续发展。</w:t>
      </w:r>
    </w:p>
    <w:p w14:paraId="5B5D17FD">
      <w:pPr>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3.4.</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4</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企业政策合规性及风险分析</w:t>
      </w:r>
    </w:p>
    <w:p w14:paraId="043BDD41">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企业目前计划新建项目达到相关政策要求，达标层面，在</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政策合规性方面，泉州基地芳烃扩能项目位于依法</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设立的产业园区，符合《“三线一单”生态环境分区管控方案》，未涉及生态红线，满足生态环境准入清单、总量控制及碳达峰等指标。项目装置大型化与“减油增化”方向一致，项目以芳烃产品替代燃料油作为目标，提高化工转化率，符合国家从“燃料型炼厂”向“原料型炼厂”转型政策。能耗与工艺优化方面，芳烃扩能项目选用结晶分离代替吸附分离工艺、大幅降低燃料气使用，并进行了工艺热耦合涉及、能量回收等措施。电气化及绿色能源替代率提升方面，乙烯项目中有20%的电力将使用绿电，同时预留厂区光伏建设可能性。</w:t>
      </w:r>
    </w:p>
    <w:p w14:paraId="138A18D4">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存在差距方面，项目二氧化碳强度偏高，100万吨/年乙烯（1.79 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/万元）的碳排放强度高于目前炼化一体化碳排放强度水平（2024年1.37吨CO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/万元）；绿氢、CCUS等先进低碳路径仍为远期规划，尚未落地执行；间接能源消费（电力、热力）占比高，芳烃项目年电力碳排放为26.97万吨，占比超过50%，降低电碳强度仍是重点。</w:t>
      </w:r>
    </w:p>
    <w:p w14:paraId="51A4421A">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供应链碳足迹要求方面，未来出口产品将面临碳足迹申报要求，欧盟碳边境调节税等机制等正在推进，大宗商品定价正在纳入环境成本内部化机制，欧盟碳边境调节税已倒逼铝、塑料等产品出现“绿色溢价”，2022年低碳铝相较于传统产品溢价达15%；目前PX、苯乙烯等出口品种暂未纳入申报体系，但建议化工企业提前布局，构建以产品为单元的碳足迹数据库，推动芳烃、乙烯、聚丙烯、PTA等核心产品认证绿色标签，与国内“双碳产品认证平台”“绿色供应链试点”政策对接。</w:t>
      </w:r>
    </w:p>
    <w:p w14:paraId="11A6A746">
      <w:pPr>
        <w:widowControl/>
        <w:spacing w:line="560" w:lineRule="exact"/>
        <w:jc w:val="lef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03" w:name="_Toc2025107910"/>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3.5</w:t>
      </w:r>
      <w:r>
        <w:rPr>
          <w:rFonts w:ascii="Times New Roman Regular" w:hAnsi="Times New Roman Regular" w:eastAsia="黑体" w:cs="Times New Roman Regular"/>
          <w:color w:val="000000" w:themeColor="text1"/>
          <w:sz w:val="28"/>
          <w:szCs w:val="28"/>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绿色电力可行性分析</w:t>
      </w:r>
      <w:bookmarkEnd w:id="103"/>
    </w:p>
    <w:p w14:paraId="05A7C903">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3.5</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.1 政策对绿电消纳的支持情况</w:t>
      </w:r>
    </w:p>
    <w:p w14:paraId="595430E0">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绿电交易</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是以非水可再生能源产生的绿色电力为标的的中长期交易，绿电不仅包含电能量价值，还包含环境价值。当前交易规则中电源侧只有陆上集中式的风电、光伏项目才具备参与绿电交易的资格，其交易价格由电能量价格和环境溢价组成。绿证是绿色电力的“身份证”，是绿电的环境权益的唯一凭证。</w:t>
      </w:r>
    </w:p>
    <w:p w14:paraId="1D256ECF">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2024年2月</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国家发改委等部门发布《关于加强绿色电力证书与节能降碳政策衔接 大力促进非化石能源消费的通知》（发改环资〔2024〕113号），提出一系列突破性举措。首先，明确非化石能源消费不纳入能源消费总量和强度考核，“十四五”考核中各地区使用的可再生能源和核电量可从能源消费总量中扣除。这意味着企业或地区多用绿电将在能耗考核上不受惩罚。其次，将绿证交易电量计入节能目标责任考核：绿证被视为可再生能源电力消费的基础凭证，其对应的电量在政府对省级人民政府的节能目标考核中予以扣减计入。同一通知还要求各类企业，特别是中央企业和地方国有企业，要发挥带头作用，稳步提升可再生能源消费比例。中央企业、政府机构、公共部门被鼓励主动购买绿证、使用绿电，以形成示范效应。这些政策为央企和地方国企利用绿电实现节能降碳提供了直接的激励和考核依据。</w:t>
      </w:r>
    </w:p>
    <w:p w14:paraId="797890E5">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当前，针对企业层面的核算与考核，在碳市场核算规则下，电力消耗的活动水平数据基于实际监测可得的用户实际用电量考量。 “绿电直连”以其物理直连的特性，是直接可监测的电量，可根据用量比例和对应的排放因子参与“范围二”的计算，按照0排放因子进行核算。从2023年开始，通过市场化交易以“证电合一”凭证支撑进行“碳抵消”的碳市场试点省份有天津、北京、上海、湖北、深圳，以直接扣除、抵消配额缺口等政策支持绿电消费量的扣除。当前国家碳市场在履约层面，2025年启动了从单一行业到多行业覆盖，同步取消了对范围二的履约边界，旨在解决发电、用电同源的“双重追责”问题。</w:t>
      </w:r>
    </w:p>
    <w:p w14:paraId="12BFECA8">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在产品碳足迹核算边界下，CBAM规则支持物理直连的绿电及可追溯的来自于公共电网的绿电部分。当前国家的电力市场交易，通过市场化交易获得绿电具备可追溯及相关凭证。</w:t>
      </w:r>
    </w:p>
    <w:p w14:paraId="5989B589">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总体而言，企业层面与产品层面的碳排放数据核算，支持物理直连消纳的绿电0核算；碳市场下，五个试点碳市场支持“证电合一”的核算与履约，国家碳市场核算角度尚不支持直接扣除，但在履约方面给予了直接豁免。企业当下的数据管理、绿电采购决策，考虑碳市场的政策发展导向和CBAM的政策导向，建议对于市场化交易获得的绿电按照扣除进行核算。</w:t>
      </w:r>
    </w:p>
    <w:p w14:paraId="587BA736">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3.5.2</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福建省绿色电力资源情况</w:t>
      </w:r>
    </w:p>
    <w:p w14:paraId="2BAEF94E">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截至2024年11月，福建省总电力装机8750.2万千瓦，其中火电装机3849.32万千瓦；核电装机1166.2万千瓦；水电装机1719.97万千瓦；风电装机793.04万千瓦；光伏装机1192.7万千瓦。</w:t>
      </w:r>
    </w:p>
    <w:p w14:paraId="32713D5B">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1-12月，福建省总发电量3270.6亿千瓦时，同比增长5.8%；其中，火电发电量1910亿千瓦时，同比增长6.8%；水力发电量290亿千瓦时，同比增长19.6%；风力发电量245.7亿千瓦时，同比增长15%；太阳能发电量10.0351亿千瓦时，同比增长38.2%；核电发电量814.8亿千瓦时，同比增长-3%。</w:t>
      </w:r>
    </w:p>
    <w:p w14:paraId="1CB0482E">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福建省为净电量输出省份，主要外送省份为华东区域浙江、江苏、广东等省份，根据网架结构分析，周边联络线路主要有浙北-福州特高压交流工程、闽粤联网工程、福建-江西500千伏线路，联络省份绿电均供不应求，通过省间交易购买绿电可能性较低。</w:t>
      </w:r>
    </w:p>
    <w:p w14:paraId="77AD4DF7">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省内市场化交易方面，2024年，福建省共有22家发电企业、29家售电公司和7家批发用户参与绿电交易，全年累计结算绿电电量17.4亿千瓦时，结算均价0.4431元/千瓦时。共计490家电力用户获得绿电电量，其中批发用户7家，购得绿电电量4.4亿瓦时。</w:t>
      </w:r>
    </w:p>
    <w:p w14:paraId="2382A902">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省内新能源装机以风电为主，且海上风电装机容量较大，根据现行绿电交易规则，海上风电无法参与专场的绿电交易，2024年全年累计结算绿电电量17.4亿千瓦时，成交量较小，平均绿电溢价约1.8分/千瓦时。</w:t>
      </w:r>
    </w:p>
    <w:p w14:paraId="145E465F">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3.5</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3</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 泉州基地绿电采购渠道与方案</w:t>
      </w:r>
    </w:p>
    <w:p w14:paraId="33DF9513">
      <w:pPr>
        <w:outlineLvl w:val="3"/>
        <w:rPr>
          <w:rFonts w:ascii="仿宋" w:hAnsi="仿宋" w:eastAsia="仿宋"/>
          <w:b/>
          <w:sz w:val="28"/>
          <w:szCs w:val="28"/>
        </w:rPr>
      </w:pPr>
      <w:r>
        <w:rPr>
          <w:rFonts w:hint="eastAsia" w:ascii="仿宋" w:hAnsi="仿宋" w:eastAsia="仿宋"/>
          <w:b/>
          <w:sz w:val="28"/>
          <w:szCs w:val="28"/>
        </w:rPr>
        <w:t>1.以市场化交易为主提前布局省内绿电市场化交易渠道</w:t>
      </w:r>
    </w:p>
    <w:p w14:paraId="1F34D216">
      <w:pPr>
        <w:ind w:firstLine="560" w:firstLineChars="200"/>
        <w:rPr>
          <w:rFonts w:ascii="仿宋" w:hAnsi="仿宋" w:eastAsia="仿宋"/>
          <w:sz w:val="28"/>
          <w:szCs w:val="28"/>
        </w:rPr>
      </w:pPr>
      <w:r>
        <w:rPr>
          <w:rFonts w:hint="eastAsia" w:ascii="仿宋" w:hAnsi="仿宋" w:eastAsia="仿宋"/>
          <w:sz w:val="28"/>
          <w:szCs w:val="28"/>
        </w:rPr>
        <w:t>基于当前国家及福建省的绿电采购程序、相关政策，中化能源所属的中化能科碳资产公司具备相关业务资源，已经开展了多方的业务渠道对接、可行性研判，计划协助中化能源、泉州基地在做好“十五五”低碳规划的同时，充分铺垫、锁定相关的售电渠道与新能源项目资源，制定确保泉州基地十五五期间强度指标满足国资委及集团相关要求。</w:t>
      </w:r>
      <w:bookmarkStart w:id="104" w:name="OLE_LINK13"/>
    </w:p>
    <w:bookmarkEnd w:id="104"/>
    <w:p w14:paraId="6E3BF0D6">
      <w:pPr>
        <w:ind w:firstLine="560" w:firstLineChars="200"/>
        <w:rPr>
          <w:rFonts w:ascii="仿宋" w:hAnsi="仿宋" w:eastAsia="仿宋"/>
          <w:b/>
          <w:sz w:val="28"/>
          <w:szCs w:val="28"/>
        </w:rPr>
      </w:pPr>
      <w:r>
        <w:rPr>
          <w:rFonts w:hint="eastAsia" w:ascii="仿宋" w:hAnsi="仿宋" w:eastAsia="仿宋"/>
          <w:sz w:val="28"/>
          <w:szCs w:val="28"/>
        </w:rPr>
        <w:t>经分析研判，电力用户签订多年期绿电</w:t>
      </w:r>
      <w:r>
        <w:rPr>
          <w:rFonts w:ascii="仿宋" w:hAnsi="仿宋" w:eastAsia="仿宋"/>
          <w:sz w:val="28"/>
          <w:szCs w:val="28"/>
        </w:rPr>
        <w:t>PPA合约时，需承担以下风险：（1）由于价格锁定，未来市场价格下降时，可能需要承担额外的电价成本；（2）电源出力不稳定的风险，新能源发电曲线无法完全匹配电力用户用电需求曲线，需搭配其他品种电源协同交易；（3）政策变动风险，政策变化频繁，基本每年发布一版新政策，长周期来看，现行签约方案可能不适用于未来市场变化。</w:t>
      </w:r>
      <w:r>
        <w:rPr>
          <w:rFonts w:hint="eastAsia" w:ascii="仿宋" w:hAnsi="仿宋" w:eastAsia="仿宋"/>
          <w:sz w:val="28"/>
          <w:szCs w:val="28"/>
        </w:rPr>
        <w:t>因此，</w:t>
      </w:r>
      <w:r>
        <w:rPr>
          <w:rFonts w:hint="eastAsia" w:ascii="仿宋" w:hAnsi="仿宋" w:eastAsia="仿宋"/>
          <w:b/>
          <w:sz w:val="28"/>
          <w:szCs w:val="28"/>
        </w:rPr>
        <w:t>建议由碳资产公司专业团队协调资源、</w:t>
      </w:r>
      <w:r>
        <w:rPr>
          <w:rFonts w:ascii="仿宋" w:hAnsi="仿宋" w:eastAsia="仿宋"/>
          <w:b/>
          <w:sz w:val="28"/>
          <w:szCs w:val="28"/>
        </w:rPr>
        <w:t>按照逐年签订年度市场化交易协议的方式开展福建省内的绿电交易。</w:t>
      </w:r>
    </w:p>
    <w:p w14:paraId="7F5DE8E4">
      <w:pPr>
        <w:outlineLvl w:val="3"/>
        <w:rPr>
          <w:rFonts w:ascii="仿宋" w:hAnsi="仿宋" w:eastAsia="仿宋"/>
          <w:b/>
          <w:sz w:val="28"/>
          <w:szCs w:val="28"/>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hint="eastAsia" w:ascii="仿宋" w:hAnsi="仿宋" w:eastAsia="仿宋"/>
          <w:b/>
          <w:sz w:val="28"/>
          <w:szCs w:val="28"/>
        </w:rPr>
        <w:t>绿电采购执行方案（以2026年内采购为例）</w:t>
      </w:r>
    </w:p>
    <w:p w14:paraId="4831C0D0">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1）2025年7月，对泉州基地负荷情况进行调研分析，掌握泉州基地用电户号、历史分月用电量、用电负荷曲线、自备电厂自发自用电量等用电信息，分析企业2026年用电量预测(分月/季度)及绿电需求比例，制定2026年绿电需求量，评估绿电采购模式(直接交易/代理购电)及成本预算；</w:t>
      </w:r>
    </w:p>
    <w:p w14:paraId="4E42B24A">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2）2025年8月份前往福建交易中心调研福建省绿电交易政策、价格机制，并同步了解福建省购买外省绿电是否有省间计划、政策支持及近期典型案例；</w:t>
      </w:r>
    </w:p>
    <w:p w14:paraId="23F16D4F">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3）2025年9月份，进一步筛选、评估福建省内绿电供应商清单，与省内华电、华能等绿电发电企业洽谈绿电价格（电能量价格+环境溢价）、电量及交割方式；</w:t>
      </w:r>
    </w:p>
    <w:p w14:paraId="129CC4DE">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4）2025年10月份，结合市场绿电披露价格确定交易价格，签订合同，完成合同签订后提交福建省交易中心备案，确定电量代理关系与绿电合作协议（明确电量、价格区间、交割时间）；</w:t>
      </w:r>
    </w:p>
    <w:p w14:paraId="7F0081E5">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5）2025年9月-11月，参与福建电力交易中心月度绿电双边/集中竞价交易，划分偏差（电量的偏差）考核责任，并每月监测绿电实际消纳情况，协调偏差处理；</w:t>
      </w:r>
    </w:p>
    <w:p w14:paraId="532C971A">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6）2025年11月-12月，根据福建交易中心发布的年度交易方案，按时参与福建电力交易中心年度绿电双边/集中竞价交易，完成2026全年90%左右绿电需求量交易，剩余部分通过参与月度绿电交易进行补充。</w:t>
      </w:r>
    </w:p>
    <w:p w14:paraId="4F4F52FA">
      <w:pPr>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3. </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成本测算</w:t>
      </w:r>
    </w:p>
    <w:p w14:paraId="3215BEFE">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按照十四五规划，绿电数量计划采购整体外购电力的30%，即购电10.17亿千瓦时；参考2024年福建省绿电平均溢价金额1.8分/千瓦时，额外成本1,830.6万元，总成本46,898.87万元（基础电价0.4431元/千瓦时）。</w:t>
      </w:r>
    </w:p>
    <w:p w14:paraId="073D9C63">
      <w:pPr>
        <w:snapToGrid w:val="0"/>
        <w:spacing w:before="156" w:beforeLines="50" w:after="156" w:afterLines="50" w:line="560" w:lineRule="exact"/>
        <w:ind w:firstLine="560" w:firstLineChars="200"/>
        <w:jc w:val="left"/>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按照本期规划、美丽中国方案中提及的20%指标数据，2025年、2030年绿电采购量占20%，即外购4.98亿千瓦时电力，额外成本896.4万元，总成本22,962.78万元（基础电价0.4431元/千瓦时）。</w:t>
      </w:r>
    </w:p>
    <w:p w14:paraId="67A0F6CD">
      <w:pPr>
        <w:snapToGrid w:val="0"/>
        <w:spacing w:before="156" w:beforeLines="50" w:after="156" w:afterLines="50" w:line="560" w:lineRule="exact"/>
        <w:ind w:firstLine="400" w:firstLineChars="200"/>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3</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绿电购买成本测算</w:t>
      </w:r>
    </w:p>
    <w:tbl>
      <w:tblPr>
        <w:tblStyle w:val="16"/>
        <w:tblW w:w="0" w:type="auto"/>
        <w:tblInd w:w="0" w:type="dxa"/>
        <w:tblLayout w:type="autofit"/>
        <w:tblCellMar>
          <w:top w:w="15" w:type="dxa"/>
          <w:left w:w="15" w:type="dxa"/>
          <w:bottom w:w="15" w:type="dxa"/>
          <w:right w:w="15" w:type="dxa"/>
        </w:tblCellMar>
      </w:tblPr>
      <w:tblGrid>
        <w:gridCol w:w="1489"/>
        <w:gridCol w:w="1789"/>
        <w:gridCol w:w="1809"/>
        <w:gridCol w:w="1762"/>
        <w:gridCol w:w="1657"/>
      </w:tblGrid>
      <w:tr w14:paraId="7C836629">
        <w:tblPrEx>
          <w:tblCellMar>
            <w:top w:w="15" w:type="dxa"/>
            <w:left w:w="15" w:type="dxa"/>
            <w:bottom w:w="15" w:type="dxa"/>
            <w:right w:w="15" w:type="dxa"/>
          </w:tblCellMar>
        </w:tblPrEx>
        <w:trPr>
          <w:tblHeader/>
        </w:trPr>
        <w:tc>
          <w:tcPr>
            <w:tcW w:w="0" w:type="auto"/>
            <w:tcBorders>
              <w:top w:val="nil"/>
            </w:tcBorders>
            <w:shd w:val="clear" w:color="auto" w:fill="auto"/>
            <w:tcMar>
              <w:top w:w="200" w:type="dxa"/>
              <w:left w:w="0" w:type="dxa"/>
              <w:bottom w:w="200" w:type="dxa"/>
              <w:right w:w="200" w:type="dxa"/>
            </w:tcMar>
            <w:vAlign w:val="center"/>
          </w:tcPr>
          <w:p w14:paraId="76097223">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采购比例</w:t>
            </w:r>
          </w:p>
        </w:tc>
        <w:tc>
          <w:tcPr>
            <w:tcW w:w="0" w:type="auto"/>
            <w:tcBorders>
              <w:top w:val="nil"/>
            </w:tcBorders>
            <w:shd w:val="clear" w:color="auto" w:fill="auto"/>
            <w:tcMar>
              <w:top w:w="200" w:type="dxa"/>
              <w:left w:w="200" w:type="dxa"/>
              <w:bottom w:w="200" w:type="dxa"/>
              <w:right w:w="200" w:type="dxa"/>
            </w:tcMar>
            <w:vAlign w:val="center"/>
          </w:tcPr>
          <w:p w14:paraId="02BE5202">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绿电量（亿kWh）</w:t>
            </w:r>
          </w:p>
        </w:tc>
        <w:tc>
          <w:tcPr>
            <w:tcW w:w="0" w:type="auto"/>
            <w:tcBorders>
              <w:top w:val="nil"/>
            </w:tcBorders>
            <w:shd w:val="clear" w:color="auto" w:fill="auto"/>
            <w:tcMar>
              <w:top w:w="200" w:type="dxa"/>
              <w:left w:w="200" w:type="dxa"/>
              <w:bottom w:w="200" w:type="dxa"/>
              <w:right w:w="200" w:type="dxa"/>
            </w:tcMar>
            <w:vAlign w:val="center"/>
          </w:tcPr>
          <w:p w14:paraId="227A24DD">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基础电费（万元）</w:t>
            </w:r>
          </w:p>
        </w:tc>
        <w:tc>
          <w:tcPr>
            <w:tcW w:w="0" w:type="auto"/>
            <w:tcBorders>
              <w:top w:val="nil"/>
            </w:tcBorders>
            <w:shd w:val="clear" w:color="auto" w:fill="auto"/>
            <w:tcMar>
              <w:top w:w="200" w:type="dxa"/>
              <w:left w:w="200" w:type="dxa"/>
              <w:bottom w:w="200" w:type="dxa"/>
              <w:right w:w="200" w:type="dxa"/>
            </w:tcMar>
            <w:vAlign w:val="center"/>
          </w:tcPr>
          <w:p w14:paraId="2C0B20C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额外成本（万元）</w:t>
            </w:r>
          </w:p>
        </w:tc>
        <w:tc>
          <w:tcPr>
            <w:tcW w:w="0" w:type="auto"/>
            <w:tcBorders>
              <w:top w:val="nil"/>
            </w:tcBorders>
            <w:shd w:val="clear" w:color="auto" w:fill="auto"/>
            <w:tcMar>
              <w:top w:w="200" w:type="dxa"/>
              <w:left w:w="200" w:type="dxa"/>
              <w:bottom w:w="200" w:type="dxa"/>
              <w:right w:w="200" w:type="dxa"/>
            </w:tcMar>
            <w:vAlign w:val="center"/>
          </w:tcPr>
          <w:p w14:paraId="7DAFCC3E">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总成本（万元）</w:t>
            </w:r>
          </w:p>
        </w:tc>
      </w:tr>
      <w:tr w14:paraId="21154DB0">
        <w:tblPrEx>
          <w:tblCellMar>
            <w:top w:w="15" w:type="dxa"/>
            <w:left w:w="15" w:type="dxa"/>
            <w:bottom w:w="15" w:type="dxa"/>
            <w:right w:w="15" w:type="dxa"/>
          </w:tblCellMar>
        </w:tblPrEx>
        <w:tc>
          <w:tcPr>
            <w:tcW w:w="0" w:type="auto"/>
            <w:shd w:val="clear" w:color="auto" w:fill="auto"/>
            <w:tcMar>
              <w:top w:w="200" w:type="dxa"/>
              <w:left w:w="0" w:type="dxa"/>
              <w:bottom w:w="200" w:type="dxa"/>
              <w:right w:w="200" w:type="dxa"/>
            </w:tcMar>
            <w:vAlign w:val="center"/>
          </w:tcPr>
          <w:p w14:paraId="4770CF27">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30%（十四五）</w:t>
            </w:r>
          </w:p>
        </w:tc>
        <w:tc>
          <w:tcPr>
            <w:tcW w:w="0" w:type="auto"/>
            <w:shd w:val="clear" w:color="auto" w:fill="auto"/>
            <w:tcMar>
              <w:top w:w="200" w:type="dxa"/>
              <w:left w:w="200" w:type="dxa"/>
              <w:bottom w:w="200" w:type="dxa"/>
              <w:right w:w="200" w:type="dxa"/>
            </w:tcMar>
            <w:vAlign w:val="center"/>
          </w:tcPr>
          <w:p w14:paraId="6141032E">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10.17</w:t>
            </w:r>
          </w:p>
        </w:tc>
        <w:tc>
          <w:tcPr>
            <w:tcW w:w="0" w:type="auto"/>
            <w:shd w:val="clear" w:color="auto" w:fill="auto"/>
            <w:tcMar>
              <w:top w:w="200" w:type="dxa"/>
              <w:left w:w="200" w:type="dxa"/>
              <w:bottom w:w="200" w:type="dxa"/>
              <w:right w:w="200" w:type="dxa"/>
            </w:tcMar>
            <w:vAlign w:val="center"/>
          </w:tcPr>
          <w:p w14:paraId="4E06978A">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45,068.27</w:t>
            </w:r>
          </w:p>
        </w:tc>
        <w:tc>
          <w:tcPr>
            <w:tcW w:w="0" w:type="auto"/>
            <w:shd w:val="clear" w:color="auto" w:fill="auto"/>
            <w:tcMar>
              <w:top w:w="200" w:type="dxa"/>
              <w:left w:w="200" w:type="dxa"/>
              <w:bottom w:w="200" w:type="dxa"/>
              <w:right w:w="200" w:type="dxa"/>
            </w:tcMar>
            <w:vAlign w:val="center"/>
          </w:tcPr>
          <w:p w14:paraId="0DA28DC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1,830.6</w:t>
            </w:r>
          </w:p>
        </w:tc>
        <w:tc>
          <w:tcPr>
            <w:tcW w:w="0" w:type="auto"/>
            <w:shd w:val="clear" w:color="auto" w:fill="auto"/>
            <w:tcMar>
              <w:top w:w="200" w:type="dxa"/>
              <w:left w:w="200" w:type="dxa"/>
              <w:bottom w:w="200" w:type="dxa"/>
              <w:right w:w="200" w:type="dxa"/>
            </w:tcMar>
            <w:vAlign w:val="center"/>
          </w:tcPr>
          <w:p w14:paraId="5E0C451F">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46,898.87</w:t>
            </w:r>
          </w:p>
        </w:tc>
      </w:tr>
      <w:tr w14:paraId="70E0343B">
        <w:tblPrEx>
          <w:tblCellMar>
            <w:top w:w="15" w:type="dxa"/>
            <w:left w:w="15" w:type="dxa"/>
            <w:bottom w:w="15" w:type="dxa"/>
            <w:right w:w="15" w:type="dxa"/>
          </w:tblCellMar>
        </w:tblPrEx>
        <w:tc>
          <w:tcPr>
            <w:tcW w:w="0" w:type="auto"/>
            <w:shd w:val="clear" w:color="auto" w:fill="auto"/>
            <w:tcMar>
              <w:top w:w="200" w:type="dxa"/>
              <w:left w:w="0" w:type="dxa"/>
              <w:bottom w:w="200" w:type="dxa"/>
              <w:right w:w="200" w:type="dxa"/>
            </w:tcMar>
            <w:vAlign w:val="center"/>
          </w:tcPr>
          <w:p w14:paraId="6791D95E">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20%（美丽中国）</w:t>
            </w:r>
          </w:p>
        </w:tc>
        <w:tc>
          <w:tcPr>
            <w:tcW w:w="0" w:type="auto"/>
            <w:shd w:val="clear" w:color="auto" w:fill="auto"/>
            <w:tcMar>
              <w:top w:w="200" w:type="dxa"/>
              <w:left w:w="200" w:type="dxa"/>
              <w:bottom w:w="200" w:type="dxa"/>
              <w:right w:w="200" w:type="dxa"/>
            </w:tcMar>
            <w:vAlign w:val="center"/>
          </w:tcPr>
          <w:p w14:paraId="30E572A7">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4.98</w:t>
            </w:r>
          </w:p>
        </w:tc>
        <w:tc>
          <w:tcPr>
            <w:tcW w:w="0" w:type="auto"/>
            <w:shd w:val="clear" w:color="auto" w:fill="auto"/>
            <w:tcMar>
              <w:top w:w="200" w:type="dxa"/>
              <w:left w:w="200" w:type="dxa"/>
              <w:bottom w:w="200" w:type="dxa"/>
              <w:right w:w="200" w:type="dxa"/>
            </w:tcMar>
            <w:vAlign w:val="center"/>
          </w:tcPr>
          <w:p w14:paraId="22B4E7B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22,066.38</w:t>
            </w:r>
          </w:p>
        </w:tc>
        <w:tc>
          <w:tcPr>
            <w:tcW w:w="0" w:type="auto"/>
            <w:shd w:val="clear" w:color="auto" w:fill="auto"/>
            <w:tcMar>
              <w:top w:w="200" w:type="dxa"/>
              <w:left w:w="200" w:type="dxa"/>
              <w:bottom w:w="200" w:type="dxa"/>
              <w:right w:w="200" w:type="dxa"/>
            </w:tcMar>
            <w:vAlign w:val="center"/>
          </w:tcPr>
          <w:p w14:paraId="7480713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896.4</w:t>
            </w:r>
          </w:p>
        </w:tc>
        <w:tc>
          <w:tcPr>
            <w:tcW w:w="0" w:type="auto"/>
            <w:shd w:val="clear" w:color="auto" w:fill="auto"/>
            <w:tcMar>
              <w:top w:w="200" w:type="dxa"/>
              <w:left w:w="200" w:type="dxa"/>
              <w:bottom w:w="200" w:type="dxa"/>
              <w:right w:w="200" w:type="dxa"/>
            </w:tcMar>
            <w:vAlign w:val="center"/>
          </w:tcPr>
          <w:p w14:paraId="2C93741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22,962.78</w:t>
            </w:r>
          </w:p>
        </w:tc>
      </w:tr>
    </w:tbl>
    <w:p w14:paraId="04EEE785">
      <w:pPr>
        <w:outlineLvl w:val="3"/>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4. </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风险评估</w:t>
      </w:r>
    </w:p>
    <w:p w14:paraId="1AF03BB1">
      <w:pPr>
        <w:spacing w:after="100" w:afterAutospacing="1"/>
        <w:outlineLvl w:val="4"/>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绿电资源的可得性风险</w:t>
      </w:r>
    </w:p>
    <w:p w14:paraId="6063E92D">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根据福建电力交易中心数据，2024年福建省通过绿电交易获取的绿色电量总计约17.4亿千瓦时 。相比之下，泉州石化计划外购电量的20%约为4.98亿千瓦时。这一目标电量相当于2024年全省绿电交易总量28.6%。由此可见，泉州石化单一企业的绿电需求占据全省年度绿电交易超过四分之一份额。从供应角度分析，目前福建每年可市场化交易的绿电总量接近25-30亿千瓦时，整体上能够覆盖泉州石化的需求。这就需要格外关注资源的可获得性，建议借助专业团队的力量专项推进绿电采购事项。</w:t>
      </w:r>
    </w:p>
    <w:p w14:paraId="35ECE121">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福建绿电交易规模正快速扩大，有望逐年攀升（官方预测2025年全省清洁能源交易规模将显著增加 ）。预计在供给侧新增海上风电、大型光伏项目投产以及更多存量项目转向市场化后，三年内福建绿电可交易电量有潜力达到30-40亿千瓦时水平。</w:t>
      </w:r>
    </w:p>
    <w:p w14:paraId="73E97220">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综上，从可行性上看，泉州石化20%的绿电外购目标具有进取性但可通过努力接近。结合2024年全省绿电成交数据和未来增长趋势，该目标基本可涵盖在未来福建绿电交易规模之内。但为稳妥起见，建议在方案实施过程中密切关注市场供需：若发现年度绿电交易量难以支撑20%比例，届时由专业团队灵活调整目标至略低比例（如15%）或分阶段实现，以确保既满足绿色用能意愿又不引发过度成本和供应风险。</w:t>
      </w:r>
    </w:p>
    <w:p w14:paraId="15C41A6A">
      <w:pPr>
        <w:spacing w:after="100" w:afterAutospacing="1"/>
        <w:outlineLvl w:val="4"/>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成本波动风险</w:t>
      </w:r>
    </w:p>
    <w:p w14:paraId="40F8BDED">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绿电交易采购成本的波动，主要取决于市场电价走势和绿电溢价变化两方面。其中，电能量价格波动受燃料成本、供需形势等影响呈现波动，但因有国家调控，剧烈波动风险可控，大方向是随着新能源占比提高，市场电价中枢有望保持平稳或略降。绿电溢价方面主要体现在绿色环境价值（即绿证价格）的波动，主要由政策供需决定。当前绿电溢价呈现分区域的特点，未来若政府加强可再生能源消纳考核、更多企业抢购绿电，绿电价格可能回升。建议采用多方渠道、中长期锁价+滚动购电的组合策略，既锁定主要资源、电量价格、降低年度波动，又保留部分灵活度应对市场行情。</w:t>
      </w:r>
    </w:p>
    <w:p w14:paraId="5F0837BF">
      <w:pPr>
        <w:snapToGrid w:val="0"/>
        <w:spacing w:before="156" w:beforeLines="50" w:after="156" w:afterLines="50"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60555E92">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105" w:name="_Toc520322067"/>
      <w:bookmarkStart w:id="106" w:name="_Toc1261099774"/>
      <w:bookmarkStart w:id="107" w:name="_Toc23024"/>
      <w:bookmarkStart w:id="108" w:name="_Toc477241460"/>
      <w:bookmarkStart w:id="109" w:name="_Toc1552420776"/>
      <w:r>
        <w:rPr>
          <w:rFonts w:ascii="Times New Roman Regular" w:hAnsi="Times New Roman Regular" w:eastAsia="黑体" w:cs="Times New Roman Regular"/>
          <w:color w:val="000000" w:themeColor="text1"/>
          <w:sz w:val="28"/>
          <w:szCs w:val="28"/>
          <w14:textFill>
            <w14:solidFill>
              <w14:schemeClr w14:val="tx1"/>
            </w14:solidFill>
          </w14:textFill>
        </w:rPr>
        <w:t>3</w:t>
      </w:r>
      <w:r>
        <w:rPr>
          <w:rFonts w:hint="eastAsia" w:ascii="Times New Roman Regular" w:hAnsi="Times New Roman Regular" w:eastAsia="黑体" w:cs="Times New Roman Regular"/>
          <w:color w:val="000000" w:themeColor="text1"/>
          <w:sz w:val="28"/>
          <w:szCs w:val="28"/>
          <w14:textFill>
            <w14:solidFill>
              <w14:schemeClr w14:val="tx1"/>
            </w14:solidFill>
          </w14:textFill>
        </w:rPr>
        <w:t>.6</w:t>
      </w:r>
      <w:r>
        <w:rPr>
          <w:rFonts w:ascii="Times New Roman Regular" w:hAnsi="Times New Roman Regular" w:eastAsia="黑体" w:cs="Times New Roman Regular"/>
          <w:color w:val="000000" w:themeColor="text1"/>
          <w:sz w:val="28"/>
          <w:szCs w:val="28"/>
          <w14:textFill>
            <w14:solidFill>
              <w14:schemeClr w14:val="tx1"/>
            </w14:solidFill>
          </w14:textFill>
        </w:rPr>
        <w:t>小结</w:t>
      </w:r>
      <w:bookmarkEnd w:id="105"/>
      <w:bookmarkEnd w:id="106"/>
      <w:bookmarkEnd w:id="107"/>
      <w:bookmarkEnd w:id="108"/>
      <w:bookmarkEnd w:id="109"/>
    </w:p>
    <w:p w14:paraId="789821D6">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综合以上分析，未来企业外部发展环境总体呈现政策约束与产业机遇并存的趋势。在国家政策层面，</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“双碳”</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目标的顶层设计与碳排放</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“双控”</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政策的实施对石化企业形成较强的减排压力，但同时也为企业提供了加快向绿色低碳产业转型的明确指引和政策保障。福建泉州、山东东营等地方配套政策层面出台的各项支持措施，将有助于企业在清洁生产、新能源、清洁能源、零碳负碳产业等领域布局。</w:t>
      </w:r>
    </w:p>
    <w:p w14:paraId="5F9A7DE2">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节能减排与技术改造方面，当前国家政策支持石化行业进行设备更新和节能改造，通过财政补贴和绿色金融支持，推动企业更新落后设备，采用节能技术，从源头减少能源消耗和碳排放。</w:t>
      </w:r>
    </w:p>
    <w:p w14:paraId="08FCAC30"/>
    <w:p w14:paraId="0C589C39">
      <w:pPr>
        <w:widowControl/>
        <w:jc w:val="center"/>
        <w:rPr>
          <w:rFonts w:eastAsia="黑体"/>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3</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低碳领域重点方向建议</w:t>
      </w:r>
    </w:p>
    <w:tbl>
      <w:tblPr>
        <w:tblStyle w:val="16"/>
        <w:tblW w:w="0" w:type="auto"/>
        <w:tblCellSpacing w:w="15" w:type="dxa"/>
        <w:tblInd w:w="0" w:type="dxa"/>
        <w:tblLayout w:type="autofit"/>
        <w:tblCellMar>
          <w:top w:w="15" w:type="dxa"/>
          <w:left w:w="15" w:type="dxa"/>
          <w:bottom w:w="15" w:type="dxa"/>
          <w:right w:w="15" w:type="dxa"/>
        </w:tblCellMar>
      </w:tblPr>
      <w:tblGrid>
        <w:gridCol w:w="584"/>
        <w:gridCol w:w="2638"/>
        <w:gridCol w:w="1808"/>
        <w:gridCol w:w="3366"/>
      </w:tblGrid>
      <w:tr w14:paraId="29A3D608">
        <w:tblPrEx>
          <w:tblCellMar>
            <w:top w:w="15" w:type="dxa"/>
            <w:left w:w="15" w:type="dxa"/>
            <w:bottom w:w="15" w:type="dxa"/>
            <w:right w:w="15" w:type="dxa"/>
          </w:tblCellMar>
        </w:tblPrEx>
        <w:trPr>
          <w:tblHeader/>
          <w:tblCellSpacing w:w="15" w:type="dxa"/>
        </w:trPr>
        <w:tc>
          <w:tcPr>
            <w:tcW w:w="0" w:type="auto"/>
            <w:shd w:val="clear" w:color="auto" w:fill="auto"/>
            <w:vAlign w:val="center"/>
          </w:tcPr>
          <w:p w14:paraId="28CCA56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政策类别</w:t>
            </w:r>
          </w:p>
        </w:tc>
        <w:tc>
          <w:tcPr>
            <w:tcW w:w="0" w:type="auto"/>
            <w:shd w:val="clear" w:color="auto" w:fill="auto"/>
            <w:vAlign w:val="center"/>
          </w:tcPr>
          <w:p w14:paraId="49CC8CE6">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政策名称</w:t>
            </w:r>
          </w:p>
        </w:tc>
        <w:tc>
          <w:tcPr>
            <w:tcW w:w="0" w:type="auto"/>
            <w:shd w:val="clear" w:color="auto" w:fill="auto"/>
            <w:vAlign w:val="center"/>
          </w:tcPr>
          <w:p w14:paraId="2B74CE36">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重点方向</w:t>
            </w:r>
          </w:p>
        </w:tc>
        <w:tc>
          <w:tcPr>
            <w:tcW w:w="0" w:type="auto"/>
            <w:shd w:val="clear" w:color="auto" w:fill="auto"/>
            <w:vAlign w:val="center"/>
          </w:tcPr>
          <w:p w14:paraId="26C6C6E5">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企业切入点</w:t>
            </w:r>
          </w:p>
        </w:tc>
      </w:tr>
      <w:tr w14:paraId="5DBFF97D">
        <w:tblPrEx>
          <w:tblCellMar>
            <w:top w:w="15" w:type="dxa"/>
            <w:left w:w="15" w:type="dxa"/>
            <w:bottom w:w="15" w:type="dxa"/>
            <w:right w:w="15" w:type="dxa"/>
          </w:tblCellMar>
        </w:tblPrEx>
        <w:trPr>
          <w:tblCellSpacing w:w="15" w:type="dxa"/>
        </w:trPr>
        <w:tc>
          <w:tcPr>
            <w:tcW w:w="0" w:type="auto"/>
            <w:vMerge w:val="restart"/>
            <w:shd w:val="clear" w:color="auto" w:fill="auto"/>
            <w:vAlign w:val="center"/>
          </w:tcPr>
          <w:p w14:paraId="2FB82681">
            <w:pPr>
              <w:jc w:val="center"/>
              <w:rPr>
                <w:rFonts w:ascii="Times New Roman Regular" w:hAnsi="Times New Roman Regular" w:eastAsia="华文楷体" w:cs="Times New Roman Regular"/>
                <w:bCs/>
                <w:color w:val="000000" w:themeColor="text1"/>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lang w:bidi="ar"/>
                <w14:textFill>
                  <w14:solidFill>
                    <w14:schemeClr w14:val="tx1"/>
                  </w14:solidFill>
                </w14:textFill>
              </w:rPr>
              <w:t>国家政策支持</w:t>
            </w:r>
          </w:p>
        </w:tc>
        <w:tc>
          <w:tcPr>
            <w:tcW w:w="0" w:type="auto"/>
            <w:shd w:val="clear" w:color="auto" w:fill="auto"/>
            <w:vAlign w:val="center"/>
          </w:tcPr>
          <w:p w14:paraId="787DFE7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《“十四五”节能减排综合工作方案》</w:t>
            </w:r>
          </w:p>
        </w:tc>
        <w:tc>
          <w:tcPr>
            <w:tcW w:w="0" w:type="auto"/>
            <w:shd w:val="clear" w:color="auto" w:fill="auto"/>
            <w:vAlign w:val="center"/>
          </w:tcPr>
          <w:p w14:paraId="24E0061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推动重点行业节能技术更新，提升整体能效。</w:t>
            </w:r>
          </w:p>
        </w:tc>
        <w:tc>
          <w:tcPr>
            <w:tcW w:w="0" w:type="auto"/>
            <w:shd w:val="clear" w:color="auto" w:fill="auto"/>
            <w:vAlign w:val="center"/>
          </w:tcPr>
          <w:p w14:paraId="213231A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在现有生产线中进行节能改造，改进高能耗环节（如蒸汽裂解、加氢过程）工艺，减少能源消耗。</w:t>
            </w:r>
          </w:p>
        </w:tc>
      </w:tr>
      <w:tr w14:paraId="222CBC3D">
        <w:tblPrEx>
          <w:tblCellMar>
            <w:top w:w="15" w:type="dxa"/>
            <w:left w:w="15" w:type="dxa"/>
            <w:bottom w:w="15" w:type="dxa"/>
            <w:right w:w="15" w:type="dxa"/>
          </w:tblCellMar>
        </w:tblPrEx>
        <w:trPr>
          <w:tblCellSpacing w:w="15" w:type="dxa"/>
        </w:trPr>
        <w:tc>
          <w:tcPr>
            <w:tcW w:w="0" w:type="auto"/>
            <w:vMerge w:val="continue"/>
            <w:shd w:val="clear" w:color="auto" w:fill="auto"/>
            <w:vAlign w:val="center"/>
          </w:tcPr>
          <w:p w14:paraId="251B664D">
            <w:pPr>
              <w:jc w:val="center"/>
              <w:rPr>
                <w:rFonts w:ascii="Times New Roman Regular" w:hAnsi="Times New Roman Regular" w:eastAsia="华文楷体" w:cs="Times New Roman Regular"/>
                <w:bCs/>
                <w:color w:val="000000" w:themeColor="text1"/>
                <w:sz w:val="20"/>
                <w:szCs w:val="21"/>
                <w:lang w:bidi="ar"/>
                <w14:textFill>
                  <w14:solidFill>
                    <w14:schemeClr w14:val="tx1"/>
                  </w14:solidFill>
                </w14:textFill>
              </w:rPr>
            </w:pPr>
          </w:p>
        </w:tc>
        <w:tc>
          <w:tcPr>
            <w:tcW w:w="0" w:type="auto"/>
            <w:shd w:val="clear" w:color="auto" w:fill="auto"/>
            <w:vAlign w:val="center"/>
          </w:tcPr>
          <w:p w14:paraId="06928C1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《工业绿色发展行动计划（2021-2025）》</w:t>
            </w:r>
          </w:p>
        </w:tc>
        <w:tc>
          <w:tcPr>
            <w:tcW w:w="0" w:type="auto"/>
            <w:shd w:val="clear" w:color="auto" w:fill="auto"/>
            <w:vAlign w:val="center"/>
          </w:tcPr>
          <w:p w14:paraId="55D629E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提高节能设备应用比例，推广绿色制造技术。</w:t>
            </w:r>
          </w:p>
        </w:tc>
        <w:tc>
          <w:tcPr>
            <w:tcW w:w="0" w:type="auto"/>
            <w:shd w:val="clear" w:color="auto" w:fill="auto"/>
            <w:vAlign w:val="center"/>
          </w:tcPr>
          <w:p w14:paraId="43EDE45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更新传统设备，采用高效节能设备，提升工艺环节绿色化水平，争取政策资金支持。</w:t>
            </w:r>
          </w:p>
        </w:tc>
      </w:tr>
      <w:tr w14:paraId="21CC9CF9">
        <w:tblPrEx>
          <w:tblCellMar>
            <w:top w:w="15" w:type="dxa"/>
            <w:left w:w="15" w:type="dxa"/>
            <w:bottom w:w="15" w:type="dxa"/>
            <w:right w:w="15" w:type="dxa"/>
          </w:tblCellMar>
        </w:tblPrEx>
        <w:trPr>
          <w:tblCellSpacing w:w="15" w:type="dxa"/>
        </w:trPr>
        <w:tc>
          <w:tcPr>
            <w:tcW w:w="0" w:type="auto"/>
            <w:vMerge w:val="restart"/>
            <w:shd w:val="clear" w:color="auto" w:fill="auto"/>
            <w:vAlign w:val="center"/>
          </w:tcPr>
          <w:p w14:paraId="46E9835B">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地方政策支持</w:t>
            </w:r>
          </w:p>
        </w:tc>
        <w:tc>
          <w:tcPr>
            <w:tcW w:w="0" w:type="auto"/>
            <w:shd w:val="clear" w:color="auto" w:fill="auto"/>
            <w:vAlign w:val="center"/>
          </w:tcPr>
          <w:p w14:paraId="197D1556">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福建省“碳达峰行动方案”</w:t>
            </w:r>
          </w:p>
        </w:tc>
        <w:tc>
          <w:tcPr>
            <w:tcW w:w="0" w:type="auto"/>
            <w:shd w:val="clear" w:color="auto" w:fill="auto"/>
            <w:vAlign w:val="center"/>
          </w:tcPr>
          <w:p w14:paraId="612D260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支持清洁生产和绿色技术应用，促进高效能源利用。</w:t>
            </w:r>
          </w:p>
        </w:tc>
        <w:tc>
          <w:tcPr>
            <w:tcW w:w="0" w:type="auto"/>
            <w:shd w:val="clear" w:color="auto" w:fill="auto"/>
            <w:vAlign w:val="center"/>
          </w:tcPr>
          <w:p w14:paraId="166DC3D1">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企业可利用政策资金支持，改造生产设备，降低能耗；争取绿色技术创新资金，推动低碳设备的研发与应用。</w:t>
            </w:r>
          </w:p>
        </w:tc>
      </w:tr>
      <w:tr w14:paraId="21FA428B">
        <w:tblPrEx>
          <w:tblCellMar>
            <w:top w:w="15" w:type="dxa"/>
            <w:left w:w="15" w:type="dxa"/>
            <w:bottom w:w="15" w:type="dxa"/>
            <w:right w:w="15" w:type="dxa"/>
          </w:tblCellMar>
        </w:tblPrEx>
        <w:trPr>
          <w:tblCellSpacing w:w="15" w:type="dxa"/>
        </w:trPr>
        <w:tc>
          <w:tcPr>
            <w:tcW w:w="0" w:type="auto"/>
            <w:vMerge w:val="continue"/>
            <w:shd w:val="clear" w:color="auto" w:fill="auto"/>
            <w:vAlign w:val="center"/>
          </w:tcPr>
          <w:p w14:paraId="3825570D">
            <w:pPr>
              <w:jc w:val="center"/>
              <w:rPr>
                <w:rFonts w:ascii="Times New Roman Regular" w:hAnsi="Times New Roman Regular" w:eastAsia="华文楷体" w:cs="Times New Roman Regular"/>
                <w:bCs/>
                <w:color w:val="000000" w:themeColor="text1"/>
                <w:sz w:val="20"/>
                <w:szCs w:val="21"/>
                <w:lang w:bidi="ar"/>
                <w14:textFill>
                  <w14:solidFill>
                    <w14:schemeClr w14:val="tx1"/>
                  </w14:solidFill>
                </w14:textFill>
              </w:rPr>
            </w:pPr>
          </w:p>
        </w:tc>
        <w:tc>
          <w:tcPr>
            <w:tcW w:w="0" w:type="auto"/>
            <w:shd w:val="clear" w:color="auto" w:fill="auto"/>
            <w:vAlign w:val="center"/>
          </w:tcPr>
          <w:p w14:paraId="3AFD2D8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《泉州市推进绿色经济产业发展实施方案（2023-2025）》 </w:t>
            </w:r>
          </w:p>
        </w:tc>
        <w:tc>
          <w:tcPr>
            <w:tcW w:w="0" w:type="auto"/>
            <w:shd w:val="clear" w:color="auto" w:fill="auto"/>
            <w:vAlign w:val="center"/>
          </w:tcPr>
          <w:p w14:paraId="6E44C92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加快工业企业绿色化改造、开展园区循环化改造</w:t>
            </w:r>
          </w:p>
        </w:tc>
        <w:tc>
          <w:tcPr>
            <w:tcW w:w="0" w:type="auto"/>
            <w:shd w:val="clear" w:color="auto" w:fill="auto"/>
            <w:vAlign w:val="center"/>
          </w:tcPr>
          <w:p w14:paraId="020EABD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积极参与园区内的低碳设施建设，推动工艺设备的更新换代，降低碳排放。</w:t>
            </w:r>
          </w:p>
        </w:tc>
      </w:tr>
    </w:tbl>
    <w:p w14:paraId="1357D0E8"/>
    <w:p w14:paraId="0D83C6C9"/>
    <w:p w14:paraId="6E30FF3E">
      <w:pPr>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1FBD449D">
      <w:pPr>
        <w:rPr>
          <w:rFonts w:ascii="Times New Roman Regular" w:hAnsi="Times New Roman Regular" w:eastAsia="仿宋_GB2312" w:cs="Times New Roman Regular"/>
          <w:color w:val="000000" w:themeColor="text1"/>
          <w:sz w:val="28"/>
          <w:szCs w:val="28"/>
          <w:lang w:bidi="ar"/>
          <w14:textFill>
            <w14:solidFill>
              <w14:schemeClr w14:val="tx1"/>
            </w14:solidFill>
          </w14:textFill>
        </w:rPr>
        <w:sectPr>
          <w:headerReference r:id="rId10" w:type="default"/>
          <w:pgSz w:w="11906" w:h="16838"/>
          <w:pgMar w:top="1440" w:right="1800" w:bottom="1440" w:left="1800" w:header="851" w:footer="992" w:gutter="0"/>
          <w:pgNumType w:fmt="numberInDash"/>
          <w:cols w:space="425" w:num="1"/>
          <w:docGrid w:type="lines" w:linePitch="312" w:charSpace="0"/>
        </w:sectPr>
      </w:pPr>
    </w:p>
    <w:p w14:paraId="07DB552C">
      <w:pPr>
        <w:rPr>
          <w:color w:val="000000" w:themeColor="text1"/>
          <w14:textFill>
            <w14:solidFill>
              <w14:schemeClr w14:val="tx1"/>
            </w14:solidFill>
          </w14:textFill>
        </w:rPr>
      </w:pPr>
    </w:p>
    <w:p w14:paraId="4833A272">
      <w:pPr>
        <w:widowControl/>
        <w:numPr>
          <w:ilvl w:val="255"/>
          <w:numId w:val="0"/>
        </w:numPr>
        <w:rPr>
          <w:rFonts w:ascii="Times New Roman Regular" w:hAnsi="Times New Roman Regular" w:eastAsia="楷体" w:cs="Times New Roman Regular"/>
          <w:b/>
          <w:bCs/>
          <w:color w:val="000000" w:themeColor="text1"/>
          <w:sz w:val="28"/>
          <w:szCs w:val="28"/>
          <w14:textFill>
            <w14:solidFill>
              <w14:schemeClr w14:val="tx1"/>
            </w14:solidFill>
          </w14:textFill>
        </w:rPr>
      </w:pPr>
      <w:r>
        <w:rPr>
          <w:rFonts w:ascii="Times New Roman Regular" w:hAnsi="Times New Roman Regular" w:eastAsia="楷体" w:cs="Times New Roman Regular"/>
          <w:b/>
          <w:bCs/>
          <w:color w:val="000000" w:themeColor="text1"/>
          <w:sz w:val="28"/>
          <w:szCs w:val="28"/>
          <w14:textFill>
            <w14:solidFill>
              <w14:schemeClr w14:val="tx1"/>
            </w14:solidFill>
          </w14:textFill>
        </w:rPr>
        <w:br w:type="page"/>
      </w:r>
    </w:p>
    <w:p w14:paraId="14A00E98">
      <w:pPr>
        <w:widowControl/>
        <w:numPr>
          <w:ilvl w:val="255"/>
          <w:numId w:val="0"/>
        </w:numPr>
        <w:spacing w:line="560" w:lineRule="exact"/>
        <w:outlineLvl w:val="0"/>
        <w:rPr>
          <w:rFonts w:ascii="Times New Roman Regular" w:hAnsi="Times New Roman Regular" w:eastAsia="方正公文小标宋" w:cs="Times New Roman Regular"/>
          <w:color w:val="000000" w:themeColor="text1"/>
          <w:sz w:val="28"/>
          <w:szCs w:val="28"/>
          <w14:textFill>
            <w14:solidFill>
              <w14:schemeClr w14:val="tx1"/>
            </w14:solidFill>
          </w14:textFill>
        </w:rPr>
      </w:pPr>
      <w:bookmarkStart w:id="110" w:name="_Toc1787789375"/>
      <w:bookmarkStart w:id="111" w:name="_Toc499569485"/>
      <w:bookmarkStart w:id="112" w:name="_Toc145796675"/>
      <w:bookmarkStart w:id="113" w:name="_Toc1757154829"/>
      <w:bookmarkStart w:id="114" w:name="_Toc11903"/>
      <w:r>
        <w:rPr>
          <w:rFonts w:ascii="Times New Roman Regular" w:hAnsi="Times New Roman Regular" w:eastAsia="方正公文小标宋" w:cs="Times New Roman Regular"/>
          <w:color w:val="000000" w:themeColor="text1"/>
          <w:sz w:val="28"/>
          <w:szCs w:val="28"/>
          <w14:textFill>
            <w14:solidFill>
              <w14:schemeClr w14:val="tx1"/>
            </w14:solidFill>
          </w14:textFill>
        </w:rPr>
        <w:t>四、标杆对标（2020</w:t>
      </w:r>
      <w:r>
        <w:rPr>
          <w:rFonts w:hint="eastAsia" w:ascii="Times New Roman Regular" w:hAnsi="Times New Roman Regular" w:eastAsia="方正公文小标宋" w:cs="Times New Roman Regular"/>
          <w:color w:val="000000" w:themeColor="text1"/>
          <w:sz w:val="28"/>
          <w:szCs w:val="28"/>
          <w14:textFill>
            <w14:solidFill>
              <w14:schemeClr w14:val="tx1"/>
            </w14:solidFill>
          </w14:textFill>
        </w:rPr>
        <w:t>—</w:t>
      </w:r>
      <w:r>
        <w:rPr>
          <w:rFonts w:ascii="Times New Roman Regular" w:hAnsi="Times New Roman Regular" w:eastAsia="方正公文小标宋" w:cs="Times New Roman Regular"/>
          <w:color w:val="000000" w:themeColor="text1"/>
          <w:sz w:val="28"/>
          <w:szCs w:val="28"/>
          <w14:textFill>
            <w14:solidFill>
              <w14:schemeClr w14:val="tx1"/>
            </w14:solidFill>
          </w14:textFill>
        </w:rPr>
        <w:t>2030年）</w:t>
      </w:r>
      <w:bookmarkEnd w:id="110"/>
      <w:bookmarkEnd w:id="111"/>
      <w:bookmarkEnd w:id="112"/>
      <w:bookmarkEnd w:id="113"/>
      <w:bookmarkEnd w:id="114"/>
    </w:p>
    <w:p w14:paraId="3A2E8804">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115" w:name="_Toc1750758272"/>
      <w:bookmarkStart w:id="116" w:name="_Toc1932320448"/>
      <w:bookmarkStart w:id="117" w:name="_Toc306097459"/>
      <w:bookmarkStart w:id="118" w:name="_Toc125875498"/>
      <w:bookmarkStart w:id="119" w:name="_Toc2366"/>
      <w:r>
        <w:rPr>
          <w:rFonts w:ascii="Times New Roman Regular" w:hAnsi="Times New Roman Regular" w:eastAsia="黑体" w:cs="Times New Roman Regular"/>
          <w:color w:val="000000" w:themeColor="text1"/>
          <w:sz w:val="28"/>
          <w:szCs w:val="28"/>
          <w14:textFill>
            <w14:solidFill>
              <w14:schemeClr w14:val="tx1"/>
            </w14:solidFill>
          </w14:textFill>
        </w:rPr>
        <w:t>4.1 对标企业选取</w:t>
      </w:r>
      <w:bookmarkEnd w:id="115"/>
      <w:bookmarkEnd w:id="116"/>
      <w:bookmarkEnd w:id="117"/>
      <w:bookmarkEnd w:id="118"/>
      <w:bookmarkEnd w:id="119"/>
    </w:p>
    <w:p w14:paraId="180B248A">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标杆对标将选取中石油、中石化、中海油</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、上海石化和荣盛石化</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为中化能源的主要对标企业</w:t>
      </w:r>
      <w:r>
        <w:rPr>
          <w:rStyle w:val="23"/>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footnoteReference w:id="2"/>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，主要有以下方面的原因</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p>
    <w:p w14:paraId="30989396">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一是行业地位突出，具有代表性，中石油、中石化、中海油均为中国乃至全球范围内规模最大，业务最完整的石油化工企业，是我国能源与化工行业的龙头和排头兵，代表了中国石油化工领域的技术创新能力与低碳转型进展，可以让企业及时把握行业前沿，认清差距、明确方向。</w:t>
      </w:r>
    </w:p>
    <w:p w14:paraId="46BE5222">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二是可比性较强，考虑到中化能源主要业务收入为炼油化工，因此选取上海石化（中国石化所属炼化企业）和荣盛石化（民营基地）作为对标企业，能有效提升万元产值碳排放相关指标的可比性。</w:t>
      </w:r>
    </w:p>
    <w:p w14:paraId="7DDB84E7">
      <w:pPr>
        <w:widowControl/>
        <w:adjustRightInd w:val="0"/>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三是对标均为A股或港股上市公司，信息披露规范、ESG报告体系完善，在能耗、碳排放、碳资产管理、绿色技术创新等方面具有丰富的成熟经验，具备标杆性。</w:t>
      </w:r>
    </w:p>
    <w:p w14:paraId="53B4D566">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四是战略方向与国家“双碳”目标高度重合，中石油、中石化、中海油均将“绿色低碳转型”列为企业发展核心战略，围绕国家“双碳”目标制定了系统的碳达峰碳中和路线图，开展了CCUS、绿氢、可再生能源利用等技术示范，其转型路径、管理机制与碳市场参与方式为中化能源制定自身“双碳”战略和开展对标提供了现实模板。</w:t>
      </w:r>
    </w:p>
    <w:p w14:paraId="315A45DC">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120" w:name="_Toc1356658848"/>
      <w:bookmarkStart w:id="121" w:name="_Toc318102591"/>
      <w:bookmarkStart w:id="122" w:name="_Toc12140"/>
      <w:bookmarkStart w:id="123" w:name="_Toc114575955"/>
      <w:bookmarkStart w:id="124" w:name="_Toc173346310"/>
      <w:r>
        <w:rPr>
          <w:rFonts w:ascii="Times New Roman Regular" w:hAnsi="Times New Roman Regular" w:eastAsia="黑体" w:cs="Times New Roman Regular"/>
          <w:color w:val="000000" w:themeColor="text1"/>
          <w:sz w:val="28"/>
          <w:szCs w:val="28"/>
          <w14:textFill>
            <w14:solidFill>
              <w14:schemeClr w14:val="tx1"/>
            </w14:solidFill>
          </w14:textFill>
        </w:rPr>
        <w:t>4.2 标杆企业对标</w:t>
      </w:r>
      <w:bookmarkEnd w:id="120"/>
      <w:bookmarkEnd w:id="121"/>
      <w:bookmarkEnd w:id="122"/>
      <w:bookmarkEnd w:id="123"/>
      <w:bookmarkEnd w:id="124"/>
    </w:p>
    <w:p w14:paraId="59A1156A">
      <w:pPr>
        <w:widowControl/>
        <w:snapToGrid w:val="0"/>
        <w:spacing w:before="156" w:beforeLines="50" w:after="156" w:afterLines="50" w:line="560" w:lineRule="exact"/>
        <w:outlineLvl w:val="2"/>
        <w:rPr>
          <w:rFonts w:ascii="Times New Roman Regular" w:hAnsi="Times New Roman Regular" w:eastAsia="楷体" w:cs="Times New Roman Regular"/>
          <w:color w:val="000000" w:themeColor="text1"/>
          <w:sz w:val="28"/>
          <w:szCs w:val="28"/>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4.2.1</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碳排放数据对标</w:t>
      </w:r>
    </w:p>
    <w:p w14:paraId="3F25A864">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2024年中化能源二氧化碳排放强度为1.43吨CO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/万元，高于中国石油（0.879吨CO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/万元）、中国石化（0.546吨CO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/万元）和中国海油（0.6吨CO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/万元），接近上海石化的二氧化碳排放强度水平（1.47吨CO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/万元），排放强度差别与企业主营业务相关（荣盛石化未披露万元产值碳排放强度）。</w:t>
      </w:r>
    </w:p>
    <w:p w14:paraId="73759B0C">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从碳排放结构来看，对标企业二氧化碳排放中，直接排放（范围一）占绝对主体，间接排放占比很小，这与中化能源的碳排放结构相似。从范围三排放来看，中国石化未直接披露其范围三的碳排放数值，但其产品使用环节排放预计远超范围一和二的总和，对此中国石化已牵头组建产业链碳足迹联盟；中国海油因其业务以油气勘探开发为主，其运营碳排放总量相对较小，范围一排放几乎涵盖全部，并通过渤海岸电等方式将部分排放由现场燃油转换为电力（提高范围二，降低范围一）。</w:t>
      </w:r>
    </w:p>
    <w:p w14:paraId="5A54DD6F">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1 </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二氧化碳排放重点指标</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6"/>
        <w:gridCol w:w="1010"/>
        <w:gridCol w:w="1003"/>
        <w:gridCol w:w="1003"/>
        <w:gridCol w:w="1005"/>
        <w:gridCol w:w="1005"/>
        <w:gridCol w:w="1010"/>
      </w:tblGrid>
      <w:tr w14:paraId="57040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6A02BAD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温室气体定量指标</w:t>
            </w:r>
          </w:p>
        </w:tc>
        <w:tc>
          <w:tcPr>
            <w:tcW w:w="0" w:type="auto"/>
          </w:tcPr>
          <w:p w14:paraId="04662CB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中化能源</w:t>
            </w:r>
          </w:p>
        </w:tc>
        <w:tc>
          <w:tcPr>
            <w:tcW w:w="0" w:type="auto"/>
          </w:tcPr>
          <w:p w14:paraId="00B5317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w:t>
            </w:r>
          </w:p>
        </w:tc>
        <w:tc>
          <w:tcPr>
            <w:tcW w:w="0" w:type="auto"/>
          </w:tcPr>
          <w:p w14:paraId="3B013E1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w:t>
            </w:r>
          </w:p>
        </w:tc>
        <w:tc>
          <w:tcPr>
            <w:tcW w:w="0" w:type="auto"/>
          </w:tcPr>
          <w:p w14:paraId="5D50057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中国海油</w:t>
            </w:r>
          </w:p>
        </w:tc>
        <w:tc>
          <w:tcPr>
            <w:tcW w:w="0" w:type="auto"/>
          </w:tcPr>
          <w:p w14:paraId="611FF35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上海石化</w:t>
            </w:r>
          </w:p>
        </w:tc>
        <w:tc>
          <w:tcPr>
            <w:tcW w:w="0" w:type="auto"/>
          </w:tcPr>
          <w:p w14:paraId="4B7A745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荣盛石化</w:t>
            </w:r>
          </w:p>
        </w:tc>
      </w:tr>
      <w:tr w14:paraId="058A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CDF980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单位产值碳排放强度</w:t>
            </w:r>
          </w:p>
          <w:p w14:paraId="53C3A2B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（吨二氧化碳/万元）</w:t>
            </w:r>
          </w:p>
        </w:tc>
        <w:tc>
          <w:tcPr>
            <w:tcW w:w="0" w:type="auto"/>
          </w:tcPr>
          <w:p w14:paraId="2EA1F71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1.43</w:t>
            </w:r>
          </w:p>
        </w:tc>
        <w:tc>
          <w:tcPr>
            <w:tcW w:w="0" w:type="auto"/>
          </w:tcPr>
          <w:p w14:paraId="22550EF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0.546</w:t>
            </w:r>
          </w:p>
        </w:tc>
        <w:tc>
          <w:tcPr>
            <w:tcW w:w="0" w:type="auto"/>
          </w:tcPr>
          <w:p w14:paraId="031622C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0.879</w:t>
            </w:r>
          </w:p>
        </w:tc>
        <w:tc>
          <w:tcPr>
            <w:tcW w:w="0" w:type="auto"/>
          </w:tcPr>
          <w:p w14:paraId="697D5D7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w:t>
            </w:r>
          </w:p>
        </w:tc>
        <w:tc>
          <w:tcPr>
            <w:tcW w:w="0" w:type="auto"/>
          </w:tcPr>
          <w:p w14:paraId="6FCC0D6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1.36</w:t>
            </w:r>
          </w:p>
        </w:tc>
        <w:tc>
          <w:tcPr>
            <w:tcW w:w="0" w:type="auto"/>
          </w:tcPr>
          <w:p w14:paraId="4B5B63B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未披露</w:t>
            </w:r>
          </w:p>
        </w:tc>
      </w:tr>
      <w:tr w14:paraId="1A11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FA4E0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单位油气产量碳排放强度</w:t>
            </w:r>
          </w:p>
        </w:tc>
        <w:tc>
          <w:tcPr>
            <w:tcW w:w="0" w:type="auto"/>
          </w:tcPr>
          <w:p w14:paraId="36DBBDB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未披露</w:t>
            </w:r>
          </w:p>
        </w:tc>
        <w:tc>
          <w:tcPr>
            <w:tcW w:w="0" w:type="auto"/>
          </w:tcPr>
          <w:p w14:paraId="6ACA5D8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未披露</w:t>
            </w:r>
          </w:p>
        </w:tc>
        <w:tc>
          <w:tcPr>
            <w:tcW w:w="0" w:type="auto"/>
          </w:tcPr>
          <w:p w14:paraId="132801D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0.235</w:t>
            </w:r>
          </w:p>
        </w:tc>
        <w:tc>
          <w:tcPr>
            <w:tcW w:w="0" w:type="auto"/>
          </w:tcPr>
          <w:p w14:paraId="05C5291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0.1571</w:t>
            </w:r>
          </w:p>
        </w:tc>
        <w:tc>
          <w:tcPr>
            <w:tcW w:w="0" w:type="auto"/>
          </w:tcPr>
          <w:p w14:paraId="226632A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未披露</w:t>
            </w:r>
          </w:p>
        </w:tc>
        <w:tc>
          <w:tcPr>
            <w:tcW w:w="0" w:type="auto"/>
          </w:tcPr>
          <w:p w14:paraId="3A15215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未披露</w:t>
            </w:r>
          </w:p>
        </w:tc>
      </w:tr>
      <w:tr w14:paraId="3A200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59287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碳排放总量</w:t>
            </w:r>
          </w:p>
          <w:p w14:paraId="4B72CDD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（范围1+2，万吨）</w:t>
            </w:r>
          </w:p>
        </w:tc>
        <w:tc>
          <w:tcPr>
            <w:tcW w:w="0" w:type="auto"/>
          </w:tcPr>
          <w:p w14:paraId="120CD10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1194.76</w:t>
            </w:r>
          </w:p>
        </w:tc>
        <w:tc>
          <w:tcPr>
            <w:tcW w:w="0" w:type="auto"/>
          </w:tcPr>
          <w:p w14:paraId="5D63DC3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16795</w:t>
            </w:r>
          </w:p>
        </w:tc>
        <w:tc>
          <w:tcPr>
            <w:tcW w:w="0" w:type="auto"/>
          </w:tcPr>
          <w:p w14:paraId="789704F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17046</w:t>
            </w:r>
          </w:p>
        </w:tc>
        <w:tc>
          <w:tcPr>
            <w:tcW w:w="0" w:type="auto"/>
          </w:tcPr>
          <w:p w14:paraId="55C307E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1279.1</w:t>
            </w:r>
          </w:p>
        </w:tc>
        <w:tc>
          <w:tcPr>
            <w:tcW w:w="0" w:type="auto"/>
          </w:tcPr>
          <w:p w14:paraId="409CEEB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807.59</w:t>
            </w:r>
          </w:p>
        </w:tc>
        <w:tc>
          <w:tcPr>
            <w:tcW w:w="0" w:type="auto"/>
          </w:tcPr>
          <w:p w14:paraId="239A093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3357.01</w:t>
            </w:r>
          </w:p>
        </w:tc>
      </w:tr>
      <w:tr w14:paraId="0E6F2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13C6082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范围1（直接排放，万吨）</w:t>
            </w:r>
          </w:p>
        </w:tc>
        <w:tc>
          <w:tcPr>
            <w:tcW w:w="0" w:type="auto"/>
          </w:tcPr>
          <w:p w14:paraId="7475D8C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1061.37</w:t>
            </w:r>
          </w:p>
        </w:tc>
        <w:tc>
          <w:tcPr>
            <w:tcW w:w="0" w:type="auto"/>
          </w:tcPr>
          <w:p w14:paraId="1046CDF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13909</w:t>
            </w:r>
          </w:p>
        </w:tc>
        <w:tc>
          <w:tcPr>
            <w:tcW w:w="0" w:type="auto"/>
          </w:tcPr>
          <w:p w14:paraId="15137B6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12276</w:t>
            </w:r>
          </w:p>
        </w:tc>
        <w:tc>
          <w:tcPr>
            <w:tcW w:w="0" w:type="auto"/>
          </w:tcPr>
          <w:p w14:paraId="7D17644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1088.6</w:t>
            </w:r>
          </w:p>
        </w:tc>
        <w:tc>
          <w:tcPr>
            <w:tcW w:w="0" w:type="auto"/>
          </w:tcPr>
          <w:p w14:paraId="7C193CE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780.34</w:t>
            </w:r>
          </w:p>
        </w:tc>
        <w:tc>
          <w:tcPr>
            <w:tcW w:w="0" w:type="auto"/>
          </w:tcPr>
          <w:p w14:paraId="25C750C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2605.57</w:t>
            </w:r>
          </w:p>
        </w:tc>
      </w:tr>
      <w:tr w14:paraId="48EA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0" w:type="auto"/>
          </w:tcPr>
          <w:p w14:paraId="10C19CD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范围2（间接排放，万吨）</w:t>
            </w:r>
          </w:p>
        </w:tc>
        <w:tc>
          <w:tcPr>
            <w:tcW w:w="0" w:type="auto"/>
          </w:tcPr>
          <w:p w14:paraId="1C76477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133.39</w:t>
            </w:r>
          </w:p>
        </w:tc>
        <w:tc>
          <w:tcPr>
            <w:tcW w:w="0" w:type="auto"/>
          </w:tcPr>
          <w:p w14:paraId="0E604C8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2886</w:t>
            </w:r>
          </w:p>
        </w:tc>
        <w:tc>
          <w:tcPr>
            <w:tcW w:w="0" w:type="auto"/>
          </w:tcPr>
          <w:p w14:paraId="1EFDA2E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4770</w:t>
            </w:r>
          </w:p>
        </w:tc>
        <w:tc>
          <w:tcPr>
            <w:tcW w:w="0" w:type="auto"/>
          </w:tcPr>
          <w:p w14:paraId="5A031F9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190.5</w:t>
            </w:r>
          </w:p>
        </w:tc>
        <w:tc>
          <w:tcPr>
            <w:tcW w:w="0" w:type="auto"/>
          </w:tcPr>
          <w:p w14:paraId="5826FE7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27.25</w:t>
            </w:r>
          </w:p>
        </w:tc>
        <w:tc>
          <w:tcPr>
            <w:tcW w:w="0" w:type="auto"/>
          </w:tcPr>
          <w:p w14:paraId="1AD338B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756.11</w:t>
            </w:r>
          </w:p>
        </w:tc>
      </w:tr>
    </w:tbl>
    <w:p w14:paraId="2F0F0254">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0B8EAE79">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4C76C48D">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124F8878">
      <w:pPr>
        <w:widowControl/>
        <w:ind w:firstLine="400" w:firstLineChars="200"/>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4-2</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二氧化碳排放重点目标</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7305"/>
      </w:tblGrid>
      <w:tr w14:paraId="3AB0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17" w:type="dxa"/>
          </w:tcPr>
          <w:p w14:paraId="16250C0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企业名称</w:t>
            </w:r>
          </w:p>
        </w:tc>
        <w:tc>
          <w:tcPr>
            <w:tcW w:w="7305" w:type="dxa"/>
          </w:tcPr>
          <w:p w14:paraId="28D560B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气候相关目标</w:t>
            </w:r>
          </w:p>
        </w:tc>
      </w:tr>
      <w:tr w14:paraId="3B74E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D86841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中化能源</w:t>
            </w:r>
          </w:p>
        </w:tc>
        <w:tc>
          <w:tcPr>
            <w:tcW w:w="7305" w:type="dxa"/>
          </w:tcPr>
          <w:p w14:paraId="6AAE886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碳减排目标为1.14吨二氧化碳当量/万元</w:t>
            </w:r>
          </w:p>
        </w:tc>
      </w:tr>
      <w:tr w14:paraId="7E86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41E601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w:t>
            </w:r>
          </w:p>
        </w:tc>
        <w:tc>
          <w:tcPr>
            <w:tcW w:w="7305" w:type="dxa"/>
          </w:tcPr>
          <w:p w14:paraId="6686A42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2030年前达峰，峰值较2020年增加不超过30%；2040年碳排放量较峰值下降25%以上，力争2050年左右实现碳中和</w:t>
            </w:r>
          </w:p>
        </w:tc>
      </w:tr>
      <w:tr w14:paraId="14040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2DB13F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w:t>
            </w:r>
          </w:p>
        </w:tc>
        <w:tc>
          <w:tcPr>
            <w:tcW w:w="7305" w:type="dxa"/>
          </w:tcPr>
          <w:p w14:paraId="6A3E541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公司认同《巴黎协定》设立的温控目标，坚定贯彻中国政府提出的碳达峰碳</w:t>
            </w:r>
          </w:p>
          <w:p w14:paraId="4A71810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中和目标和行动部署</w:t>
            </w:r>
          </w:p>
        </w:tc>
      </w:tr>
      <w:tr w14:paraId="2B688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903860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中国海油</w:t>
            </w:r>
          </w:p>
        </w:tc>
        <w:tc>
          <w:tcPr>
            <w:tcW w:w="7305" w:type="dxa"/>
          </w:tcPr>
          <w:p w14:paraId="38E63BE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海油积极响应国家“3060”双碳目标，致力于推动绿色低碳转型。公司致力于推动温室气体减排工作，已明确设定了具体的减排目标：公司计划到2025年累计减碳150万吨以上，在2025年通过绿电替代10亿千瓦时，预计促进减碳67.7万吨。</w:t>
            </w:r>
          </w:p>
        </w:tc>
      </w:tr>
      <w:tr w14:paraId="6B9C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249089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上海石化</w:t>
            </w:r>
          </w:p>
        </w:tc>
        <w:tc>
          <w:tcPr>
            <w:tcW w:w="7305" w:type="dxa"/>
          </w:tcPr>
          <w:p w14:paraId="4849AE5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落实上海市碳达峰行动方案，公司碳排放目标是到2025年，公司产值碳排放强度比2020年下降5%。</w:t>
            </w:r>
          </w:p>
        </w:tc>
      </w:tr>
      <w:tr w14:paraId="4B8A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EAA807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荣盛石化</w:t>
            </w:r>
          </w:p>
        </w:tc>
        <w:tc>
          <w:tcPr>
            <w:tcW w:w="7305" w:type="dxa"/>
          </w:tcPr>
          <w:p w14:paraId="532147B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2030年碳达峰，2060年碳中和，预计到2025年，公司单位产值碳排放强度下降5%（相比于2022年）。</w:t>
            </w:r>
          </w:p>
        </w:tc>
      </w:tr>
    </w:tbl>
    <w:p w14:paraId="79CF18D6">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57D197AD">
      <w:pPr>
        <w:widowControl/>
        <w:ind w:firstLine="400" w:firstLineChars="200"/>
        <w:jc w:val="cente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图 4-1 重点石油化工企业万元产值碳排放强度对标</w:t>
      </w:r>
    </w:p>
    <w:p w14:paraId="6726CC42">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79B20B4C">
      <w:pPr>
        <w:widowControl/>
        <w:ind w:firstLine="42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4584700" cy="3656330"/>
            <wp:effectExtent l="0" t="0" r="0" b="1270"/>
            <wp:docPr id="8" name="图片 3" descr="泉州石化炼油与乙烯单位产品碳排放量对标（2024年实际 vs 国家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泉州石化炼油与乙烯单位产品碳排放量对标（2024年实际 vs 国家标准）"/>
                    <pic:cNvPicPr>
                      <a:picLocks noChangeAspect="1"/>
                    </pic:cNvPicPr>
                  </pic:nvPicPr>
                  <pic:blipFill>
                    <a:blip r:embed="rId20"/>
                    <a:stretch>
                      <a:fillRect/>
                    </a:stretch>
                  </pic:blipFill>
                  <pic:spPr>
                    <a:xfrm>
                      <a:off x="0" y="0"/>
                      <a:ext cx="4584700" cy="3656330"/>
                    </a:xfrm>
                    <a:prstGeom prst="rect">
                      <a:avLst/>
                    </a:prstGeom>
                  </pic:spPr>
                </pic:pic>
              </a:graphicData>
            </a:graphic>
          </wp:inline>
        </w:drawing>
      </w:r>
    </w:p>
    <w:p w14:paraId="1CAAC8E7">
      <w:pPr>
        <w:widowControl/>
        <w:ind w:firstLine="400" w:firstLineChars="200"/>
        <w:jc w:val="cente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图 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2</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重点石油化工企业万元产值碳排放强度对标</w:t>
      </w:r>
    </w:p>
    <w:p w14:paraId="3EC987D2">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从单位产品的碳排放量对标来看，根据《石油和化学工业重点产品碳排放限额（征求意见稿）》相关参数，泉州石化炼油、乙烯相关单位产品碳排放量已达先进值，建议企业后续加强碳足迹管理工作，优先试点涉出口的产品开展碳足迹管理工作。</w:t>
      </w:r>
    </w:p>
    <w:p w14:paraId="60D14DEA">
      <w:pPr>
        <w:pStyle w:val="15"/>
        <w:ind w:firstLine="0" w:firstLineChars="0"/>
        <w:rPr>
          <w:rFonts w:ascii="Times New Roman Regular" w:hAnsi="Times New Roman Regular" w:cs="Times New Roman Regular"/>
          <w:color w:val="000000" w:themeColor="text1"/>
          <w14:textFill>
            <w14:solidFill>
              <w14:schemeClr w14:val="tx1"/>
            </w14:solidFill>
          </w14:textFill>
        </w:rPr>
      </w:pPr>
    </w:p>
    <w:p w14:paraId="27A02302">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4.2.2 能耗</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数据</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对标</w:t>
      </w:r>
    </w:p>
    <w:p w14:paraId="07969A0D">
      <w:pPr>
        <w:widowControl/>
        <w:snapToGrid w:val="0"/>
        <w:spacing w:before="156" w:beforeLines="50" w:after="156" w:afterLines="50"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hint="eastAsia"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综合能耗对标：</w:t>
      </w:r>
    </w:p>
    <w:p w14:paraId="6CC887F0">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4-1</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能源消耗重点指标</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0"/>
        <w:gridCol w:w="1013"/>
        <w:gridCol w:w="1012"/>
        <w:gridCol w:w="1012"/>
        <w:gridCol w:w="1013"/>
        <w:gridCol w:w="1011"/>
        <w:gridCol w:w="1011"/>
      </w:tblGrid>
      <w:tr w14:paraId="1C0D6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0" w:type="auto"/>
          </w:tcPr>
          <w:p w14:paraId="09F53A1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能源消耗重点指标</w:t>
            </w:r>
          </w:p>
        </w:tc>
        <w:tc>
          <w:tcPr>
            <w:tcW w:w="0" w:type="auto"/>
          </w:tcPr>
          <w:p w14:paraId="42A8FA0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中化能源</w:t>
            </w:r>
          </w:p>
        </w:tc>
        <w:tc>
          <w:tcPr>
            <w:tcW w:w="0" w:type="auto"/>
          </w:tcPr>
          <w:p w14:paraId="72BD258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w:t>
            </w:r>
          </w:p>
        </w:tc>
        <w:tc>
          <w:tcPr>
            <w:tcW w:w="0" w:type="auto"/>
          </w:tcPr>
          <w:p w14:paraId="0FE2EB0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w:t>
            </w:r>
          </w:p>
        </w:tc>
        <w:tc>
          <w:tcPr>
            <w:tcW w:w="0" w:type="auto"/>
          </w:tcPr>
          <w:p w14:paraId="4673C59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中国海油</w:t>
            </w:r>
          </w:p>
        </w:tc>
        <w:tc>
          <w:tcPr>
            <w:tcW w:w="0" w:type="auto"/>
          </w:tcPr>
          <w:p w14:paraId="725FDBB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上海石化</w:t>
            </w:r>
          </w:p>
        </w:tc>
        <w:tc>
          <w:tcPr>
            <w:tcW w:w="0" w:type="auto"/>
          </w:tcPr>
          <w:p w14:paraId="5E586C7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荣盛石化</w:t>
            </w:r>
          </w:p>
        </w:tc>
      </w:tr>
      <w:tr w14:paraId="049BF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86ABD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综合能耗强度（吨/万元）</w:t>
            </w:r>
          </w:p>
        </w:tc>
        <w:tc>
          <w:tcPr>
            <w:tcW w:w="0" w:type="auto"/>
          </w:tcPr>
          <w:p w14:paraId="257329D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0.6084</w:t>
            </w:r>
          </w:p>
        </w:tc>
        <w:tc>
          <w:tcPr>
            <w:tcW w:w="0" w:type="auto"/>
          </w:tcPr>
          <w:p w14:paraId="5279640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0.928</w:t>
            </w:r>
          </w:p>
        </w:tc>
        <w:tc>
          <w:tcPr>
            <w:tcW w:w="0" w:type="auto"/>
          </w:tcPr>
          <w:p w14:paraId="55F3310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0.235</w:t>
            </w:r>
          </w:p>
        </w:tc>
        <w:tc>
          <w:tcPr>
            <w:tcW w:w="0" w:type="auto"/>
          </w:tcPr>
          <w:p w14:paraId="4A128DB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0.1571</w:t>
            </w:r>
          </w:p>
        </w:tc>
        <w:tc>
          <w:tcPr>
            <w:tcW w:w="0" w:type="auto"/>
          </w:tcPr>
          <w:p w14:paraId="561BF7E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  1.07</w:t>
            </w:r>
          </w:p>
        </w:tc>
        <w:tc>
          <w:tcPr>
            <w:tcW w:w="0" w:type="auto"/>
          </w:tcPr>
          <w:p w14:paraId="426174A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0.32</w:t>
            </w:r>
          </w:p>
        </w:tc>
      </w:tr>
    </w:tbl>
    <w:p w14:paraId="51B03298">
      <w:pPr>
        <w:widowControl/>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0CBE76B2">
      <w:pPr>
        <w:widowControl/>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根据最新能耗强度对标数据显示，中化能源综合能耗强度为0.6084吨标准煤/万元产值，在行业内处于中上水平，优于中国石化与上海石化等传统大型炼化企业。但相较于荣盛石化、中海油等新建或轻资产主导企业，仍存在一定提升空间。建议结合自身产业特点，进一步推进节能改造、数字化能源管理及产品结构升级，持续优化单位产值能耗表现。</w:t>
      </w:r>
    </w:p>
    <w:p w14:paraId="1BC4899B">
      <w:pPr>
        <w:pStyle w:val="15"/>
        <w:spacing w:line="560" w:lineRule="exact"/>
        <w:ind w:firstLine="561"/>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b/>
          <w:bCs/>
          <w:color w:val="000000" w:themeColor="text1"/>
          <w:sz w:val="28"/>
          <w:szCs w:val="28"/>
          <w:lang w:bidi="ar"/>
          <w14:textFill>
            <w14:solidFill>
              <w14:schemeClr w14:val="tx1"/>
            </w14:solidFill>
          </w14:textFill>
        </w:rPr>
        <w:t>产品层级国家标准：</w:t>
      </w:r>
    </w:p>
    <w:p w14:paraId="403829ED">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2023年，国家发布的《工业重点领域能效标杆水平和基准水平（2023年版）》对炼油、乙烯、对二甲苯、乙二醇的能效标杆水平与基准水平做出了规定，其参考标准</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来自</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《GB 30251-2013炼油单位产品能源消耗限额</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GB 30250-2013乙烯装置单位产品能源消耗限额</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GB 31534-2015 对二甲苯单位产品能源消耗限额》与《GB 32048-2015 乙二醇单位产品能源消耗限额》。</w:t>
      </w:r>
    </w:p>
    <w:p w14:paraId="41CE745E">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2024年新版《GB 30251-2024 炼化行业单位产品能源消耗限额》更新了对于炼油、 乙烯、 聚丙烯、 苯乙烯、 精对苯二甲酸、 对二甲苯、 环氧丙烷、 邻苯二甲酸酐等产品的能耗限额要求，其中涉及泉州石化的产品为炼油、乙烯、聚丙烯、苯乙烯与对二甲苯。新版《能源消耗限额》对以上产品的能耗限额等级如下</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w:t>
      </w:r>
    </w:p>
    <w:p w14:paraId="0DCE8A93">
      <w:pPr>
        <w:rPr>
          <w:color w:val="000000" w:themeColor="text1"/>
          <w14:textFill>
            <w14:solidFill>
              <w14:schemeClr w14:val="tx1"/>
            </w14:solidFill>
          </w14:textFill>
        </w:rPr>
      </w:pPr>
    </w:p>
    <w:p w14:paraId="69735E98">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4-2</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炼油能耗限额等级</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3"/>
      </w:tblGrid>
      <w:tr w14:paraId="249C8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tcPr>
          <w:p w14:paraId="5483F760">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单位炼油能量因数能耗/kgoe/(t· 能量因数)</w:t>
            </w:r>
          </w:p>
        </w:tc>
      </w:tr>
      <w:tr w14:paraId="35586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tcPr>
          <w:p w14:paraId="6788FF68">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能耗限额等级</w:t>
            </w:r>
          </w:p>
        </w:tc>
      </w:tr>
      <w:tr w14:paraId="1A5F9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shd w:val="clear" w:color="auto" w:fill="auto"/>
          </w:tcPr>
          <w:p w14:paraId="4EE18F2E">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1级</w:t>
            </w:r>
          </w:p>
        </w:tc>
        <w:tc>
          <w:tcPr>
            <w:tcW w:w="1666" w:type="pct"/>
            <w:tcBorders>
              <w:top w:val="single" w:color="auto" w:sz="4" w:space="0"/>
              <w:left w:val="single" w:color="auto" w:sz="4" w:space="0"/>
              <w:bottom w:val="single" w:color="auto" w:sz="4" w:space="0"/>
              <w:right w:val="single" w:color="auto" w:sz="4" w:space="0"/>
            </w:tcBorders>
            <w:shd w:val="clear" w:color="auto" w:fill="auto"/>
          </w:tcPr>
          <w:p w14:paraId="494F4E89">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2级</w:t>
            </w:r>
          </w:p>
        </w:tc>
        <w:tc>
          <w:tcPr>
            <w:tcW w:w="1667" w:type="pct"/>
            <w:tcBorders>
              <w:top w:val="single" w:color="auto" w:sz="4" w:space="0"/>
              <w:left w:val="single" w:color="auto" w:sz="4" w:space="0"/>
              <w:bottom w:val="single" w:color="auto" w:sz="4" w:space="0"/>
              <w:right w:val="single" w:color="auto" w:sz="4" w:space="0"/>
            </w:tcBorders>
            <w:shd w:val="clear" w:color="auto" w:fill="auto"/>
          </w:tcPr>
          <w:p w14:paraId="682CBBC3">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3级</w:t>
            </w:r>
          </w:p>
        </w:tc>
      </w:tr>
      <w:tr w14:paraId="43527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shd w:val="clear" w:color="auto" w:fill="auto"/>
          </w:tcPr>
          <w:p w14:paraId="22A309D2">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≤6.85</w:t>
            </w:r>
          </w:p>
        </w:tc>
        <w:tc>
          <w:tcPr>
            <w:tcW w:w="1666" w:type="pct"/>
            <w:tcBorders>
              <w:top w:val="single" w:color="auto" w:sz="4" w:space="0"/>
              <w:left w:val="single" w:color="auto" w:sz="4" w:space="0"/>
              <w:bottom w:val="single" w:color="auto" w:sz="4" w:space="0"/>
              <w:right w:val="single" w:color="auto" w:sz="4" w:space="0"/>
            </w:tcBorders>
            <w:shd w:val="clear" w:color="auto" w:fill="auto"/>
          </w:tcPr>
          <w:p w14:paraId="2A5A0C5C">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≤7.50</w:t>
            </w:r>
          </w:p>
        </w:tc>
        <w:tc>
          <w:tcPr>
            <w:tcW w:w="1667" w:type="pct"/>
            <w:tcBorders>
              <w:top w:val="single" w:color="auto" w:sz="4" w:space="0"/>
              <w:left w:val="single" w:color="auto" w:sz="4" w:space="0"/>
              <w:bottom w:val="single" w:color="auto" w:sz="4" w:space="0"/>
              <w:right w:val="single" w:color="auto" w:sz="4" w:space="0"/>
            </w:tcBorders>
            <w:shd w:val="clear" w:color="auto" w:fill="auto"/>
          </w:tcPr>
          <w:p w14:paraId="22BB6C4E">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≤8.50</w:t>
            </w:r>
          </w:p>
        </w:tc>
      </w:tr>
    </w:tbl>
    <w:p w14:paraId="212074C5">
      <w:pPr>
        <w:widowControl/>
        <w:ind w:firstLine="400" w:firstLineChars="200"/>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695821BC">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4-3</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乙烯能耗限额等级</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3"/>
      </w:tblGrid>
      <w:tr w14:paraId="1141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tcPr>
          <w:p w14:paraId="029D1C98">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乙烯装置单位产品综合能耗/(kgoe/t)</w:t>
            </w:r>
          </w:p>
        </w:tc>
      </w:tr>
      <w:tr w14:paraId="7860B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tcPr>
          <w:p w14:paraId="03F17B99">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能耗限额等级</w:t>
            </w:r>
          </w:p>
        </w:tc>
      </w:tr>
      <w:tr w14:paraId="19A8B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shd w:val="clear" w:color="auto" w:fill="auto"/>
          </w:tcPr>
          <w:p w14:paraId="78115089">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1级</w:t>
            </w:r>
          </w:p>
        </w:tc>
        <w:tc>
          <w:tcPr>
            <w:tcW w:w="1666" w:type="pct"/>
            <w:tcBorders>
              <w:top w:val="single" w:color="auto" w:sz="4" w:space="0"/>
              <w:left w:val="single" w:color="auto" w:sz="4" w:space="0"/>
              <w:bottom w:val="single" w:color="auto" w:sz="4" w:space="0"/>
              <w:right w:val="single" w:color="auto" w:sz="4" w:space="0"/>
            </w:tcBorders>
            <w:shd w:val="clear" w:color="auto" w:fill="auto"/>
          </w:tcPr>
          <w:p w14:paraId="532CE732">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2级</w:t>
            </w:r>
          </w:p>
        </w:tc>
        <w:tc>
          <w:tcPr>
            <w:tcW w:w="1667" w:type="pct"/>
            <w:tcBorders>
              <w:top w:val="single" w:color="auto" w:sz="4" w:space="0"/>
              <w:left w:val="single" w:color="auto" w:sz="4" w:space="0"/>
              <w:bottom w:val="single" w:color="auto" w:sz="4" w:space="0"/>
              <w:right w:val="single" w:color="auto" w:sz="4" w:space="0"/>
            </w:tcBorders>
            <w:shd w:val="clear" w:color="auto" w:fill="auto"/>
          </w:tcPr>
          <w:p w14:paraId="73A9B7E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3级</w:t>
            </w:r>
          </w:p>
        </w:tc>
      </w:tr>
      <w:tr w14:paraId="261E4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shd w:val="clear" w:color="auto" w:fill="auto"/>
          </w:tcPr>
          <w:p w14:paraId="70FB2BF1">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≤580</w:t>
            </w:r>
          </w:p>
        </w:tc>
        <w:tc>
          <w:tcPr>
            <w:tcW w:w="1666" w:type="pct"/>
            <w:tcBorders>
              <w:top w:val="single" w:color="auto" w:sz="4" w:space="0"/>
              <w:left w:val="single" w:color="auto" w:sz="4" w:space="0"/>
              <w:bottom w:val="single" w:color="auto" w:sz="4" w:space="0"/>
              <w:right w:val="single" w:color="auto" w:sz="4" w:space="0"/>
            </w:tcBorders>
            <w:shd w:val="clear" w:color="auto" w:fill="auto"/>
          </w:tcPr>
          <w:p w14:paraId="0B4B80B6">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≤590</w:t>
            </w:r>
          </w:p>
        </w:tc>
        <w:tc>
          <w:tcPr>
            <w:tcW w:w="1667" w:type="pct"/>
            <w:tcBorders>
              <w:top w:val="single" w:color="auto" w:sz="4" w:space="0"/>
              <w:left w:val="single" w:color="auto" w:sz="4" w:space="0"/>
              <w:bottom w:val="single" w:color="auto" w:sz="4" w:space="0"/>
              <w:right w:val="single" w:color="auto" w:sz="4" w:space="0"/>
            </w:tcBorders>
            <w:shd w:val="clear" w:color="auto" w:fill="auto"/>
          </w:tcPr>
          <w:p w14:paraId="4168DF64">
            <w:pPr>
              <w:widowControl/>
              <w:adjustRightInd w:val="0"/>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≤640</w:t>
            </w:r>
          </w:p>
        </w:tc>
      </w:tr>
    </w:tbl>
    <w:p w14:paraId="304C562B">
      <w:pPr>
        <w:widowControl/>
        <w:rPr>
          <w:rFonts w:ascii="Times New Roman Regular" w:hAnsi="Times New Roman Regular" w:eastAsia="楷体" w:cs="Times New Roman Regular"/>
          <w:color w:val="000000" w:themeColor="text1"/>
          <w:sz w:val="28"/>
          <w:szCs w:val="28"/>
          <w:lang w:bidi="ar"/>
          <w14:textFill>
            <w14:solidFill>
              <w14:schemeClr w14:val="tx1"/>
            </w14:solidFill>
          </w14:textFill>
        </w:rPr>
      </w:pPr>
    </w:p>
    <w:p w14:paraId="05EFD738">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聚丙烯能耗限额等级</w:t>
      </w:r>
    </w:p>
    <w:tbl>
      <w:tblPr>
        <w:tblStyle w:val="17"/>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9"/>
        <w:gridCol w:w="1790"/>
        <w:gridCol w:w="2129"/>
        <w:gridCol w:w="2132"/>
      </w:tblGrid>
      <w:tr w14:paraId="412E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1780771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生产工艺</w:t>
            </w:r>
          </w:p>
        </w:tc>
        <w:tc>
          <w:tcPr>
            <w:tcW w:w="355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A1EED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聚丙烯单位产品综合能耗/(kgoe/t)</w:t>
            </w:r>
          </w:p>
        </w:tc>
      </w:tr>
      <w:tr w14:paraId="14850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14340E6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355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A27C9C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能耗限额等级</w:t>
            </w:r>
          </w:p>
        </w:tc>
      </w:tr>
      <w:tr w14:paraId="628D8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07DCC79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050" w:type="pct"/>
            <w:tcBorders>
              <w:top w:val="single" w:color="auto" w:sz="4" w:space="0"/>
              <w:left w:val="single" w:color="auto" w:sz="4" w:space="0"/>
              <w:bottom w:val="single" w:color="auto" w:sz="4" w:space="0"/>
              <w:right w:val="single" w:color="auto" w:sz="4" w:space="0"/>
            </w:tcBorders>
            <w:shd w:val="clear" w:color="auto" w:fill="auto"/>
          </w:tcPr>
          <w:p w14:paraId="2571074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1级</w:t>
            </w:r>
          </w:p>
        </w:tc>
        <w:tc>
          <w:tcPr>
            <w:tcW w:w="1249" w:type="pct"/>
            <w:tcBorders>
              <w:top w:val="single" w:color="auto" w:sz="4" w:space="0"/>
              <w:left w:val="single" w:color="auto" w:sz="4" w:space="0"/>
              <w:bottom w:val="single" w:color="auto" w:sz="4" w:space="0"/>
              <w:right w:val="single" w:color="auto" w:sz="4" w:space="0"/>
            </w:tcBorders>
            <w:shd w:val="clear" w:color="auto" w:fill="auto"/>
          </w:tcPr>
          <w:p w14:paraId="423583D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2级</w:t>
            </w:r>
          </w:p>
        </w:tc>
        <w:tc>
          <w:tcPr>
            <w:tcW w:w="1250" w:type="pct"/>
            <w:tcBorders>
              <w:top w:val="single" w:color="auto" w:sz="4" w:space="0"/>
              <w:left w:val="single" w:color="auto" w:sz="4" w:space="0"/>
              <w:bottom w:val="single" w:color="auto" w:sz="4" w:space="0"/>
              <w:right w:val="single" w:color="auto" w:sz="4" w:space="0"/>
            </w:tcBorders>
            <w:shd w:val="clear" w:color="auto" w:fill="auto"/>
          </w:tcPr>
          <w:p w14:paraId="08B8AB1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3级</w:t>
            </w:r>
          </w:p>
        </w:tc>
      </w:tr>
      <w:tr w14:paraId="1A1B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9" w:type="pct"/>
            <w:tcBorders>
              <w:top w:val="single" w:color="auto" w:sz="4" w:space="0"/>
              <w:left w:val="single" w:color="auto" w:sz="4" w:space="0"/>
              <w:bottom w:val="single" w:color="auto" w:sz="4" w:space="0"/>
              <w:right w:val="single" w:color="auto" w:sz="4" w:space="0"/>
            </w:tcBorders>
            <w:shd w:val="clear" w:color="auto" w:fill="auto"/>
            <w:vAlign w:val="center"/>
          </w:tcPr>
          <w:p w14:paraId="669F6C4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连续气相法</w:t>
            </w:r>
          </w:p>
        </w:tc>
        <w:tc>
          <w:tcPr>
            <w:tcW w:w="1050" w:type="pct"/>
            <w:tcBorders>
              <w:top w:val="single" w:color="auto" w:sz="4" w:space="0"/>
              <w:left w:val="single" w:color="auto" w:sz="4" w:space="0"/>
              <w:bottom w:val="single" w:color="auto" w:sz="4" w:space="0"/>
              <w:right w:val="single" w:color="auto" w:sz="4" w:space="0"/>
            </w:tcBorders>
            <w:shd w:val="clear" w:color="auto" w:fill="auto"/>
          </w:tcPr>
          <w:p w14:paraId="14A2C19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≤48</w:t>
            </w:r>
          </w:p>
        </w:tc>
        <w:tc>
          <w:tcPr>
            <w:tcW w:w="1249" w:type="pct"/>
            <w:tcBorders>
              <w:top w:val="single" w:color="auto" w:sz="4" w:space="0"/>
              <w:left w:val="single" w:color="auto" w:sz="4" w:space="0"/>
              <w:bottom w:val="single" w:color="auto" w:sz="4" w:space="0"/>
              <w:right w:val="single" w:color="auto" w:sz="4" w:space="0"/>
            </w:tcBorders>
            <w:shd w:val="clear" w:color="auto" w:fill="auto"/>
          </w:tcPr>
          <w:p w14:paraId="1CC6C5F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w:t>
            </w:r>
          </w:p>
        </w:tc>
        <w:tc>
          <w:tcPr>
            <w:tcW w:w="1250" w:type="pct"/>
            <w:tcBorders>
              <w:top w:val="single" w:color="auto" w:sz="4" w:space="0"/>
              <w:left w:val="single" w:color="auto" w:sz="4" w:space="0"/>
              <w:bottom w:val="single" w:color="auto" w:sz="4" w:space="0"/>
              <w:right w:val="single" w:color="auto" w:sz="4" w:space="0"/>
            </w:tcBorders>
            <w:shd w:val="clear" w:color="auto" w:fill="auto"/>
          </w:tcPr>
          <w:p w14:paraId="268593C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≤79</w:t>
            </w:r>
          </w:p>
        </w:tc>
      </w:tr>
      <w:tr w14:paraId="1F420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9" w:type="pct"/>
            <w:tcBorders>
              <w:top w:val="single" w:color="auto" w:sz="4" w:space="0"/>
              <w:left w:val="single" w:color="auto" w:sz="4" w:space="0"/>
              <w:bottom w:val="single" w:color="auto" w:sz="4" w:space="0"/>
              <w:right w:val="single" w:color="auto" w:sz="4" w:space="0"/>
            </w:tcBorders>
            <w:shd w:val="clear" w:color="auto" w:fill="auto"/>
            <w:vAlign w:val="center"/>
          </w:tcPr>
          <w:p w14:paraId="52B154D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连续液相本体法</w:t>
            </w:r>
          </w:p>
        </w:tc>
        <w:tc>
          <w:tcPr>
            <w:tcW w:w="1050" w:type="pct"/>
            <w:tcBorders>
              <w:top w:val="single" w:color="auto" w:sz="4" w:space="0"/>
              <w:left w:val="single" w:color="auto" w:sz="4" w:space="0"/>
              <w:bottom w:val="single" w:color="auto" w:sz="4" w:space="0"/>
              <w:right w:val="single" w:color="auto" w:sz="4" w:space="0"/>
            </w:tcBorders>
            <w:shd w:val="clear" w:color="auto" w:fill="auto"/>
          </w:tcPr>
          <w:p w14:paraId="6AAEEC8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w:t>
            </w:r>
          </w:p>
        </w:tc>
        <w:tc>
          <w:tcPr>
            <w:tcW w:w="1249" w:type="pct"/>
            <w:tcBorders>
              <w:top w:val="single" w:color="auto" w:sz="4" w:space="0"/>
              <w:left w:val="single" w:color="auto" w:sz="4" w:space="0"/>
              <w:bottom w:val="single" w:color="auto" w:sz="4" w:space="0"/>
              <w:right w:val="single" w:color="auto" w:sz="4" w:space="0"/>
            </w:tcBorders>
            <w:shd w:val="clear" w:color="auto" w:fill="auto"/>
          </w:tcPr>
          <w:p w14:paraId="38E9D94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≤64</w:t>
            </w:r>
          </w:p>
        </w:tc>
        <w:tc>
          <w:tcPr>
            <w:tcW w:w="1250" w:type="pct"/>
            <w:tcBorders>
              <w:top w:val="single" w:color="auto" w:sz="4" w:space="0"/>
              <w:left w:val="single" w:color="auto" w:sz="4" w:space="0"/>
              <w:bottom w:val="single" w:color="auto" w:sz="4" w:space="0"/>
              <w:right w:val="single" w:color="auto" w:sz="4" w:space="0"/>
            </w:tcBorders>
            <w:shd w:val="clear" w:color="auto" w:fill="auto"/>
          </w:tcPr>
          <w:p w14:paraId="7AD37E5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≤95</w:t>
            </w:r>
          </w:p>
        </w:tc>
      </w:tr>
    </w:tbl>
    <w:p w14:paraId="0F6C90AB">
      <w:pPr>
        <w:widowControl/>
        <w:ind w:firstLine="400" w:firstLineChars="200"/>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21B7BF97">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4-5</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苯乙烯能耗限额等级</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9"/>
        <w:gridCol w:w="1659"/>
        <w:gridCol w:w="1659"/>
        <w:gridCol w:w="1659"/>
        <w:gridCol w:w="1660"/>
      </w:tblGrid>
      <w:tr w14:paraId="06B3D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8"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05E90D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生产工艺</w:t>
            </w:r>
          </w:p>
        </w:tc>
        <w:tc>
          <w:tcPr>
            <w:tcW w:w="497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74B56FC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苯乙烯单位产品综合能耗/(kgoe/t)</w:t>
            </w:r>
          </w:p>
        </w:tc>
      </w:tr>
      <w:tr w14:paraId="3AE1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8"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86CF4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4978"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0F508C8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能耗限额等级</w:t>
            </w:r>
          </w:p>
        </w:tc>
      </w:tr>
      <w:tr w14:paraId="2248E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8" w:type="dxa"/>
            <w:gridSpan w:val="2"/>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A7B62E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46879D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1级</w:t>
            </w: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1440CB8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2级</w:t>
            </w:r>
          </w:p>
        </w:tc>
        <w:tc>
          <w:tcPr>
            <w:tcW w:w="1660" w:type="dxa"/>
            <w:tcBorders>
              <w:top w:val="single" w:color="auto" w:sz="4" w:space="0"/>
              <w:left w:val="single" w:color="auto" w:sz="4" w:space="0"/>
              <w:bottom w:val="single" w:color="auto" w:sz="4" w:space="0"/>
              <w:right w:val="single" w:color="auto" w:sz="4" w:space="0"/>
            </w:tcBorders>
            <w:shd w:val="clear" w:color="auto" w:fill="auto"/>
          </w:tcPr>
          <w:p w14:paraId="3B7929A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3级</w:t>
            </w:r>
          </w:p>
        </w:tc>
      </w:tr>
      <w:tr w14:paraId="11D50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vMerge w:val="restart"/>
            <w:tcBorders>
              <w:top w:val="nil"/>
              <w:left w:val="single" w:color="auto" w:sz="4" w:space="0"/>
              <w:bottom w:val="single" w:color="auto" w:sz="4" w:space="0"/>
              <w:right w:val="single" w:color="auto" w:sz="4" w:space="0"/>
            </w:tcBorders>
            <w:shd w:val="clear" w:color="auto" w:fill="auto"/>
            <w:vAlign w:val="center"/>
          </w:tcPr>
          <w:p w14:paraId="794C35A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乙苯脱氢法</w:t>
            </w:r>
          </w:p>
        </w:tc>
        <w:tc>
          <w:tcPr>
            <w:tcW w:w="1659" w:type="dxa"/>
            <w:tcBorders>
              <w:top w:val="single" w:color="auto" w:sz="4" w:space="0"/>
              <w:left w:val="single" w:color="auto" w:sz="4" w:space="0"/>
              <w:bottom w:val="single" w:color="auto" w:sz="4" w:space="0"/>
              <w:right w:val="single" w:color="auto" w:sz="4" w:space="0"/>
            </w:tcBorders>
            <w:shd w:val="clear" w:color="auto" w:fill="auto"/>
            <w:vAlign w:val="center"/>
          </w:tcPr>
          <w:p w14:paraId="0FBCC1F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纯乙烯法</w:t>
            </w: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20C7193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≤238</w:t>
            </w: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4B0214A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≤260</w:t>
            </w:r>
          </w:p>
        </w:tc>
        <w:tc>
          <w:tcPr>
            <w:tcW w:w="1660" w:type="dxa"/>
            <w:tcBorders>
              <w:top w:val="single" w:color="auto" w:sz="4" w:space="0"/>
              <w:left w:val="single" w:color="auto" w:sz="4" w:space="0"/>
              <w:bottom w:val="single" w:color="auto" w:sz="4" w:space="0"/>
              <w:right w:val="single" w:color="auto" w:sz="4" w:space="0"/>
            </w:tcBorders>
            <w:shd w:val="clear" w:color="auto" w:fill="auto"/>
          </w:tcPr>
          <w:p w14:paraId="131D3CF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≤362</w:t>
            </w:r>
          </w:p>
        </w:tc>
      </w:tr>
      <w:tr w14:paraId="7BA9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9" w:type="dxa"/>
            <w:vMerge w:val="continue"/>
            <w:tcBorders>
              <w:top w:val="nil"/>
              <w:left w:val="single" w:color="auto" w:sz="4" w:space="0"/>
              <w:bottom w:val="single" w:color="auto" w:sz="4" w:space="0"/>
              <w:right w:val="single" w:color="auto" w:sz="4" w:space="0"/>
            </w:tcBorders>
            <w:shd w:val="clear" w:color="auto" w:fill="auto"/>
            <w:vAlign w:val="center"/>
          </w:tcPr>
          <w:p w14:paraId="3376920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659" w:type="dxa"/>
            <w:tcBorders>
              <w:top w:val="single" w:color="auto" w:sz="4" w:space="0"/>
              <w:left w:val="single" w:color="auto" w:sz="4" w:space="0"/>
              <w:bottom w:val="single" w:color="auto" w:sz="4" w:space="0"/>
              <w:right w:val="single" w:color="auto" w:sz="4" w:space="0"/>
            </w:tcBorders>
            <w:shd w:val="clear" w:color="auto" w:fill="auto"/>
            <w:vAlign w:val="center"/>
          </w:tcPr>
          <w:p w14:paraId="10440F0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干气法</w:t>
            </w: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7D72C5D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≤424</w:t>
            </w: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51CFA1B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≤480</w:t>
            </w:r>
          </w:p>
        </w:tc>
        <w:tc>
          <w:tcPr>
            <w:tcW w:w="1660" w:type="dxa"/>
            <w:tcBorders>
              <w:top w:val="single" w:color="auto" w:sz="4" w:space="0"/>
              <w:left w:val="single" w:color="auto" w:sz="4" w:space="0"/>
              <w:bottom w:val="single" w:color="auto" w:sz="4" w:space="0"/>
              <w:right w:val="single" w:color="auto" w:sz="4" w:space="0"/>
            </w:tcBorders>
            <w:shd w:val="clear" w:color="auto" w:fill="auto"/>
          </w:tcPr>
          <w:p w14:paraId="060D96F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≤545</w:t>
            </w:r>
          </w:p>
        </w:tc>
      </w:tr>
      <w:tr w14:paraId="53F9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8"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760D467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乙苯共氧化法</w:t>
            </w: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75473FC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≤270</w:t>
            </w:r>
          </w:p>
        </w:tc>
        <w:tc>
          <w:tcPr>
            <w:tcW w:w="1659" w:type="dxa"/>
            <w:tcBorders>
              <w:top w:val="single" w:color="auto" w:sz="4" w:space="0"/>
              <w:left w:val="single" w:color="auto" w:sz="4" w:space="0"/>
              <w:bottom w:val="single" w:color="auto" w:sz="4" w:space="0"/>
              <w:right w:val="single" w:color="auto" w:sz="4" w:space="0"/>
            </w:tcBorders>
            <w:shd w:val="clear" w:color="auto" w:fill="auto"/>
          </w:tcPr>
          <w:p w14:paraId="4CD7BDB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≤315</w:t>
            </w:r>
          </w:p>
        </w:tc>
        <w:tc>
          <w:tcPr>
            <w:tcW w:w="1660" w:type="dxa"/>
            <w:tcBorders>
              <w:top w:val="single" w:color="auto" w:sz="4" w:space="0"/>
              <w:left w:val="single" w:color="auto" w:sz="4" w:space="0"/>
              <w:bottom w:val="single" w:color="auto" w:sz="4" w:space="0"/>
              <w:right w:val="single" w:color="auto" w:sz="4" w:space="0"/>
            </w:tcBorders>
            <w:shd w:val="clear" w:color="auto" w:fill="auto"/>
          </w:tcPr>
          <w:p w14:paraId="435383E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≤320</w:t>
            </w:r>
          </w:p>
        </w:tc>
      </w:tr>
    </w:tbl>
    <w:p w14:paraId="62DBF508">
      <w:pPr>
        <w:widowControl/>
        <w:ind w:firstLine="400" w:firstLineChars="200"/>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5E977F17">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4-6</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对二甲苯能耗限额等级</w:t>
      </w:r>
    </w:p>
    <w:tbl>
      <w:tblPr>
        <w:tblStyle w:val="1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3"/>
      </w:tblGrid>
      <w:tr w14:paraId="081D4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tcPr>
          <w:p w14:paraId="0087996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对二甲苯单位产品综合能耗/(kgoe/t)</w:t>
            </w:r>
          </w:p>
        </w:tc>
      </w:tr>
      <w:tr w14:paraId="3AC92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tcPr>
          <w:p w14:paraId="0F65E84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能耗限额等级</w:t>
            </w:r>
          </w:p>
        </w:tc>
      </w:tr>
      <w:tr w14:paraId="3DFDE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shd w:val="clear" w:color="auto" w:fill="auto"/>
          </w:tcPr>
          <w:p w14:paraId="79FF0D8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1级</w:t>
            </w:r>
          </w:p>
        </w:tc>
        <w:tc>
          <w:tcPr>
            <w:tcW w:w="1666" w:type="pct"/>
            <w:tcBorders>
              <w:top w:val="single" w:color="auto" w:sz="4" w:space="0"/>
              <w:left w:val="single" w:color="auto" w:sz="4" w:space="0"/>
              <w:bottom w:val="single" w:color="auto" w:sz="4" w:space="0"/>
              <w:right w:val="single" w:color="auto" w:sz="4" w:space="0"/>
            </w:tcBorders>
            <w:shd w:val="clear" w:color="auto" w:fill="auto"/>
          </w:tcPr>
          <w:p w14:paraId="4D5E597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2级</w:t>
            </w:r>
          </w:p>
        </w:tc>
        <w:tc>
          <w:tcPr>
            <w:tcW w:w="1667" w:type="pct"/>
            <w:tcBorders>
              <w:top w:val="single" w:color="auto" w:sz="4" w:space="0"/>
              <w:left w:val="single" w:color="auto" w:sz="4" w:space="0"/>
              <w:bottom w:val="single" w:color="auto" w:sz="4" w:space="0"/>
              <w:right w:val="single" w:color="auto" w:sz="4" w:space="0"/>
            </w:tcBorders>
            <w:shd w:val="clear" w:color="auto" w:fill="auto"/>
          </w:tcPr>
          <w:p w14:paraId="2072A3D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3级</w:t>
            </w:r>
          </w:p>
        </w:tc>
      </w:tr>
      <w:tr w14:paraId="5B117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single" w:color="auto" w:sz="4" w:space="0"/>
              <w:left w:val="single" w:color="auto" w:sz="4" w:space="0"/>
              <w:bottom w:val="single" w:color="auto" w:sz="4" w:space="0"/>
              <w:right w:val="single" w:color="auto" w:sz="4" w:space="0"/>
            </w:tcBorders>
            <w:shd w:val="clear" w:color="auto" w:fill="auto"/>
          </w:tcPr>
          <w:p w14:paraId="46450D7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≤370</w:t>
            </w:r>
          </w:p>
        </w:tc>
        <w:tc>
          <w:tcPr>
            <w:tcW w:w="1666" w:type="pct"/>
            <w:tcBorders>
              <w:top w:val="single" w:color="auto" w:sz="4" w:space="0"/>
              <w:left w:val="single" w:color="auto" w:sz="4" w:space="0"/>
              <w:bottom w:val="single" w:color="auto" w:sz="4" w:space="0"/>
              <w:right w:val="single" w:color="auto" w:sz="4" w:space="0"/>
            </w:tcBorders>
            <w:shd w:val="clear" w:color="auto" w:fill="auto"/>
          </w:tcPr>
          <w:p w14:paraId="554A444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≤380</w:t>
            </w:r>
          </w:p>
        </w:tc>
        <w:tc>
          <w:tcPr>
            <w:tcW w:w="1667" w:type="pct"/>
            <w:tcBorders>
              <w:top w:val="single" w:color="auto" w:sz="4" w:space="0"/>
              <w:left w:val="single" w:color="auto" w:sz="4" w:space="0"/>
              <w:bottom w:val="single" w:color="auto" w:sz="4" w:space="0"/>
              <w:right w:val="single" w:color="auto" w:sz="4" w:space="0"/>
            </w:tcBorders>
            <w:shd w:val="clear" w:color="auto" w:fill="auto"/>
          </w:tcPr>
          <w:p w14:paraId="01329CD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≤550</w:t>
            </w:r>
          </w:p>
        </w:tc>
      </w:tr>
    </w:tbl>
    <w:p w14:paraId="18D60E46">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除以上产品外，泉州石化所生产的乙二醇与炭黑产品的能耗限额参考《GB 32048-2015 乙二醇单位产品能源消耗限额》与《GB 29440-2012 炭黑单位产品能源消耗限额》两个国家标准。</w:t>
      </w:r>
    </w:p>
    <w:p w14:paraId="75E7E1C5">
      <w:pPr>
        <w:widowControl/>
        <w:ind w:firstLine="400" w:firstLineChars="200"/>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483DB524">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7</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乙二醇能耗限额等级</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tblGrid>
      <w:tr w14:paraId="6A9C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7B40835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工艺路线</w:t>
            </w:r>
          </w:p>
        </w:tc>
        <w:tc>
          <w:tcPr>
            <w:tcW w:w="622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4A28C88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乙二醇单位产品综合能耗/(kgoe/t)</w:t>
            </w:r>
          </w:p>
        </w:tc>
      </w:tr>
      <w:tr w14:paraId="01DF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6CCAC19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6222" w:type="dxa"/>
            <w:gridSpan w:val="3"/>
            <w:tcBorders>
              <w:top w:val="single" w:color="auto" w:sz="4" w:space="0"/>
              <w:left w:val="single" w:color="auto" w:sz="4" w:space="0"/>
              <w:bottom w:val="single" w:color="auto" w:sz="4" w:space="0"/>
              <w:right w:val="single" w:color="auto" w:sz="4" w:space="0"/>
            </w:tcBorders>
            <w:shd w:val="clear" w:color="auto" w:fill="auto"/>
            <w:vAlign w:val="center"/>
          </w:tcPr>
          <w:p w14:paraId="3742517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能耗限额等级</w:t>
            </w:r>
          </w:p>
        </w:tc>
      </w:tr>
      <w:tr w14:paraId="62243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379D567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5232821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限定值</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7F21452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准入值</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0BCC6F8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先进值</w:t>
            </w:r>
          </w:p>
        </w:tc>
      </w:tr>
      <w:tr w14:paraId="0E047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234265B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乙烯法</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739A86F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≤550</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3DCED08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≤430</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275BFA1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≤230</w:t>
            </w:r>
          </w:p>
        </w:tc>
      </w:tr>
      <w:tr w14:paraId="693D75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3352724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合成气法</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3734A7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≤1430</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51A18A4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≤1120</w:t>
            </w:r>
          </w:p>
        </w:tc>
        <w:tc>
          <w:tcPr>
            <w:tcW w:w="2074" w:type="dxa"/>
            <w:tcBorders>
              <w:top w:val="single" w:color="auto" w:sz="4" w:space="0"/>
              <w:left w:val="single" w:color="auto" w:sz="4" w:space="0"/>
              <w:bottom w:val="single" w:color="auto" w:sz="4" w:space="0"/>
              <w:right w:val="single" w:color="auto" w:sz="4" w:space="0"/>
            </w:tcBorders>
            <w:shd w:val="clear" w:color="auto" w:fill="auto"/>
            <w:vAlign w:val="center"/>
          </w:tcPr>
          <w:p w14:paraId="7BC932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≤1045</w:t>
            </w:r>
          </w:p>
        </w:tc>
      </w:tr>
    </w:tbl>
    <w:p w14:paraId="6ADC5814">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5BAC9B44">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《GB 29440-2012 炭黑单位产品能源消耗限额》中炭黑单位产品能耗的限定值、准入值与先进值分别为≤2400 kgce/t、≤2250 kgce/t与≤1990 kgce/t。</w:t>
      </w:r>
    </w:p>
    <w:p w14:paraId="78BF427C">
      <w:pPr>
        <w:pStyle w:val="15"/>
        <w:spacing w:line="560" w:lineRule="exact"/>
        <w:ind w:firstLine="561"/>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t>装置层级国家、行业标准</w:t>
      </w:r>
      <w:r>
        <w:rPr>
          <w:rFonts w:hint="eastAsia" w:ascii="Times New Roman Regular" w:hAnsi="Times New Roman Regular" w:eastAsia="仿宋_GB2312" w:cs="Times New Roman Regular"/>
          <w:b/>
          <w:bCs/>
          <w:color w:val="000000" w:themeColor="text1"/>
          <w:sz w:val="28"/>
          <w:szCs w:val="28"/>
          <w:lang w:bidi="ar"/>
          <w14:textFill>
            <w14:solidFill>
              <w14:schemeClr w14:val="tx1"/>
            </w14:solidFill>
          </w14:textFill>
        </w:rPr>
        <w:t>：</w:t>
      </w:r>
    </w:p>
    <w:p w14:paraId="477896ED">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2013年《NB/SH/T 5001.1-2013 石化行业能源消耗统计指标及计算方法 炼油》与《GB 30251-2013炼油单位产品能源消耗限额》分别于行业与国家两个层面对炼油各装置的能耗定额（炼油生产装置的平均先进单位能耗）做出了规定。2024年《GB 30251-2024 炼化行业单位产品能源消耗限额》更新了各装置的能耗定额。泉州石化所涉及的装置如下。</w:t>
      </w:r>
    </w:p>
    <w:p w14:paraId="046B1BDE">
      <w:pPr>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6B4F3130">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8</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炼油生产装置能耗定额</w:t>
      </w:r>
      <w:r>
        <w:rPr>
          <w:rStyle w:val="23"/>
          <w:rFonts w:ascii="Times New Roman Regular" w:hAnsi="Times New Roman Regular" w:eastAsia="黑体" w:cs="Times New Roman Regular"/>
          <w:color w:val="000000" w:themeColor="text1"/>
          <w:sz w:val="20"/>
          <w:szCs w:val="20"/>
          <w:lang w:bidi="ar"/>
          <w14:textFill>
            <w14:solidFill>
              <w14:schemeClr w14:val="tx1"/>
            </w14:solidFill>
          </w14:textFill>
        </w:rPr>
        <w:footnoteReference w:id="3"/>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2384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ABF537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装置名称</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08BFEB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能耗定额（千克标油/吨）</w:t>
            </w:r>
          </w:p>
        </w:tc>
      </w:tr>
      <w:tr w14:paraId="0855B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6332F65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1#常减压</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52BF16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r>
      <w:tr w14:paraId="189D6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2F4EC7A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1#轻烃回收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4F6554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r>
      <w:tr w14:paraId="347BF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3F3873E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焦化</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6B128F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w:t>
            </w:r>
          </w:p>
        </w:tc>
      </w:tr>
      <w:tr w14:paraId="7553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78FE04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催化裂化</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CE2416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55</w:t>
            </w:r>
          </w:p>
        </w:tc>
      </w:tr>
      <w:tr w14:paraId="3DA6A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5C8429C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1#产品精制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D56F75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w:t>
            </w:r>
          </w:p>
        </w:tc>
      </w:tr>
      <w:tr w14:paraId="18BEE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0D60CFE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气分</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3F9212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48</w:t>
            </w:r>
          </w:p>
        </w:tc>
      </w:tr>
      <w:tr w14:paraId="00FD7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5D368CC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MTBE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02A245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95</w:t>
            </w:r>
          </w:p>
        </w:tc>
      </w:tr>
      <w:tr w14:paraId="4F2DB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2D7B3CE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汽油加氢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C242B8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r>
      <w:tr w14:paraId="7EF1F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466172E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硫磺回收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51BCFE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r>
      <w:tr w14:paraId="51478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3073065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污水汽提</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924A82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w:t>
            </w:r>
          </w:p>
        </w:tc>
      </w:tr>
      <w:tr w14:paraId="3EC5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574A98B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溶剂再生</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DA8AEA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w:t>
            </w:r>
          </w:p>
        </w:tc>
      </w:tr>
      <w:tr w14:paraId="2488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54AED13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制氢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72E943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1100</w:t>
            </w:r>
          </w:p>
        </w:tc>
      </w:tr>
      <w:tr w14:paraId="64844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03103D9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PSA</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7DCA513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80</w:t>
            </w:r>
          </w:p>
        </w:tc>
      </w:tr>
      <w:tr w14:paraId="4D1E6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6CFDC45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1#连续重整</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3C4B65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90</w:t>
            </w:r>
          </w:p>
        </w:tc>
      </w:tr>
      <w:tr w14:paraId="124D7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2B0B519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航煤加氢</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25EDF41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w:t>
            </w:r>
          </w:p>
        </w:tc>
      </w:tr>
      <w:tr w14:paraId="4A15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77A818F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柴油加氢</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41DB0FC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w:t>
            </w:r>
          </w:p>
        </w:tc>
      </w:tr>
      <w:tr w14:paraId="0E8D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1A2F105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蜡油加氢裂化</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217DB64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33*(1.3-X)X为尾油产率</w:t>
            </w:r>
          </w:p>
        </w:tc>
      </w:tr>
      <w:tr w14:paraId="2323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1AFBF74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渣油加氢</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665AA8E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w:t>
            </w:r>
          </w:p>
        </w:tc>
      </w:tr>
      <w:tr w14:paraId="15861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4D6F060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柴油加氢裂化</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5531B1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33*(1.3-X)X为尾油产率</w:t>
            </w:r>
          </w:p>
        </w:tc>
      </w:tr>
      <w:tr w14:paraId="5B8A4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1222AC4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凝析油加工</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636F466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r>
      <w:tr w14:paraId="60147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5260AA5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2#轻烃回收</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304C08B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r>
      <w:tr w14:paraId="08DD0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59EB992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2#产品精制</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5FD8899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w:t>
            </w:r>
          </w:p>
        </w:tc>
      </w:tr>
      <w:tr w14:paraId="0A710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789B60E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干气预精制</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55304EE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120</w:t>
            </w:r>
          </w:p>
        </w:tc>
      </w:tr>
      <w:tr w14:paraId="2EEE8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tcPr>
          <w:p w14:paraId="5D3BF5D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1#芳烃抽提</w:t>
            </w:r>
          </w:p>
        </w:tc>
        <w:tc>
          <w:tcPr>
            <w:tcW w:w="4148" w:type="dxa"/>
            <w:tcBorders>
              <w:top w:val="single" w:color="auto" w:sz="4" w:space="0"/>
              <w:left w:val="single" w:color="auto" w:sz="4" w:space="0"/>
              <w:bottom w:val="single" w:color="auto" w:sz="4" w:space="0"/>
              <w:right w:val="single" w:color="auto" w:sz="4" w:space="0"/>
            </w:tcBorders>
            <w:shd w:val="clear" w:color="auto" w:fill="auto"/>
          </w:tcPr>
          <w:p w14:paraId="0C4DA5E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r>
    </w:tbl>
    <w:p w14:paraId="4E78A4E1">
      <w:pPr>
        <w:pStyle w:val="15"/>
        <w:spacing w:line="560" w:lineRule="exact"/>
        <w:ind w:firstLine="0" w:firstLineChars="0"/>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pPr>
    </w:p>
    <w:p w14:paraId="25941E3D">
      <w:pPr>
        <w:pStyle w:val="15"/>
        <w:spacing w:line="560" w:lineRule="exact"/>
        <w:ind w:firstLine="561"/>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t>福建省标准</w:t>
      </w:r>
      <w:r>
        <w:rPr>
          <w:rFonts w:hint="eastAsia" w:ascii="Times New Roman Regular" w:hAnsi="Times New Roman Regular" w:eastAsia="仿宋_GB2312" w:cs="Times New Roman Regular"/>
          <w:b/>
          <w:bCs/>
          <w:color w:val="000000" w:themeColor="text1"/>
          <w:sz w:val="28"/>
          <w:szCs w:val="28"/>
          <w:lang w:bidi="ar"/>
          <w14:textFill>
            <w14:solidFill>
              <w14:schemeClr w14:val="tx1"/>
            </w14:solidFill>
          </w14:textFill>
        </w:rPr>
        <w:t>：</w:t>
      </w:r>
    </w:p>
    <w:p w14:paraId="4952B2EE">
      <w:pPr>
        <w:pStyle w:val="15"/>
        <w:spacing w:line="560" w:lineRule="exact"/>
        <w:ind w:firstLine="56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福建省对于能耗的限定标准来自于《福建省固定资产投资项目节能审查实施办法》。该实施办法规定对固定资产投资项目实施节能审查工作，出具节能审查意见，标定出对于此投资项目的年能源消耗限额。在项目建成后，项目第一年的能源消耗量不得超过此限额。</w:t>
      </w:r>
    </w:p>
    <w:p w14:paraId="61468CDD">
      <w:pP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5E049F12">
      <w:pPr>
        <w:ind w:firstLine="560"/>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行业先进：</w:t>
      </w:r>
    </w:p>
    <w:p w14:paraId="54A0B876">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中国石油和化学工业联合会2024年发布《2023年度石油和化工行业重点产品能效“领跑者” 水效“领跑者”名单》，其中与</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主要产品相关的企业名单如下。</w:t>
      </w:r>
    </w:p>
    <w:p w14:paraId="39ADE0FF">
      <w:pPr>
        <w:widowControl/>
        <w:ind w:firstLine="400" w:firstLineChars="200"/>
        <w:jc w:val="cente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9</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原油加工</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4401"/>
        <w:gridCol w:w="2766"/>
      </w:tblGrid>
      <w:tr w14:paraId="291A9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3AC8306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序号</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3A7BD36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企业名称</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334CA3F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单位能量因数耗能（千克标准油/吨·能量因数）</w:t>
            </w:r>
          </w:p>
        </w:tc>
      </w:tr>
      <w:tr w14:paraId="4AB5F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670E822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394B17A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中国石化青岛炼油化工有限责任公司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6DC1017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6.02</w:t>
            </w:r>
          </w:p>
        </w:tc>
      </w:tr>
      <w:tr w14:paraId="2BEC4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1E0A494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5067ED5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中国石油化工股份有限公司广州分公司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28103FA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6.57</w:t>
            </w:r>
          </w:p>
        </w:tc>
      </w:tr>
      <w:tr w14:paraId="2F763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7D377D4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2B80A9C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中国石化中科（广东）炼化有限公司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028D127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6.68</w:t>
            </w:r>
          </w:p>
        </w:tc>
      </w:tr>
      <w:tr w14:paraId="47B7E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7565FCD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5A7596F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中国石油天然气股份有限公司锦州石化分公司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65A8D23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7.14</w:t>
            </w:r>
          </w:p>
        </w:tc>
      </w:tr>
    </w:tbl>
    <w:p w14:paraId="4A379A36">
      <w:pPr>
        <w:ind w:firstLine="400" w:firstLineChars="200"/>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27C6F28E">
      <w:pPr>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表4-10</w:t>
      </w:r>
      <w:r>
        <w:rPr>
          <w:rFonts w:ascii="Times New Roman Regular" w:hAnsi="Times New Roman Regular" w:eastAsia="黑体" w:cs="Times New Roman Regular"/>
          <w:color w:val="000000" w:themeColor="text1"/>
          <w:sz w:val="20"/>
          <w:szCs w:val="20"/>
          <w:lang w:bidi="ar"/>
          <w14:textFill>
            <w14:solidFill>
              <w14:schemeClr w14:val="tx1"/>
            </w14:solidFill>
          </w14:textFill>
        </w:rPr>
        <w:t>以石脑油为原料的乙烯生产</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4401"/>
        <w:gridCol w:w="2766"/>
      </w:tblGrid>
      <w:tr w14:paraId="1E7F8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09FDD14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序号</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6439116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企业名称</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57E21C4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吨乙烯综合能耗</w:t>
            </w:r>
          </w:p>
          <w:p w14:paraId="40ABA16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（千克标准有）</w:t>
            </w:r>
          </w:p>
        </w:tc>
      </w:tr>
      <w:tr w14:paraId="4504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6D30A51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6FA4EDB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浙江石油化工有限公司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6A1D9B3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513.00</w:t>
            </w:r>
          </w:p>
        </w:tc>
      </w:tr>
      <w:tr w14:paraId="2000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4AADA9D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12C8432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恒力石化（大连）化工有限公司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7DC5006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515.75</w:t>
            </w:r>
          </w:p>
        </w:tc>
      </w:tr>
      <w:tr w14:paraId="0358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03B4943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4DA7441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中石化宁波镇海炼化有限公司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0F9EEA7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549.83</w:t>
            </w:r>
          </w:p>
        </w:tc>
      </w:tr>
      <w:tr w14:paraId="34BB8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5974D40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5E068C6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广东石化有限责任公司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7AB06F2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569.95</w:t>
            </w:r>
          </w:p>
        </w:tc>
      </w:tr>
      <w:tr w14:paraId="4CD9E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628426B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7A292F2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中国石油天然气股份有限公司独山子石化分公司（110 万吨/年乙烯装置）</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3558A5F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578.17</w:t>
            </w:r>
          </w:p>
        </w:tc>
      </w:tr>
    </w:tbl>
    <w:p w14:paraId="1E7DC3FF">
      <w:pPr>
        <w:ind w:firstLine="400" w:firstLineChars="200"/>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1F3C2AF5">
      <w:pPr>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表4-11 对二甲苯生产</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9"/>
        <w:gridCol w:w="4401"/>
        <w:gridCol w:w="2766"/>
      </w:tblGrid>
      <w:tr w14:paraId="1832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29694D5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序号</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22F6AE2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企业名称</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49A88DB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吨对二甲苯综合能耗（不含预加氢和重整）（千克标准油）</w:t>
            </w:r>
          </w:p>
        </w:tc>
      </w:tr>
      <w:tr w14:paraId="714C6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0444EFC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2CCA333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浙江石油化工有限公司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722F202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155.00</w:t>
            </w:r>
          </w:p>
        </w:tc>
      </w:tr>
      <w:tr w14:paraId="26260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2315F1B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141C3D6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恒力石化（大连）化工有限公司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27E2873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173.30</w:t>
            </w:r>
          </w:p>
        </w:tc>
      </w:tr>
      <w:tr w14:paraId="0CAEF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9" w:type="dxa"/>
            <w:tcBorders>
              <w:top w:val="single" w:color="auto" w:sz="4" w:space="0"/>
              <w:left w:val="single" w:color="auto" w:sz="4" w:space="0"/>
              <w:bottom w:val="single" w:color="auto" w:sz="4" w:space="0"/>
              <w:right w:val="single" w:color="auto" w:sz="4" w:space="0"/>
            </w:tcBorders>
            <w:shd w:val="clear" w:color="auto" w:fill="auto"/>
            <w:vAlign w:val="center"/>
          </w:tcPr>
          <w:p w14:paraId="359C35D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4401" w:type="dxa"/>
            <w:tcBorders>
              <w:top w:val="single" w:color="auto" w:sz="4" w:space="0"/>
              <w:left w:val="single" w:color="auto" w:sz="4" w:space="0"/>
              <w:bottom w:val="single" w:color="auto" w:sz="4" w:space="0"/>
              <w:right w:val="single" w:color="auto" w:sz="4" w:space="0"/>
            </w:tcBorders>
            <w:shd w:val="clear" w:color="auto" w:fill="auto"/>
            <w:vAlign w:val="center"/>
          </w:tcPr>
          <w:p w14:paraId="3E0B2DF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中国石油化工股份有限公司九江分公司</w:t>
            </w:r>
          </w:p>
        </w:tc>
        <w:tc>
          <w:tcPr>
            <w:tcW w:w="2766" w:type="dxa"/>
            <w:tcBorders>
              <w:top w:val="single" w:color="auto" w:sz="4" w:space="0"/>
              <w:left w:val="single" w:color="auto" w:sz="4" w:space="0"/>
              <w:bottom w:val="single" w:color="auto" w:sz="4" w:space="0"/>
              <w:right w:val="single" w:color="auto" w:sz="4" w:space="0"/>
            </w:tcBorders>
            <w:shd w:val="clear" w:color="auto" w:fill="auto"/>
            <w:vAlign w:val="center"/>
          </w:tcPr>
          <w:p w14:paraId="6F8CA11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269.90</w:t>
            </w:r>
          </w:p>
        </w:tc>
      </w:tr>
    </w:tbl>
    <w:p w14:paraId="08CB555D">
      <w:pP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4F35559E">
      <w:pPr>
        <w:rPr>
          <w:color w:val="000000" w:themeColor="text1"/>
          <w14:textFill>
            <w14:solidFill>
              <w14:schemeClr w14:val="tx1"/>
            </w14:solidFill>
          </w14:textFill>
        </w:rPr>
      </w:pPr>
    </w:p>
    <w:p w14:paraId="3EBC8871">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装置层面，乙烯、炭黑等装置能耗水平显著优于国家限定值，炭黑甚至优于国家先进及行业标杆。炼油、聚丙烯、苯乙烯、乙二醇等装置能耗接近或略高于先进值，具备进一步提升空间。（备注：PX装置国标不适用，炼油数据单位为kgog/（t*能量因数））</w:t>
      </w:r>
    </w:p>
    <w:p w14:paraId="5E5FD714">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泉州石化各装置的设计能耗如下</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p>
    <w:p w14:paraId="389939A6">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12</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2025年泉州石化各装置设计能耗一览表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D7C7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B1D800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装置名称</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14C346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设计能耗（千克标油/吨，炭黑装置单位为千克标煤/吨）</w:t>
            </w:r>
          </w:p>
        </w:tc>
      </w:tr>
      <w:tr w14:paraId="7788B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B903B9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1#常减压</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DB66F5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8.5</w:t>
            </w:r>
          </w:p>
        </w:tc>
      </w:tr>
      <w:tr w14:paraId="6387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7D1DEA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1#轻烃回收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9A44D4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11.07</w:t>
            </w:r>
          </w:p>
        </w:tc>
      </w:tr>
      <w:tr w14:paraId="03F20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981DA6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焦化</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7FA7ED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25.23</w:t>
            </w:r>
          </w:p>
        </w:tc>
      </w:tr>
      <w:tr w14:paraId="050D8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24DDCE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催化裂化</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987821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41.18</w:t>
            </w:r>
          </w:p>
        </w:tc>
      </w:tr>
      <w:tr w14:paraId="7A55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E84AE4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1#产品精制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7D0A510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1.02</w:t>
            </w:r>
          </w:p>
        </w:tc>
      </w:tr>
      <w:tr w14:paraId="51EB5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EB3CF0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气分</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ED8214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39.46</w:t>
            </w:r>
          </w:p>
        </w:tc>
      </w:tr>
      <w:tr w14:paraId="0E849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86CF36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MTBE</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7837D7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73.21</w:t>
            </w:r>
          </w:p>
        </w:tc>
      </w:tr>
      <w:tr w14:paraId="1C603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F45819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汽油加氢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0510AB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37.73</w:t>
            </w:r>
          </w:p>
        </w:tc>
      </w:tr>
      <w:tr w14:paraId="22CEE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34A7EE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硫磺回收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EDA9EE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-147.74</w:t>
            </w:r>
          </w:p>
        </w:tc>
      </w:tr>
      <w:tr w14:paraId="0B24A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C3BDA2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污水汽提</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F8F7FF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10.54</w:t>
            </w:r>
          </w:p>
        </w:tc>
      </w:tr>
      <w:tr w14:paraId="10AC6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1CC2D6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溶剂再生</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D9CA8D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6.76</w:t>
            </w:r>
          </w:p>
        </w:tc>
      </w:tr>
      <w:tr w14:paraId="5AC63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39B537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制氢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6AFC27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1220.35</w:t>
            </w:r>
          </w:p>
        </w:tc>
      </w:tr>
      <w:tr w14:paraId="16293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317719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PSA</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FECB8D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94.41</w:t>
            </w:r>
          </w:p>
        </w:tc>
      </w:tr>
      <w:tr w14:paraId="75D0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108316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1#连续重整</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3E77E8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108.92</w:t>
            </w:r>
          </w:p>
        </w:tc>
      </w:tr>
      <w:tr w14:paraId="7512C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5FF98C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航煤加氢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E24704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8.67</w:t>
            </w:r>
          </w:p>
        </w:tc>
      </w:tr>
      <w:tr w14:paraId="4BB84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BB3AE5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柴油加氢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4F8BB9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6.02</w:t>
            </w:r>
          </w:p>
        </w:tc>
      </w:tr>
      <w:tr w14:paraId="61199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4E817D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蜡油加氢裂化</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4E5D07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39.54</w:t>
            </w:r>
          </w:p>
        </w:tc>
      </w:tr>
      <w:tr w14:paraId="3914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6BBCD5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渣油加氢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B6D24F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22.84</w:t>
            </w:r>
          </w:p>
        </w:tc>
      </w:tr>
      <w:tr w14:paraId="74D91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87CD34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柴油加氢裂化</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BC0AB2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56.95</w:t>
            </w:r>
          </w:p>
        </w:tc>
      </w:tr>
      <w:tr w14:paraId="73B52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B490E1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凝析油加工</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E4637F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15.2</w:t>
            </w:r>
          </w:p>
        </w:tc>
      </w:tr>
      <w:tr w14:paraId="49ED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253552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2#轻烃回收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880308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11.92</w:t>
            </w:r>
          </w:p>
        </w:tc>
      </w:tr>
      <w:tr w14:paraId="1FBA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BB4FA5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2#产品精制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425EC1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1.91</w:t>
            </w:r>
          </w:p>
        </w:tc>
      </w:tr>
      <w:tr w14:paraId="4E3F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34A8E7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干气预精制</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21658A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150</w:t>
            </w:r>
          </w:p>
        </w:tc>
      </w:tr>
      <w:tr w14:paraId="6A54C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760E84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饱和液化气</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7A9C93D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49.5</w:t>
            </w:r>
          </w:p>
        </w:tc>
      </w:tr>
      <w:tr w14:paraId="277B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70ECA68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乙烯裂解</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74C1FC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563</w:t>
            </w:r>
          </w:p>
        </w:tc>
      </w:tr>
      <w:tr w14:paraId="2A51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0E380E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MTBE/丁烯-1</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DFC8B87">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170</w:t>
            </w:r>
          </w:p>
        </w:tc>
      </w:tr>
      <w:tr w14:paraId="14411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3DFB92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3#芳烃抽提</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E74F79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72</w:t>
            </w:r>
          </w:p>
        </w:tc>
      </w:tr>
      <w:tr w14:paraId="32E99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2B6B5D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丁二烯抽提</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5AE4C50">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214</w:t>
            </w:r>
          </w:p>
        </w:tc>
      </w:tr>
      <w:tr w14:paraId="05E6F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07E13D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2#聚丙烯</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3068333">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108</w:t>
            </w:r>
          </w:p>
        </w:tc>
      </w:tr>
      <w:tr w14:paraId="4779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BB9693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高密度聚乙烯</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1F8938D">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148</w:t>
            </w:r>
          </w:p>
        </w:tc>
      </w:tr>
      <w:tr w14:paraId="01B90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C4BA904">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EVA</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834D9B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359.59</w:t>
            </w:r>
          </w:p>
        </w:tc>
      </w:tr>
      <w:tr w14:paraId="70DBC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AC1CEAC">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裂解汽油加氢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B7EED6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w:t>
            </w:r>
          </w:p>
        </w:tc>
      </w:tr>
      <w:tr w14:paraId="2C9C5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6CBAA3A">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乙二醇</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F152C98">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244</w:t>
            </w:r>
          </w:p>
        </w:tc>
      </w:tr>
      <w:tr w14:paraId="2777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967409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对二甲苯</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FBF18C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106.46</w:t>
            </w:r>
          </w:p>
        </w:tc>
      </w:tr>
      <w:tr w14:paraId="7C2FA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7115A1AE">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苯乙烯</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426BE5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262.27</w:t>
            </w:r>
          </w:p>
        </w:tc>
      </w:tr>
      <w:tr w14:paraId="38A98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534535A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1#聚丙烯</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6C79566">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130.8</w:t>
            </w:r>
          </w:p>
        </w:tc>
      </w:tr>
      <w:tr w14:paraId="212B8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B21A3EB">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2#连续重整(含2#芳烃抽提、2#PSA)</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239F8C1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141.9</w:t>
            </w:r>
          </w:p>
        </w:tc>
      </w:tr>
      <w:tr w14:paraId="2A836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1D3C34B9">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1#芳烃抽提</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38359AD1">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46.85</w:t>
            </w:r>
          </w:p>
        </w:tc>
      </w:tr>
      <w:tr w14:paraId="5C916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54DDA52">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碳四炔烃加氢</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646055A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32.68</w:t>
            </w:r>
          </w:p>
        </w:tc>
      </w:tr>
      <w:tr w14:paraId="5385B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07B2349F">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炭黑</w:t>
            </w:r>
          </w:p>
        </w:tc>
        <w:tc>
          <w:tcPr>
            <w:tcW w:w="4148" w:type="dxa"/>
            <w:tcBorders>
              <w:top w:val="single" w:color="auto" w:sz="4" w:space="0"/>
              <w:left w:val="single" w:color="auto" w:sz="4" w:space="0"/>
              <w:bottom w:val="single" w:color="auto" w:sz="4" w:space="0"/>
              <w:right w:val="single" w:color="auto" w:sz="4" w:space="0"/>
            </w:tcBorders>
            <w:shd w:val="clear" w:color="auto" w:fill="auto"/>
            <w:vAlign w:val="center"/>
          </w:tcPr>
          <w:p w14:paraId="4D66A8F5">
            <w:pPr>
              <w:widowControl/>
              <w:adjustRightInd w:val="0"/>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1856 kgce/t</w:t>
            </w:r>
          </w:p>
        </w:tc>
      </w:tr>
    </w:tbl>
    <w:p w14:paraId="3DCEAB25">
      <w:pPr>
        <w:widowControl/>
        <w:snapToGrid w:val="0"/>
        <w:spacing w:before="156" w:beforeLines="50" w:after="156" w:afterLines="50" w:line="560" w:lineRule="exact"/>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p>
    <w:p w14:paraId="7D44B10B">
      <w:pPr>
        <w:widowControl/>
        <w:ind w:firstLine="400" w:firstLineChars="200"/>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1C526989">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23330AF7">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48046646">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3FE56D7B">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730583C9">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1C0CE833">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7EF7D3D8">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7F390958">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083DC1D2">
      <w:pPr>
        <w:widowControl/>
        <w:ind w:firstLine="400" w:firstLineChars="20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p w14:paraId="4E35051F">
      <w:pPr>
        <w:widowControl/>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drawing>
          <wp:inline distT="0" distB="0" distL="0" distR="0">
            <wp:extent cx="5493385" cy="23336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496067" cy="2334679"/>
                    </a:xfrm>
                    <a:prstGeom prst="rect">
                      <a:avLst/>
                    </a:prstGeom>
                    <a:noFill/>
                  </pic:spPr>
                </pic:pic>
              </a:graphicData>
            </a:graphic>
          </wp:inline>
        </w:drawing>
      </w:r>
    </w:p>
    <w:p w14:paraId="4B126849">
      <w:pPr>
        <w:widowControl/>
        <w:ind w:firstLine="400" w:firstLineChars="200"/>
        <w:jc w:val="cente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图 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3</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重点石油化工企业万元产值碳排放强度对标</w:t>
      </w:r>
    </w:p>
    <w:p w14:paraId="52343251">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4.2.3 技术创新对标</w:t>
      </w:r>
    </w:p>
    <w:p w14:paraId="4591EEC8">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各标杆企业均将低碳技术创新作为减排的重要支撑。</w:t>
      </w:r>
    </w:p>
    <w:p w14:paraId="48007819">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CCUS方面，中国石化走在前列，已形成较完整的CCUS全产业链技术体系，建成国内首个百万吨级CCUS示范项目（齐鲁石化-胜利油田）及配套长输管道。2024年中石化在制氢、合成氨装置上持续开展二氧化碳捕集利用，全年捕集210万吨CO</w:t>
      </w:r>
      <w:r>
        <w:rPr>
          <w:rFonts w:hint="eastAsia" w:ascii="Times New Roman Regular" w:hAnsi="Times New Roman Regular" w:eastAsia="仿宋_GB2312" w:cs="Times New Roman Regular"/>
          <w:color w:val="000000" w:themeColor="text1"/>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并用于驱油，提高原油采收率和减排双重效益。同时中石化牵头联合SABIC等国际伙伴发起CCUS技术创新组织，推动全球气候治理。中石油亦布局碳捕集与封存，在新疆等地推进煤电+CCUS一体化示范工程，将新能源发电、燃烧后碳捕集与油田埋存结合，探索大规模减碳路径。中国海油2024年稳步建设渤海和海南两个海上CCUS基地 ，尝试将海上油气田的排放就近捕集封存，这是上游企业技术创新的亮点。氢能利用方面，中国石化投资建设国内最大的绿氢制取项目（新疆库车20,000吨/年电解水制氢），在炼化业务中示范“灰氢”转型，为交通和化工提供清洁氢源。中石油亦在布局氢能产业链和加氢站网络，但力度相对中石化略逊一筹。</w:t>
      </w:r>
    </w:p>
    <w:p w14:paraId="03611367">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能效提升与数字化方面，三大石油公司均建设了能源管理系统（ISO50001认证）并开展能效对标。中国石化实施能效提升计划，建立“双控”目标责任书和能源在线监测体系。中国海油建设了智能油气田（如“深海一号”智能气田)并提升海上平台智能化率，入选工业数据治理领跑者，体现数字技术在降碳增效中的作用。中石油将数智技术深度融入ESG管理，在非常规油气勘探、管道运行等领域应用AI和物联网提高能源效率。</w:t>
      </w:r>
    </w:p>
    <w:p w14:paraId="6B6D5FFE">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工艺创新与循环经济方面，炼化企业侧重开发绿色工艺，例如中石化研发电加热催化反应、低温低压余热利用等降低工艺能耗；同时推进CO</w:t>
      </w:r>
      <w:r>
        <w:rPr>
          <w:rFonts w:hint="eastAsia" w:ascii="Times New Roman Regular" w:hAnsi="Times New Roman Regular" w:eastAsia="仿宋_GB2312" w:cs="Times New Roman Regular"/>
          <w:color w:val="000000" w:themeColor="text1"/>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作为原料生产甲醇、碳酸酯等化工产品的技术攻关，实现变废为宝。巴斯夫等国际同行在总部路德维希港投运了54兆瓦水电解制氢装置，并与合作伙伴研发电加热裂解炉等颠覆性工艺，以期大幅减少化石能源需求。</w:t>
      </w:r>
    </w:p>
    <w:p w14:paraId="47E31947">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总体而言，中石化在CCUS和绿氢领域的投入使其技术创新处于国内领先；中石油和中海油也各有侧重（一个侧重综合能源示范，一个侧重海上碳封存），均在积极追赶。中化能源应对标这些实践，加大研发投入和产学研合作，</w:t>
      </w:r>
      <w:commentRangeStart w:id="4"/>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在CCUS、绿氢、数字化工厂和生物基材料等方面形成自身特色亮点，加速先进低碳技术的应用落地。</w:t>
      </w:r>
      <w:commentRangeEnd w:id="4"/>
      <w:r>
        <w:commentReference w:id="4"/>
      </w:r>
    </w:p>
    <w:p w14:paraId="6E6CF9C3">
      <w:pPr>
        <w:widowControl/>
        <w:snapToGrid w:val="0"/>
        <w:spacing w:line="560" w:lineRule="exact"/>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p>
    <w:p w14:paraId="1716F6B6">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4.2.4 产品与工艺对标</w:t>
      </w:r>
    </w:p>
    <w:p w14:paraId="34C61E66">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在产品结构和工艺流程上，各公司正向绿色低碳方向调整。绿色产品布局方面，中国石化加快发展生物基和可降解材料，建成了10万吨级生物可降解塑料（PBAT）产能，并推出碳中和润滑油、低硫船用燃料等新品。尤其在航空燃料领域，中石化和中石油均有布局可持续航空燃料（SAF）：中石化镇海炼化早在2022年就试产生物航煤；中石油则与国家电投合作建设SAF项目，探索用生物原料和二氧化碳合成航空燃料。中国海油的产品以原油和天然气为主，通过提高天然气占比来优化供给结构（2024年国内天然气产量占比持续提升），天然气作为清洁燃料有助于下游用户减排。低碳原料利用方面，中石化开展原料多元化试点，用生物质、废塑料油等替代部分化石原料，并推进二氧化碳制烯烃、制燃料等前沿研究。</w:t>
      </w:r>
    </w:p>
    <w:p w14:paraId="28797C70">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巴斯夫等国际企业已实施“生物质平衡”方案，在现有装置中用可再生原料部分替代石脑油，并为下游提供经过第三方认证的低碳足迹产品。流程优化方面，炼化企业持续优化工艺参数和流程以降碳：如中化能源下属企业通过热整合优化和副产氢高效利用等技改，实现每年减排和降耗。中国石化青岛炼化等炼厂追求“能效极致”，通过换热网络优化每年节约能耗折合千吨标煤。同时，各公司推进“无废工厂”建设，中石化启动了为期三年的“无废集团”行动计划，在流程中尽可能资源循环利用，副产品回收和废弃物再利用率不断提高。</w:t>
      </w:r>
    </w:p>
    <w:p w14:paraId="1426EF52">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中化能源依据《中华人民共和国循环经济促进法》等相关法律法规，积极使用、回收可循环的废物与材料，物尽其用，形成资源良性循环。2024 年，山东地区炼厂实施三泥资源化处理系统项目，技术改造延迟焦化装置，回炼多种泥渣，利用余热发生反应，经分离等环节实现资源化利用，采用两项专利技术，目前已完成施工，待装置投用后预计年资源化利用三泥1.24万吨。</w:t>
      </w:r>
    </w:p>
    <w:p w14:paraId="059D4CAC">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泉州石化废液焚烧炉废碱渣自用，催化裂化装置脱硫脱硝塔技术改造，用废碱渣溶液替代 NaOH 溶液脱硫，效果良好且达标排放， 2024 年用废碱渣约7050.115吨，节约离子膜碱液约1.05万吨，达成危废“资源化”自用。</w:t>
      </w:r>
    </w:p>
    <w:p w14:paraId="40C7061B">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commentRangeStart w:id="5"/>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中化能源应借鉴标杆经验，加快开发具高附加值的绿色产品（如生物航油、可降解材料），探索引入可再生能源和二氧化碳资源化利用，改造提升现有工艺的能效和减废水平，从源头和过程中同步减碳。</w:t>
      </w:r>
      <w:commentRangeEnd w:id="5"/>
      <w:r>
        <w:commentReference w:id="5"/>
      </w:r>
    </w:p>
    <w:p w14:paraId="489474B3">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6C1099C8">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4.2.5 管理与政策对标</w:t>
      </w:r>
    </w:p>
    <w:p w14:paraId="45A137E4">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标杆企业均建立了完善的ESG治理架构和碳管理体系。中化能源已于2022年成立碳达峰碳中和工作领导小组及办公室；类似地，中国石化成立了由董事长挂帅的碳中和工作领导小组，出台了《碳排放管理办法》《碳交易管理办法》《固定资产投资项目碳排放评价办法》等制度，将“双碳”要求纳入投资决策和日常管理。中国石化还制定了2030年前碳达峰行动方案和2024—2027年产品碳足迹体系建设方案，体现从顶层设计到执行的全流程管控。</w:t>
      </w:r>
    </w:p>
    <w:p w14:paraId="2601CE21">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ESG治理层面，对标企业均将ESG纳入公司治理框架：例如中国海油董事会下设战略与可持续发展委员会，专门研究可持续发展事项 ；中国石油的ESG报告强调将ESG理念深度融入公司发展战略、及时回应利益相关方关切 。</w:t>
      </w:r>
    </w:p>
    <w:p w14:paraId="636616A8">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在组织保障上，各公司普遍建立由高管牵头的可持续发展/“双碳”委员会，明确职能部门和下属单位责任。中国石化要求各下属企业签署年度能源环境责任书，实施过程督导和年底考核，将节能减碳目标层层分解落实。中国海油构建了“六位一体”的ESG工作机制（战略引导、考核牵引、督导、能力提升、信息披露、文化塑造），将ESG融入精益管理。相比之下，中化能源的碳管理制度和组织架构已搭建，但在信息披露和利益相关方沟通方面相对滞后。国际公司如巴斯夫在ESG治理上更是透明，其可持续发展委员会直接向董事会报告，并首次采用“双重重要性”原则评估ESG议题，同时对气候风险机遇进行情景分析。总体来看，国内标杆企业已将ESG与运营管理深度融合，并通过制度和组织保障确保碳管理落地。</w:t>
      </w:r>
    </w:p>
    <w:p w14:paraId="75FA29F0">
      <w:pPr>
        <w:widowControl/>
        <w:snapToGrid w:val="0"/>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中化能源 ESG 工作由董事会指导公司经营层层面开展。公司</w:t>
      </w:r>
    </w:p>
    <w:p w14:paraId="669ED5E2">
      <w:pPr>
        <w:widowControl/>
        <w:snapToGrid w:val="0"/>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董事会每年适时召开会议，对外部环境变化、宏观政策等信息进行分析，讨论及审查公司面临的 ESG 风险和机遇，听取关于 ESG 事宜的专项汇报，提出督办建议，并监督决策落实；通过多种渠道与各利益相关方进行广泛深入沟通，不断提升ESG表现。</w:t>
      </w:r>
    </w:p>
    <w:p w14:paraId="5FEA2823">
      <w:pPr>
        <w:widowControl/>
        <w:snapToGrid w:val="0"/>
        <w:spacing w:line="560" w:lineRule="exact"/>
        <w:ind w:firstLine="42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在碳排放管理方面，对标企业和中化能源均已建立相关的节能低碳统计体系。中化能源高度重视生产过程中的能源管理和节能工作，不断完善能源管理体系建设，制定《中化能源股份有限公司节能低碳管理办法》，持续优化生产流程，加强能源统计分析，控制能源损耗，实现降本增效。中国海油于总部设立了节能降碳领导小组、执行小组和办公室，并要求各所属单位搭建相应的节能降碳管理架构，作业公司设置专职管理人员，进而构建“总部 - 分公司 - 作业公司”的三级节能管理体系，确保节能降碳工作与油气开发生产工作高效协同，中海油还通过实施内部碳定价的方法推进碳排放管理，中海油应用影子碳价的机制，对各项目的温室气体直接排放量和间接排放量进行预测，并依据内部碳价估算项目温室气体排放成本。</w:t>
      </w:r>
    </w:p>
    <w:p w14:paraId="55D246B7">
      <w:pPr>
        <w:widowControl/>
        <w:snapToGrid w:val="0"/>
        <w:spacing w:line="560" w:lineRule="exact"/>
        <w:ind w:firstLine="42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commentRangeStart w:id="6"/>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因此，建议中化能源对标完善，建议考虑建立内部碳定价机制，将内部碳价广泛应用于公司国内投资项目的经济评价，在碳排放评价、规划研究、跟踪经济评价等环节中发挥作用。</w:t>
      </w:r>
      <w:commentRangeEnd w:id="6"/>
      <w:r>
        <w:commentReference w:id="6"/>
      </w:r>
    </w:p>
    <w:p w14:paraId="43481EDF">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4.2.6 供应链与价值链对标</w:t>
      </w:r>
    </w:p>
    <w:p w14:paraId="7252F319">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石化行业的减碳需上下游协同发力。中国石化在供应链碳管理上动作较快：2024年发布了《中国石化产品碳足迹管理体系建设实施方案》，明确产品碳足迹核算标准和任务，并与合作伙伴发起成立能源化工产业链碳足迹联盟，共同加强上下游全生命周期减排 。这表明中石化已开始牵头供应链伙伴（包括原料供应商和产品用户）推进碳减排协同。中石油也在价值链协同方面探索，例如与航空公司和化工企业合作开发低碳燃料，推动下游客户减排；并加强与新能源企业合作（如联手新能源发电企业获取绿色电力用于油气生产），实现价值链共赢。中国海油则强调构建绿色供应链，2024年完成供应链改革，着力打造“绿色、共赢和廉洁”供应链 。这包括在供应商选择中增加环保低碳考量、优化物流运输减少碳排放，以及携手中小企业共同提升可持续发展能力 。此外，中海油通过提高本地采购和供应链韧性，间接降低运输环节的碳足迹。国际标杆企业更加注重全价值链的碳管理，例如巴斯夫要求主要原料供应商报告碳排放并纳入采购决策，同时加入“Together for Sustainability”倡议对供应商开展可持续审计；在下游，巴斯夫等通过提供产品碳足迹数据和低碳产品选项，帮助客户减碳。相较而言，国内企业的供应链碳管理刚起步，更多是倡议和联盟形式。</w:t>
      </w:r>
    </w:p>
    <w:p w14:paraId="5FD017CF">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中化能源下属企业已采取相应绿色采购措施，泉州石化在关健设备、大型机组招采时，以综合评审办法为主，综合考虑绿色环保因素，给予节能电机适当加分，在全厂电机框架协议采购中，均考虑一级能耗产品。山东地区炼厂采购部在部分物资供应商签署合同时，添加供应商负责定期回收包装物的条款要求。公司闲置及废旧物资由储运部负责管理，按照公司相关制度要求进行报批，审批通过后进行处理。</w:t>
      </w:r>
    </w:p>
    <w:p w14:paraId="7B36669A">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在绿色物流方面，中化能源物流管理规定明确，各下属企业应遵循绿色、可持续发展原则，宜利用先进技术，促进物流管理与经营战略和环境保护有机结合，追求节约资源，减少废物产生。2024年7月，中化能源下属石油公司顺利完成首单生物燃料油加注业务，在打通B24 船用生物燃料油海外加注的同时，实现自有油轮绿色低碳转型。</w:t>
      </w:r>
    </w:p>
    <w:p w14:paraId="596ED840">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智能绿色仓储方面，石油销售公司对自有库建双智系统，强化信息平台应用，实现门户统一。2019 年物流系统全面上线，支持多业务管理及信息共享等，提升物流管理工作多方面水平，改善岗位工作负荷。</w:t>
      </w:r>
    </w:p>
    <w:p w14:paraId="2DB29CD4">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中化能源应借鉴标杆实践，在供应链选择、原料采购标准中引入碳足迹要求，推进绿色物流和包装减碳，并与下游客户联动（例如提供碳中和产品或共同开发低碳解决方案）。</w:t>
      </w:r>
      <w:commentRangeStart w:id="7"/>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通过供应链协同，中化能源可以放大自身减碳影响力，促进行业价值链整体的绿色转型。</w:t>
      </w:r>
      <w:commentRangeEnd w:id="7"/>
      <w:r>
        <w:commentReference w:id="7"/>
      </w:r>
    </w:p>
    <w:p w14:paraId="3EA938A8">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4.2.7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绿色投资及碳市场实践对标</w:t>
      </w:r>
    </w:p>
    <w:p w14:paraId="0C49C428">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在绿色投资和碳市场方面，标杆企业纷纷加大投入并积极应对。中国石化2024年在绿色低碳业务方面投资达564亿元人民币，并计划2025年进一步增加至600亿元 ；这一巨额投入用于新能源、新材料、节能减排项目，显示其将低碳转型视为战略重点。在碳交易方面，中国石化制定了《碳交易管理办法》，组建了专业碳资产管理团队，统筹旗下控排企业的碳配额，科学制定交易策略 。2024年中国石化碳市场买入配额422万吨，履约率100% ，有效控制了合规成本，没有出现因碳排放违规被处罚的情况。这表明中石化已熟练运用碳金融工具优化成本。中石油同样高度重视碳金融，虽然未披露具体交易数据，但可以预见其在全国碳市场、电力现货市场等都有参与，并可能通过内部碳价和碳预算来引导下属企业减排投资。中国海油由于大部分装置目前不在全国碳市场范围内（上游油气开发尚未纳入），其碳交易参与度相对有限，但也在布局自愿减排项目和探索蓝碳/林业碳汇等抵消机制。绿色融资方面，国内石油公司开始利用绿色债券和可持续发展挂钩贷款等融资工具。比如中国石化和中石油均在境外发行过ESG债券，用于清洁能源项目融资；中海油也获得过绿色贷款支持海上风电等项目。国际石化化工企业在绿色金融领域更为活跃：巴斯夫已发行大型绿色债券，并内部设立碳基金用于低碳技术研发。此外，国际标杆更积极将碳成本纳入财务决策，利用碳定价驱动投资倾斜。</w:t>
      </w:r>
    </w:p>
    <w:p w14:paraId="131FB50E">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相较而言，中化能源在绿色投融资中仍具投资空间。市场方面，中化能源积极开展碳市场实践，中化能源下属碳资产公司积极开展绿色电力证书和碳排放权益产品交易，2024年完成国际绿色电力证书IREC交易277675 kWh。绿色投融资方面，目前中化能源开展了一系列节能技改，但目前绿色产业投资规模不大。</w:t>
      </w:r>
    </w:p>
    <w:p w14:paraId="1BCB20ED">
      <w:pPr>
        <w:pStyle w:val="14"/>
        <w:widowControl/>
        <w:spacing w:beforeAutospacing="0" w:afterAutospacing="0"/>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commentRangeStart w:id="8"/>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鉴于差距，中化能源应制定清晰的绿色投资规划，将一定比例资本开支用于低碳转型项目；同时积极对接绿色金融市场，发行绿色债券或寻求政策性绿色基金支持，以缓解资金压力。在碳市场方面，应提前布局培训碳交易人才、开展内部碳资产盘点，模拟碳成本情景，以便未来更多业务纳入碳交易时能够从容应对。通过提升绿色投资力度和碳金融运作水平，中化能源可加速弥补差距，在市场层面支撑公司的低碳转型。</w:t>
      </w:r>
      <w:commentRangeEnd w:id="8"/>
      <w:r>
        <w:commentReference w:id="8"/>
      </w:r>
    </w:p>
    <w:p w14:paraId="79B7938D">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125" w:name="_Toc6801"/>
      <w:bookmarkStart w:id="126" w:name="_Toc1443606838"/>
      <w:r>
        <w:rPr>
          <w:rFonts w:ascii="Times New Roman Regular" w:hAnsi="Times New Roman Regular" w:eastAsia="黑体" w:cs="Times New Roman Regular"/>
          <w:color w:val="000000" w:themeColor="text1"/>
          <w:sz w:val="28"/>
          <w:szCs w:val="28"/>
          <w14:textFill>
            <w14:solidFill>
              <w14:schemeClr w14:val="tx1"/>
            </w14:solidFill>
          </w14:textFill>
        </w:rPr>
        <w:t>4.</w:t>
      </w:r>
      <w:r>
        <w:rPr>
          <w:rFonts w:hint="eastAsia" w:ascii="Times New Roman Regular" w:hAnsi="Times New Roman Regular" w:eastAsia="黑体" w:cs="Times New Roman Regular"/>
          <w:color w:val="000000" w:themeColor="text1"/>
          <w:sz w:val="28"/>
          <w:szCs w:val="28"/>
          <w14:textFill>
            <w14:solidFill>
              <w14:schemeClr w14:val="tx1"/>
            </w14:solidFill>
          </w14:textFill>
        </w:rPr>
        <w:t>3</w:t>
      </w:r>
      <w:r>
        <w:rPr>
          <w:rFonts w:ascii="Times New Roman Regular" w:hAnsi="Times New Roman Regular" w:eastAsia="黑体" w:cs="Times New Roman Regular"/>
          <w:color w:val="000000" w:themeColor="text1"/>
          <w:sz w:val="28"/>
          <w:szCs w:val="28"/>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8"/>
          <w:szCs w:val="28"/>
          <w14:textFill>
            <w14:solidFill>
              <w14:schemeClr w14:val="tx1"/>
            </w14:solidFill>
          </w14:textFill>
        </w:rPr>
        <w:t>炼油行业节能降碳先进技术对标借鉴</w:t>
      </w:r>
      <w:bookmarkEnd w:id="125"/>
      <w:bookmarkEnd w:id="126"/>
    </w:p>
    <w:p w14:paraId="64DBA143">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根据《炼油行业节能降碳典型案例汇编》《炼油行业节能降碳先进技术汇编》相关先进案例与技术，对照泉州基地现状，建议借鉴应用的节能技术总结如下：</w:t>
      </w:r>
    </w:p>
    <w:p w14:paraId="4C97FDA7">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1、利用厂内闲置面积光伏发电。</w:t>
      </w:r>
    </w:p>
    <w:p w14:paraId="7284DED7">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案例内容：中国石化青岛炼化充分利用闲置屋顶、土地和水面等超过8万平方米的面积，最大化实现厂区内光伏发电，总装机规模达到7.58MW，每年可发电900多万千瓦时，实现青岛炼化办公绿电全覆盖，减排二氧化碳约5000多吨。</w:t>
      </w:r>
    </w:p>
    <w:p w14:paraId="0733CEA5">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可借鉴：泉州石化将利用厂内闲置面积，空地、房屋屋顶，如二食堂屋顶，消防站屋顶等近10万平方米，实现厂区内光伏发电。厂区内伏发电项目设计总装机容量为12.24894MWp，在泉州石化厂区2个新建停车棚布置组件，共1092块550Wp规格的光伏组件；在1个地面布置组件，共18969块660Wp规格的光伏组件；在5个屋面布置组件，共1688块660Wp规格的光伏组件。</w:t>
      </w:r>
    </w:p>
    <w:p w14:paraId="25FE70CD">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本项目总投资6467.13万元。预计效果：本项目装机容量12.25MWp，年平均发电量为12276MWh。按照电价0.5828元/度，效益为715万元/年。按照发电耗煤平均305g标煤/kWh，每年可节约标准煤3744吨，减少二氧化碳约9993吨。</w:t>
      </w:r>
    </w:p>
    <w:p w14:paraId="4CE3FAA5">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2、应用高效换热器技术。</w:t>
      </w:r>
    </w:p>
    <w:p w14:paraId="0A9C102E">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案例内容：2023年，中国石化青岛炼化采用缠绕管式换热器技术，将连续重整装置进料/反应换热器由板式换热器更换为缠绕管换热器，改造后，热端温差由55℃降低至20℃左右，压降由115kPa降至45kPa左右，每年节约瓦斯约7288吨，节能9891吨标煤。</w:t>
      </w:r>
    </w:p>
    <w:p w14:paraId="7CA53F85">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可借鉴：泉州石化计划2025年底大检修将重整进料换热器从板式换热器更换为缠绕管换热器，提高重整进料换热温度，从而降低重整进料加热炉（F-201）的热负荷。预计投用效果：1）缠绕管换热器设计热端温差29℃，比板换最高温差47.3℃降低约18.3℃，热效率提高，预计重整进料加热炉（2211-F-201）的节约燃料气消耗4626.7吨/年。2）更换后，反应压力降低50kPa，产品收率有所提升。以纯氢收率计算，2014年12月标定纯氢收率3.6%，2022年8月标定纯氢收率3.25%，预计多产氢气4900吨/年，由于重整脱氢是吸热反应，温降约增加10℃，需增加燃料气消耗2570.4吨/年。综上，改造后预计年节燃料气2056吨，年增产氢气4900吨，少产汽油组分4900吨，每年可节约标准煤2790吨。</w:t>
      </w:r>
    </w:p>
    <w:p w14:paraId="2C6602B6">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3、烟气余热回收利用技术。</w:t>
      </w:r>
    </w:p>
    <w:p w14:paraId="3A9BD7D4">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案例内容：2023年，青岛炼化进一步对柴油加氢、连续重整、二制氢、乙苯等装置加热炉余热回收系统进行了改造，采用铸铁板式、旋流式等高效空气预热器形式，进一步回收烟气余热，降低排烟温度，通过改造，全厂加热炉热效率提升了0.5个百分点，超过94%。</w:t>
      </w:r>
    </w:p>
    <w:p w14:paraId="0015EFE5">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可借鉴：泉州石化在2025年底准备实施如下两个节能项目，①渣油加氢装置空气预热器改造；改造内容，原热管式改型为高温+低温段组合式空气预热器：高温段采用SS304不锈钢压型板式结构，逆流换热；低温段采用玻璃扁管（烧制整体成型）型式，交叉流换热提高负荷。预计效果：加热炉热效率可由92.3%提升至93.8%，年节燃料气267吨。②煤油加氢装置空气预热器改造；改造内容：将原热管空气预热器调整为不锈钢板+玻璃，与预热器相关联的烟道、风道出入口做适应性改造。预计效果：排烟温度由150℃降至100℃以下，年节燃料气380吨，每年可节约标准煤878吨。</w:t>
      </w:r>
    </w:p>
    <w:p w14:paraId="0030D585">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4、精馏系统对标节能优化</w:t>
      </w:r>
    </w:p>
    <w:p w14:paraId="5B1CA6D2">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案例内容：中国石化青岛炼化通过软件模拟测算，对各装置精馏塔的运行情况进行诊断分析，动态优化操作条件，降低塔顶压力和回流比，通过对重整预加氢脱异戊烷塔C103、柴油加氢汽提塔C201、加氢处理汽提塔C201及加氢处理分馏塔C202进行降压操作，节约低压蒸汽4.1t/h。</w:t>
      </w:r>
    </w:p>
    <w:p w14:paraId="45C6C10B">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可借鉴：泉州石化今年正在开展全厂精馏系统排查、建模和分析工作，通过对重要精馏塔进行建模及对标分析，优化精馏过程操作参数（塔压、回流比），进行精馏系统节能优化。预计效果：通过建模分析，指导操作优化精馏系统参数，预计减少精馏系统再沸蒸汽消耗3~5t/h，年节蒸汽25200吨，效益265万元/年，每年可节约标准煤2376吨。</w:t>
      </w:r>
    </w:p>
    <w:p w14:paraId="3ABAFB4B">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5、其余节能技术说明</w:t>
      </w:r>
    </w:p>
    <w:p w14:paraId="0592B991">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对于其余节能技术，有些技术泉化已采用，如：建立低温热系统对工艺余热利用，焦化装置压缩机节能技术，炼油加热炉绿色节能降碳成套技术，建立蒸汽动力系统在线模拟优化软件；有些技术泉化不适用，如：热泵采暖、废塑料连续热解技术；有些技术泉化已达到较高水准，没必要采纳，如：催化烟气轮机节能技术、新型催化裂化高效汽提器；有些技术太复杂，实施难度大，需要相关专业人士详细核算和可行性分析，如：催化裂化副产10兆帕等级高压蒸汽成套技术、重油浆态床加氢解构全转化技术、渣油/原油分级气相脱氢裂解制化学品技术，有些技术投资大，影响较广，如：余热产汽压缩提级利用技术，分壁塔技术，短期内不合适采纳，可考虑</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放入远期规划</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w:t>
      </w:r>
    </w:p>
    <w:p w14:paraId="031FE296">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19B9E011">
      <w:pPr>
        <w:ind w:firstLine="400" w:firstLineChars="200"/>
        <w:jc w:val="center"/>
        <w:rPr>
          <w:rFonts w:ascii="Times New Roman Regular" w:hAnsi="Times New Roman Regular" w:eastAsia="黑体" w:cs="Times New Roman Regular"/>
          <w:color w:val="000000" w:themeColor="text1"/>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13</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能源局炼油行业节能低碳技术适用性分析</w:t>
      </w:r>
    </w:p>
    <w:tbl>
      <w:tblPr>
        <w:tblStyle w:val="16"/>
        <w:tblW w:w="5000" w:type="pct"/>
        <w:jc w:val="center"/>
        <w:tblLayout w:type="fixed"/>
        <w:tblCellMar>
          <w:top w:w="0" w:type="dxa"/>
          <w:left w:w="108" w:type="dxa"/>
          <w:bottom w:w="0" w:type="dxa"/>
          <w:right w:w="108" w:type="dxa"/>
        </w:tblCellMar>
      </w:tblPr>
      <w:tblGrid>
        <w:gridCol w:w="753"/>
        <w:gridCol w:w="2122"/>
        <w:gridCol w:w="5647"/>
      </w:tblGrid>
      <w:tr w14:paraId="45381333">
        <w:trPr>
          <w:tblHeader/>
          <w:jc w:val="center"/>
        </w:trPr>
        <w:tc>
          <w:tcPr>
            <w:tcW w:w="442" w:type="pct"/>
            <w:tcBorders>
              <w:top w:val="single" w:color="auto" w:sz="4" w:space="0"/>
              <w:left w:val="single" w:color="auto" w:sz="4" w:space="0"/>
              <w:bottom w:val="single" w:color="auto" w:sz="4" w:space="0"/>
              <w:right w:val="single" w:color="auto" w:sz="4" w:space="0"/>
            </w:tcBorders>
            <w:shd w:val="clear" w:color="auto" w:fill="auto"/>
            <w:noWrap/>
            <w:vAlign w:val="center"/>
          </w:tcPr>
          <w:p w14:paraId="7EF8E094">
            <w:pPr>
              <w:widowControl/>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
                <w:color w:val="000000" w:themeColor="text1"/>
                <w:kern w:val="0"/>
                <w:sz w:val="20"/>
                <w:szCs w:val="21"/>
                <w:lang w:bidi="ar"/>
                <w14:textFill>
                  <w14:solidFill>
                    <w14:schemeClr w14:val="tx1"/>
                  </w14:solidFill>
                </w14:textFill>
              </w:rPr>
              <w:t>序号</w:t>
            </w:r>
          </w:p>
        </w:tc>
        <w:tc>
          <w:tcPr>
            <w:tcW w:w="1245" w:type="pct"/>
            <w:tcBorders>
              <w:top w:val="single" w:color="auto" w:sz="4" w:space="0"/>
              <w:left w:val="nil"/>
              <w:bottom w:val="single" w:color="auto" w:sz="4" w:space="0"/>
              <w:right w:val="single" w:color="auto" w:sz="4" w:space="0"/>
            </w:tcBorders>
            <w:shd w:val="clear" w:color="auto" w:fill="auto"/>
            <w:noWrap/>
            <w:vAlign w:val="center"/>
          </w:tcPr>
          <w:p w14:paraId="3BA07383">
            <w:pPr>
              <w:widowControl/>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汇编</w:t>
            </w:r>
            <w:r>
              <w:rPr>
                <w:rFonts w:hint="eastAsia" w:ascii="Times New Roman Regular" w:hAnsi="Times New Roman Regular" w:eastAsia="华文楷体" w:cs="Times New Roman Regular"/>
                <w:b/>
                <w:color w:val="000000" w:themeColor="text1"/>
                <w:kern w:val="0"/>
                <w:sz w:val="20"/>
                <w:szCs w:val="21"/>
                <w:lang w:bidi="ar"/>
                <w14:textFill>
                  <w14:solidFill>
                    <w14:schemeClr w14:val="tx1"/>
                  </w14:solidFill>
                </w14:textFill>
              </w:rPr>
              <w:t>案例</w:t>
            </w: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与</w:t>
            </w:r>
            <w:r>
              <w:rPr>
                <w:rFonts w:hint="eastAsia" w:ascii="Times New Roman Regular" w:hAnsi="Times New Roman Regular" w:eastAsia="华文楷体" w:cs="Times New Roman Regular"/>
                <w:b/>
                <w:color w:val="000000" w:themeColor="text1"/>
                <w:kern w:val="0"/>
                <w:sz w:val="20"/>
                <w:szCs w:val="21"/>
                <w:lang w:bidi="ar"/>
                <w14:textFill>
                  <w14:solidFill>
                    <w14:schemeClr w14:val="tx1"/>
                  </w14:solidFill>
                </w14:textFill>
              </w:rPr>
              <w:t>技术</w:t>
            </w:r>
          </w:p>
        </w:tc>
        <w:tc>
          <w:tcPr>
            <w:tcW w:w="3312" w:type="pct"/>
            <w:tcBorders>
              <w:top w:val="single" w:color="auto" w:sz="4" w:space="0"/>
              <w:left w:val="nil"/>
              <w:bottom w:val="single" w:color="auto" w:sz="4" w:space="0"/>
              <w:right w:val="single" w:color="auto" w:sz="4" w:space="0"/>
            </w:tcBorders>
            <w:shd w:val="clear" w:color="auto" w:fill="auto"/>
            <w:noWrap/>
            <w:vAlign w:val="center"/>
          </w:tcPr>
          <w:p w14:paraId="132159BA">
            <w:pPr>
              <w:widowControl/>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说明</w:t>
            </w:r>
          </w:p>
        </w:tc>
      </w:tr>
      <w:tr w14:paraId="446A068A">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00FEC26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1245" w:type="pct"/>
            <w:tcBorders>
              <w:top w:val="nil"/>
              <w:left w:val="nil"/>
              <w:bottom w:val="single" w:color="auto" w:sz="4" w:space="0"/>
              <w:right w:val="single" w:color="auto" w:sz="4" w:space="0"/>
            </w:tcBorders>
            <w:shd w:val="clear" w:color="auto" w:fill="auto"/>
            <w:noWrap/>
            <w:vAlign w:val="center"/>
          </w:tcPr>
          <w:p w14:paraId="1A0B9D3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工业余热利用技术</w:t>
            </w:r>
          </w:p>
        </w:tc>
        <w:tc>
          <w:tcPr>
            <w:tcW w:w="3312" w:type="pct"/>
            <w:tcBorders>
              <w:top w:val="nil"/>
              <w:left w:val="nil"/>
              <w:bottom w:val="nil"/>
              <w:right w:val="single" w:color="auto" w:sz="4" w:space="0"/>
            </w:tcBorders>
            <w:shd w:val="clear" w:color="auto" w:fill="auto"/>
            <w:noWrap/>
            <w:vAlign w:val="center"/>
          </w:tcPr>
          <w:p w14:paraId="4659BDB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1E67337C">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664E251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w:t>
            </w:r>
          </w:p>
        </w:tc>
        <w:tc>
          <w:tcPr>
            <w:tcW w:w="1245" w:type="pct"/>
            <w:tcBorders>
              <w:top w:val="nil"/>
              <w:left w:val="nil"/>
              <w:bottom w:val="single" w:color="auto" w:sz="4" w:space="0"/>
              <w:right w:val="single" w:color="auto" w:sz="4" w:space="0"/>
            </w:tcBorders>
            <w:shd w:val="clear" w:color="auto" w:fill="auto"/>
            <w:noWrap/>
            <w:vAlign w:val="center"/>
          </w:tcPr>
          <w:p w14:paraId="3B41D45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热泵采暖</w:t>
            </w:r>
          </w:p>
        </w:tc>
        <w:tc>
          <w:tcPr>
            <w:tcW w:w="3312" w:type="pct"/>
            <w:tcBorders>
              <w:top w:val="single" w:color="auto" w:sz="4" w:space="0"/>
              <w:left w:val="nil"/>
              <w:bottom w:val="nil"/>
              <w:right w:val="single" w:color="auto" w:sz="4" w:space="0"/>
            </w:tcBorders>
            <w:shd w:val="clear" w:color="auto" w:fill="auto"/>
            <w:noWrap/>
            <w:vAlign w:val="center"/>
          </w:tcPr>
          <w:p w14:paraId="2C55AD6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9AD4D08">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55AAD7D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nil"/>
            </w:tcBorders>
            <w:shd w:val="clear" w:color="auto" w:fill="auto"/>
            <w:noWrap/>
            <w:vAlign w:val="center"/>
          </w:tcPr>
          <w:p w14:paraId="039B1B7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1）中国石化燕山石化工业余热利用</w:t>
            </w:r>
          </w:p>
        </w:tc>
        <w:tc>
          <w:tcPr>
            <w:tcW w:w="3312" w:type="pct"/>
            <w:tcBorders>
              <w:top w:val="single" w:color="auto" w:sz="4" w:space="0"/>
              <w:left w:val="single" w:color="auto" w:sz="4" w:space="0"/>
              <w:bottom w:val="nil"/>
              <w:right w:val="single" w:color="auto" w:sz="4" w:space="0"/>
            </w:tcBorders>
            <w:shd w:val="clear" w:color="auto" w:fill="auto"/>
            <w:noWrap/>
            <w:vAlign w:val="center"/>
          </w:tcPr>
          <w:p w14:paraId="25D412C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不适用，南方采暖需求</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少</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r>
      <w:tr w14:paraId="12E8B76C">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714F0AB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w:t>
            </w:r>
          </w:p>
        </w:tc>
        <w:tc>
          <w:tcPr>
            <w:tcW w:w="1245" w:type="pct"/>
            <w:tcBorders>
              <w:top w:val="nil"/>
              <w:left w:val="nil"/>
              <w:bottom w:val="single" w:color="auto" w:sz="4" w:space="0"/>
              <w:right w:val="nil"/>
            </w:tcBorders>
            <w:shd w:val="clear" w:color="auto" w:fill="auto"/>
            <w:vAlign w:val="center"/>
          </w:tcPr>
          <w:p w14:paraId="6936189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低温热系统</w:t>
            </w:r>
          </w:p>
        </w:tc>
        <w:tc>
          <w:tcPr>
            <w:tcW w:w="3312" w:type="pct"/>
            <w:tcBorders>
              <w:top w:val="single" w:color="auto" w:sz="4" w:space="0"/>
              <w:left w:val="single" w:color="auto" w:sz="4" w:space="0"/>
              <w:bottom w:val="single" w:color="auto" w:sz="4" w:space="0"/>
              <w:right w:val="single" w:color="auto" w:sz="4" w:space="0"/>
            </w:tcBorders>
            <w:shd w:val="clear" w:color="auto" w:fill="auto"/>
            <w:vAlign w:val="center"/>
          </w:tcPr>
          <w:p w14:paraId="75FAB6A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9C36D81">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2E7E3EB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nil"/>
            </w:tcBorders>
            <w:shd w:val="clear" w:color="auto" w:fill="auto"/>
            <w:vAlign w:val="center"/>
          </w:tcPr>
          <w:p w14:paraId="1F25447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2）中国石化镇海炼化芳烃低温热</w:t>
            </w:r>
          </w:p>
          <w:p w14:paraId="0C38C01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综合利用（区域热集成）</w:t>
            </w:r>
          </w:p>
        </w:tc>
        <w:tc>
          <w:tcPr>
            <w:tcW w:w="3312" w:type="pct"/>
            <w:tcBorders>
              <w:top w:val="nil"/>
              <w:left w:val="single" w:color="auto" w:sz="4" w:space="0"/>
              <w:bottom w:val="single" w:color="auto" w:sz="4" w:space="0"/>
              <w:right w:val="single" w:color="auto" w:sz="4" w:space="0"/>
            </w:tcBorders>
            <w:shd w:val="clear" w:color="auto" w:fill="auto"/>
            <w:vAlign w:val="center"/>
          </w:tcPr>
          <w:p w14:paraId="1962AC7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已应用。泉化炼油和化工分别建有一套低温热系统，用于气分再沸器、轻烃回收制冷等；PX装置精馏塔顶余热产汽后，用于驱动重整循环氢压缩机和增压机。</w:t>
            </w:r>
          </w:p>
        </w:tc>
      </w:tr>
      <w:tr w14:paraId="6D29209E">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30506EB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w:t>
            </w:r>
          </w:p>
        </w:tc>
        <w:tc>
          <w:tcPr>
            <w:tcW w:w="1245" w:type="pct"/>
            <w:tcBorders>
              <w:top w:val="nil"/>
              <w:left w:val="nil"/>
              <w:bottom w:val="single" w:color="auto" w:sz="4" w:space="0"/>
              <w:right w:val="nil"/>
            </w:tcBorders>
            <w:shd w:val="clear" w:color="auto" w:fill="auto"/>
            <w:noWrap/>
            <w:vAlign w:val="center"/>
          </w:tcPr>
          <w:p w14:paraId="52B3BD7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余热发电</w:t>
            </w:r>
          </w:p>
        </w:tc>
        <w:tc>
          <w:tcPr>
            <w:tcW w:w="3312" w:type="pct"/>
            <w:tcBorders>
              <w:top w:val="nil"/>
              <w:left w:val="single" w:color="auto" w:sz="4" w:space="0"/>
              <w:bottom w:val="single" w:color="auto" w:sz="4" w:space="0"/>
              <w:right w:val="single" w:color="auto" w:sz="4" w:space="0"/>
            </w:tcBorders>
            <w:shd w:val="clear" w:color="auto" w:fill="auto"/>
            <w:vAlign w:val="center"/>
          </w:tcPr>
          <w:p w14:paraId="5CAE6D1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76D1FC4E">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5A8F9D7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55D8284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3）中国石油辽阳石化芳烃低温</w:t>
            </w:r>
          </w:p>
          <w:p w14:paraId="6AD3B7F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余热综合利用</w:t>
            </w:r>
          </w:p>
        </w:tc>
        <w:tc>
          <w:tcPr>
            <w:tcW w:w="3312" w:type="pct"/>
            <w:tcBorders>
              <w:top w:val="nil"/>
              <w:left w:val="nil"/>
              <w:bottom w:val="single" w:color="auto" w:sz="4" w:space="0"/>
              <w:right w:val="single" w:color="auto" w:sz="4" w:space="0"/>
            </w:tcBorders>
            <w:shd w:val="clear" w:color="auto" w:fill="auto"/>
            <w:vAlign w:val="center"/>
          </w:tcPr>
          <w:p w14:paraId="455222E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余热发电利用效率只有15%左右，投资回报周期长，不建议</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采纳</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r>
      <w:tr w14:paraId="2BD91DE1">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21F4672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w:t>
            </w:r>
          </w:p>
        </w:tc>
        <w:tc>
          <w:tcPr>
            <w:tcW w:w="1245" w:type="pct"/>
            <w:tcBorders>
              <w:top w:val="nil"/>
              <w:left w:val="nil"/>
              <w:bottom w:val="single" w:color="auto" w:sz="4" w:space="0"/>
              <w:right w:val="single" w:color="auto" w:sz="4" w:space="0"/>
            </w:tcBorders>
            <w:shd w:val="clear" w:color="auto" w:fill="auto"/>
            <w:vAlign w:val="center"/>
          </w:tcPr>
          <w:p w14:paraId="45D81F6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余热产汽压缩提级利用</w:t>
            </w:r>
          </w:p>
        </w:tc>
        <w:tc>
          <w:tcPr>
            <w:tcW w:w="3312" w:type="pct"/>
            <w:tcBorders>
              <w:top w:val="nil"/>
              <w:left w:val="nil"/>
              <w:bottom w:val="single" w:color="auto" w:sz="4" w:space="0"/>
              <w:right w:val="single" w:color="auto" w:sz="4" w:space="0"/>
            </w:tcBorders>
            <w:shd w:val="clear" w:color="auto" w:fill="auto"/>
            <w:vAlign w:val="center"/>
          </w:tcPr>
          <w:p w14:paraId="493737D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564D8F6C">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7BD113A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243E1B6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4）中国海油惠州石化蒸汽压缩</w:t>
            </w:r>
          </w:p>
          <w:p w14:paraId="3DE9E0F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提级利用</w:t>
            </w:r>
          </w:p>
        </w:tc>
        <w:tc>
          <w:tcPr>
            <w:tcW w:w="3312" w:type="pct"/>
            <w:vMerge w:val="restart"/>
            <w:tcBorders>
              <w:top w:val="nil"/>
              <w:left w:val="single" w:color="auto" w:sz="4" w:space="0"/>
              <w:bottom w:val="single" w:color="000000" w:sz="4" w:space="0"/>
              <w:right w:val="single" w:color="auto" w:sz="4" w:space="0"/>
            </w:tcBorders>
            <w:shd w:val="clear" w:color="auto" w:fill="auto"/>
            <w:vAlign w:val="center"/>
          </w:tcPr>
          <w:p w14:paraId="1C9A66F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蒸汽压缩技术</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项目</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投资高，用电量高，需要评估泉化厂内电网负载容余，短期内不建议采纳，当评估泉化厂内电网负载</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有</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容余之后，或者对泉化厂内电网改造之后，远期规划可考虑采纳该技术。</w:t>
            </w:r>
          </w:p>
        </w:tc>
      </w:tr>
      <w:tr w14:paraId="2D962156">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0A6A952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3B7EB42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5）中国海油大榭石化30万吨</w:t>
            </w:r>
          </w:p>
          <w:p w14:paraId="601452C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乙苯装置工艺热水余热回收</w:t>
            </w:r>
          </w:p>
        </w:tc>
        <w:tc>
          <w:tcPr>
            <w:tcW w:w="3312" w:type="pct"/>
            <w:vMerge w:val="continue"/>
            <w:tcBorders>
              <w:top w:val="nil"/>
              <w:left w:val="single" w:color="auto" w:sz="4" w:space="0"/>
              <w:bottom w:val="single" w:color="000000" w:sz="4" w:space="0"/>
              <w:right w:val="single" w:color="auto" w:sz="4" w:space="0"/>
            </w:tcBorders>
            <w:vAlign w:val="center"/>
          </w:tcPr>
          <w:p w14:paraId="2828783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09C9C9A2">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29E057E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16E9FDA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6）中国石化工程建设有限公司</w:t>
            </w:r>
          </w:p>
          <w:p w14:paraId="4FC76FC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芳烃低温热发生蒸汽及高效利用技术</w:t>
            </w:r>
          </w:p>
        </w:tc>
        <w:tc>
          <w:tcPr>
            <w:tcW w:w="3312" w:type="pct"/>
            <w:vMerge w:val="continue"/>
            <w:tcBorders>
              <w:top w:val="nil"/>
              <w:left w:val="single" w:color="auto" w:sz="4" w:space="0"/>
              <w:bottom w:val="single" w:color="000000" w:sz="4" w:space="0"/>
              <w:right w:val="single" w:color="auto" w:sz="4" w:space="0"/>
            </w:tcBorders>
            <w:vAlign w:val="center"/>
          </w:tcPr>
          <w:p w14:paraId="16A3F4C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5B4A4E35">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4F2D94D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1245" w:type="pct"/>
            <w:tcBorders>
              <w:top w:val="nil"/>
              <w:left w:val="nil"/>
              <w:bottom w:val="single" w:color="auto" w:sz="4" w:space="0"/>
              <w:right w:val="single" w:color="auto" w:sz="4" w:space="0"/>
            </w:tcBorders>
            <w:shd w:val="clear" w:color="auto" w:fill="auto"/>
            <w:noWrap/>
            <w:vAlign w:val="center"/>
          </w:tcPr>
          <w:p w14:paraId="4EEBBD5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加热炉节能技术</w:t>
            </w:r>
          </w:p>
        </w:tc>
        <w:tc>
          <w:tcPr>
            <w:tcW w:w="3312" w:type="pct"/>
            <w:tcBorders>
              <w:top w:val="nil"/>
              <w:left w:val="nil"/>
              <w:bottom w:val="single" w:color="auto" w:sz="4" w:space="0"/>
              <w:right w:val="single" w:color="auto" w:sz="4" w:space="0"/>
            </w:tcBorders>
            <w:shd w:val="clear" w:color="auto" w:fill="auto"/>
            <w:vAlign w:val="center"/>
          </w:tcPr>
          <w:p w14:paraId="5D8992A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C7904E0">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3304588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46D6834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7）中国海油惠州石化95+高效</w:t>
            </w:r>
          </w:p>
          <w:p w14:paraId="2F1E042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超净工业炉技术升级改造</w:t>
            </w:r>
          </w:p>
        </w:tc>
        <w:tc>
          <w:tcPr>
            <w:tcW w:w="3312" w:type="pct"/>
            <w:tcBorders>
              <w:top w:val="nil"/>
              <w:left w:val="nil"/>
              <w:bottom w:val="single" w:color="auto" w:sz="4" w:space="0"/>
              <w:right w:val="single" w:color="auto" w:sz="4" w:space="0"/>
            </w:tcBorders>
            <w:shd w:val="clear" w:color="auto" w:fill="auto"/>
            <w:noWrap/>
            <w:vAlign w:val="center"/>
          </w:tcPr>
          <w:p w14:paraId="6012186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已采用其他加热炉节能技术，如烟气余热回</w:t>
            </w:r>
          </w:p>
          <w:p w14:paraId="1AB4325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收利用技术，性价比更高。</w:t>
            </w:r>
          </w:p>
        </w:tc>
      </w:tr>
      <w:tr w14:paraId="72C36937">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7418DC0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33302D5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8）中国石化工程建设有限公司</w:t>
            </w:r>
          </w:p>
          <w:p w14:paraId="1FA787B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炼油加热炉绿色节能降碳成套技术</w:t>
            </w:r>
          </w:p>
        </w:tc>
        <w:tc>
          <w:tcPr>
            <w:tcW w:w="3312" w:type="pct"/>
            <w:tcBorders>
              <w:top w:val="nil"/>
              <w:left w:val="nil"/>
              <w:bottom w:val="single" w:color="auto" w:sz="4" w:space="0"/>
              <w:right w:val="single" w:color="auto" w:sz="4" w:space="0"/>
            </w:tcBorders>
            <w:shd w:val="clear" w:color="auto" w:fill="auto"/>
            <w:noWrap/>
            <w:vAlign w:val="center"/>
          </w:tcPr>
          <w:p w14:paraId="772FD58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泉化焦化装置已应用。</w:t>
            </w:r>
          </w:p>
        </w:tc>
      </w:tr>
      <w:tr w14:paraId="34FE10B7">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1842A34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73B1371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9）中国石化低氮强化燃烧技术</w:t>
            </w:r>
          </w:p>
        </w:tc>
        <w:tc>
          <w:tcPr>
            <w:tcW w:w="3312" w:type="pct"/>
            <w:tcBorders>
              <w:top w:val="nil"/>
              <w:left w:val="nil"/>
              <w:bottom w:val="single" w:color="auto" w:sz="4" w:space="0"/>
              <w:right w:val="single" w:color="auto" w:sz="4" w:space="0"/>
            </w:tcBorders>
            <w:shd w:val="clear" w:color="auto" w:fill="auto"/>
            <w:noWrap/>
            <w:vAlign w:val="center"/>
          </w:tcPr>
          <w:p w14:paraId="7E06899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已应用。目前泉化加热炉氮化物排放在合格指标内。</w:t>
            </w:r>
          </w:p>
        </w:tc>
      </w:tr>
      <w:tr w14:paraId="02505E53">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175D5DF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1245" w:type="pct"/>
            <w:tcBorders>
              <w:top w:val="nil"/>
              <w:left w:val="nil"/>
              <w:bottom w:val="single" w:color="auto" w:sz="4" w:space="0"/>
              <w:right w:val="single" w:color="auto" w:sz="4" w:space="0"/>
            </w:tcBorders>
            <w:shd w:val="clear" w:color="auto" w:fill="auto"/>
            <w:noWrap/>
            <w:vAlign w:val="center"/>
          </w:tcPr>
          <w:p w14:paraId="18452D9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精馏塔节能技术</w:t>
            </w:r>
          </w:p>
        </w:tc>
        <w:tc>
          <w:tcPr>
            <w:tcW w:w="3312" w:type="pct"/>
            <w:tcBorders>
              <w:top w:val="nil"/>
              <w:left w:val="nil"/>
              <w:bottom w:val="single" w:color="auto" w:sz="4" w:space="0"/>
              <w:right w:val="single" w:color="auto" w:sz="4" w:space="0"/>
            </w:tcBorders>
            <w:shd w:val="clear" w:color="auto" w:fill="auto"/>
            <w:noWrap/>
            <w:vAlign w:val="center"/>
          </w:tcPr>
          <w:p w14:paraId="660ACC5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3252C59E">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59A3667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659C211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10）中国石化工程建设有限公司</w:t>
            </w:r>
          </w:p>
          <w:p w14:paraId="673AC13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重整生成油分壁塔技术</w:t>
            </w:r>
          </w:p>
        </w:tc>
        <w:tc>
          <w:tcPr>
            <w:tcW w:w="3312" w:type="pct"/>
            <w:tcBorders>
              <w:top w:val="nil"/>
              <w:left w:val="nil"/>
              <w:bottom w:val="single" w:color="auto" w:sz="4" w:space="0"/>
              <w:right w:val="single" w:color="auto" w:sz="4" w:space="0"/>
            </w:tcBorders>
            <w:shd w:val="clear" w:color="auto" w:fill="auto"/>
            <w:noWrap/>
            <w:vAlign w:val="center"/>
          </w:tcPr>
          <w:p w14:paraId="2E26FA9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该项目投资大，改造工程较复杂，短期不建议采纳；远期规划可考虑。</w:t>
            </w:r>
          </w:p>
        </w:tc>
      </w:tr>
      <w:tr w14:paraId="0C2B23FB">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6830E99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1245" w:type="pct"/>
            <w:tcBorders>
              <w:top w:val="nil"/>
              <w:left w:val="nil"/>
              <w:bottom w:val="single" w:color="auto" w:sz="4" w:space="0"/>
              <w:right w:val="single" w:color="auto" w:sz="4" w:space="0"/>
            </w:tcBorders>
            <w:shd w:val="clear" w:color="auto" w:fill="auto"/>
            <w:noWrap/>
            <w:vAlign w:val="center"/>
          </w:tcPr>
          <w:p w14:paraId="5A6E8B3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压缩机/汽轮机节能技术</w:t>
            </w:r>
          </w:p>
        </w:tc>
        <w:tc>
          <w:tcPr>
            <w:tcW w:w="3312" w:type="pct"/>
            <w:tcBorders>
              <w:top w:val="nil"/>
              <w:left w:val="nil"/>
              <w:bottom w:val="single" w:color="auto" w:sz="4" w:space="0"/>
              <w:right w:val="single" w:color="auto" w:sz="4" w:space="0"/>
            </w:tcBorders>
            <w:shd w:val="clear" w:color="auto" w:fill="auto"/>
            <w:noWrap/>
            <w:vAlign w:val="center"/>
          </w:tcPr>
          <w:p w14:paraId="12AE977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1D730A6C">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2EF128E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7458531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11）兵器工业集团北方华锦延迟</w:t>
            </w:r>
          </w:p>
          <w:p w14:paraId="4BB2A4C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焦化装置压缩机节能优化研究应用</w:t>
            </w:r>
          </w:p>
        </w:tc>
        <w:tc>
          <w:tcPr>
            <w:tcW w:w="3312" w:type="pct"/>
            <w:tcBorders>
              <w:top w:val="nil"/>
              <w:left w:val="nil"/>
              <w:bottom w:val="single" w:color="auto" w:sz="4" w:space="0"/>
              <w:right w:val="single" w:color="auto" w:sz="4" w:space="0"/>
            </w:tcBorders>
            <w:shd w:val="clear" w:color="auto" w:fill="auto"/>
            <w:noWrap/>
            <w:vAlign w:val="center"/>
          </w:tcPr>
          <w:p w14:paraId="35A5B95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已应用。目前泉化焦化装置压缩机可以调节转速控制。</w:t>
            </w:r>
          </w:p>
        </w:tc>
      </w:tr>
      <w:tr w14:paraId="46FCE236">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49D1B65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28C5CB1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12）中国石化茂名分公司炼油1号、</w:t>
            </w:r>
          </w:p>
          <w:p w14:paraId="4BB6216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3号汽轮机通流改造</w:t>
            </w:r>
          </w:p>
        </w:tc>
        <w:tc>
          <w:tcPr>
            <w:tcW w:w="3312" w:type="pct"/>
            <w:tcBorders>
              <w:top w:val="nil"/>
              <w:left w:val="nil"/>
              <w:bottom w:val="single" w:color="auto" w:sz="4" w:space="0"/>
              <w:right w:val="single" w:color="auto" w:sz="4" w:space="0"/>
            </w:tcBorders>
            <w:shd w:val="clear" w:color="auto" w:fill="auto"/>
            <w:noWrap/>
            <w:vAlign w:val="center"/>
          </w:tcPr>
          <w:p w14:paraId="07EA494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项目投资大，改造复杂，经济效益难评估，不建议采纳。</w:t>
            </w:r>
          </w:p>
        </w:tc>
      </w:tr>
      <w:tr w14:paraId="31A80DCC">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10AB0F0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1245" w:type="pct"/>
            <w:tcBorders>
              <w:top w:val="nil"/>
              <w:left w:val="nil"/>
              <w:bottom w:val="single" w:color="auto" w:sz="4" w:space="0"/>
              <w:right w:val="single" w:color="auto" w:sz="4" w:space="0"/>
            </w:tcBorders>
            <w:shd w:val="clear" w:color="auto" w:fill="auto"/>
            <w:noWrap/>
            <w:vAlign w:val="center"/>
          </w:tcPr>
          <w:p w14:paraId="67E042B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信息数字化技术</w:t>
            </w:r>
          </w:p>
        </w:tc>
        <w:tc>
          <w:tcPr>
            <w:tcW w:w="3312" w:type="pct"/>
            <w:tcBorders>
              <w:top w:val="nil"/>
              <w:left w:val="nil"/>
              <w:bottom w:val="single" w:color="auto" w:sz="4" w:space="0"/>
              <w:right w:val="single" w:color="auto" w:sz="4" w:space="0"/>
            </w:tcBorders>
            <w:shd w:val="clear" w:color="auto" w:fill="auto"/>
            <w:noWrap/>
            <w:vAlign w:val="center"/>
          </w:tcPr>
          <w:p w14:paraId="621562B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AEADAB3">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37122D0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431977B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13）中国石化大连石油化工</w:t>
            </w:r>
          </w:p>
          <w:p w14:paraId="1DA605E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研究院氢气资源优化技术</w:t>
            </w:r>
          </w:p>
        </w:tc>
        <w:tc>
          <w:tcPr>
            <w:tcW w:w="3312" w:type="pct"/>
            <w:tcBorders>
              <w:top w:val="nil"/>
              <w:left w:val="nil"/>
              <w:bottom w:val="single" w:color="auto" w:sz="4" w:space="0"/>
              <w:right w:val="single" w:color="auto" w:sz="4" w:space="0"/>
            </w:tcBorders>
            <w:shd w:val="clear" w:color="auto" w:fill="auto"/>
            <w:vAlign w:val="center"/>
          </w:tcPr>
          <w:p w14:paraId="1FD244E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我司基本已实现全厂富氢气体回收，资源浪费较少，如需进一步优化，需要专业公司进行研究分析评估。</w:t>
            </w:r>
          </w:p>
        </w:tc>
      </w:tr>
      <w:tr w14:paraId="58777980">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4D07972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7E6A5D9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14）中国石化胺液脱硫系统节能与</w:t>
            </w:r>
          </w:p>
          <w:p w14:paraId="40B28CD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长周期稳定运行技术</w:t>
            </w:r>
          </w:p>
        </w:tc>
        <w:tc>
          <w:tcPr>
            <w:tcW w:w="3312" w:type="pct"/>
            <w:tcBorders>
              <w:top w:val="nil"/>
              <w:left w:val="nil"/>
              <w:bottom w:val="single" w:color="auto" w:sz="4" w:space="0"/>
              <w:right w:val="single" w:color="auto" w:sz="4" w:space="0"/>
            </w:tcBorders>
            <w:shd w:val="clear" w:color="auto" w:fill="auto"/>
            <w:noWrap/>
            <w:vAlign w:val="center"/>
          </w:tcPr>
          <w:p w14:paraId="79FA851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经济效益难评估，</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建议结合信息化项目开展研究</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，短期内不建议采纳。</w:t>
            </w:r>
          </w:p>
        </w:tc>
      </w:tr>
      <w:tr w14:paraId="5C353DB8">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67ADFB3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3BCCF06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15）中国石油规划总院蒸汽动力系统</w:t>
            </w:r>
          </w:p>
          <w:p w14:paraId="0B50212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在线模拟优化软件</w:t>
            </w:r>
          </w:p>
        </w:tc>
        <w:tc>
          <w:tcPr>
            <w:tcW w:w="3312" w:type="pct"/>
            <w:tcBorders>
              <w:top w:val="nil"/>
              <w:left w:val="nil"/>
              <w:bottom w:val="single" w:color="auto" w:sz="4" w:space="0"/>
              <w:right w:val="single" w:color="auto" w:sz="4" w:space="0"/>
            </w:tcBorders>
            <w:shd w:val="clear" w:color="auto" w:fill="auto"/>
            <w:noWrap/>
            <w:vAlign w:val="center"/>
          </w:tcPr>
          <w:p w14:paraId="4EAB43F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已应用。泉化已建立一套蒸汽智能控制软件。</w:t>
            </w:r>
          </w:p>
        </w:tc>
      </w:tr>
      <w:tr w14:paraId="2E33BC8D">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5ADF21F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1245" w:type="pct"/>
            <w:tcBorders>
              <w:top w:val="nil"/>
              <w:left w:val="nil"/>
              <w:bottom w:val="single" w:color="auto" w:sz="4" w:space="0"/>
              <w:right w:val="single" w:color="auto" w:sz="4" w:space="0"/>
            </w:tcBorders>
            <w:shd w:val="clear" w:color="auto" w:fill="auto"/>
            <w:noWrap/>
            <w:vAlign w:val="center"/>
          </w:tcPr>
          <w:p w14:paraId="2768EAC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催化裂化节能技术</w:t>
            </w:r>
          </w:p>
        </w:tc>
        <w:tc>
          <w:tcPr>
            <w:tcW w:w="3312" w:type="pct"/>
            <w:tcBorders>
              <w:top w:val="nil"/>
              <w:left w:val="nil"/>
              <w:bottom w:val="single" w:color="auto" w:sz="4" w:space="0"/>
              <w:right w:val="single" w:color="auto" w:sz="4" w:space="0"/>
            </w:tcBorders>
            <w:shd w:val="clear" w:color="auto" w:fill="auto"/>
            <w:noWrap/>
            <w:vAlign w:val="center"/>
          </w:tcPr>
          <w:p w14:paraId="1F019A0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1053E0DC">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599A933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07E64F1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16）中国石化工程建设有限公司</w:t>
            </w:r>
          </w:p>
          <w:p w14:paraId="5DBCA61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烟气轮机节能技术</w:t>
            </w:r>
          </w:p>
        </w:tc>
        <w:tc>
          <w:tcPr>
            <w:tcW w:w="3312" w:type="pct"/>
            <w:tcBorders>
              <w:top w:val="nil"/>
              <w:left w:val="nil"/>
              <w:bottom w:val="single" w:color="auto" w:sz="4" w:space="0"/>
              <w:right w:val="single" w:color="auto" w:sz="4" w:space="0"/>
            </w:tcBorders>
            <w:shd w:val="clear" w:color="auto" w:fill="auto"/>
            <w:noWrap/>
            <w:vAlign w:val="center"/>
          </w:tcPr>
          <w:p w14:paraId="3896991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目前泉化催化烟机效率＞80%，效率较高，</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短期内</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不建议采纳</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，未来可考虑。</w:t>
            </w:r>
          </w:p>
        </w:tc>
      </w:tr>
      <w:tr w14:paraId="33182377">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00F7A94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272B412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17）中国石化新型催化裂化</w:t>
            </w:r>
          </w:p>
          <w:p w14:paraId="546ACB4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高效汽提器</w:t>
            </w:r>
          </w:p>
        </w:tc>
        <w:tc>
          <w:tcPr>
            <w:tcW w:w="3312" w:type="pct"/>
            <w:tcBorders>
              <w:top w:val="nil"/>
              <w:left w:val="nil"/>
              <w:bottom w:val="single" w:color="auto" w:sz="4" w:space="0"/>
              <w:right w:val="single" w:color="auto" w:sz="4" w:space="0"/>
            </w:tcBorders>
            <w:shd w:val="clear" w:color="auto" w:fill="auto"/>
            <w:noWrap/>
            <w:vAlign w:val="center"/>
          </w:tcPr>
          <w:p w14:paraId="454F7DF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目前泉化催化汽提器汽提蒸汽用量为5kg/t剂，接近该设备的汽提效果，</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短期内</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不建议采纳</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，未来可考虑。</w:t>
            </w:r>
          </w:p>
        </w:tc>
      </w:tr>
      <w:tr w14:paraId="37625676">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1816B0B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7C77B27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18）催化裂化副产10兆帕等级</w:t>
            </w:r>
          </w:p>
          <w:p w14:paraId="4DED382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高压蒸汽成套技术</w:t>
            </w:r>
          </w:p>
        </w:tc>
        <w:tc>
          <w:tcPr>
            <w:tcW w:w="3312" w:type="pct"/>
            <w:tcBorders>
              <w:top w:val="nil"/>
              <w:left w:val="nil"/>
              <w:bottom w:val="single" w:color="auto" w:sz="4" w:space="0"/>
              <w:right w:val="single" w:color="auto" w:sz="4" w:space="0"/>
            </w:tcBorders>
            <w:shd w:val="clear" w:color="auto" w:fill="auto"/>
            <w:vAlign w:val="center"/>
          </w:tcPr>
          <w:p w14:paraId="3B17773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应用案例少，经济效益难评估，改造复杂，工程难度大，不建议采纳。</w:t>
            </w:r>
          </w:p>
        </w:tc>
      </w:tr>
      <w:tr w14:paraId="61FDE42F">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135097A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w:t>
            </w:r>
          </w:p>
        </w:tc>
        <w:tc>
          <w:tcPr>
            <w:tcW w:w="1245" w:type="pct"/>
            <w:tcBorders>
              <w:top w:val="nil"/>
              <w:left w:val="nil"/>
              <w:bottom w:val="single" w:color="auto" w:sz="4" w:space="0"/>
              <w:right w:val="single" w:color="auto" w:sz="4" w:space="0"/>
            </w:tcBorders>
            <w:shd w:val="clear" w:color="auto" w:fill="auto"/>
            <w:noWrap/>
            <w:vAlign w:val="center"/>
          </w:tcPr>
          <w:p w14:paraId="67EDCD6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原油加工技术</w:t>
            </w:r>
          </w:p>
        </w:tc>
        <w:tc>
          <w:tcPr>
            <w:tcW w:w="3312" w:type="pct"/>
            <w:tcBorders>
              <w:top w:val="nil"/>
              <w:left w:val="nil"/>
              <w:bottom w:val="nil"/>
              <w:right w:val="single" w:color="auto" w:sz="4" w:space="0"/>
            </w:tcBorders>
            <w:shd w:val="clear" w:color="auto" w:fill="auto"/>
            <w:vAlign w:val="center"/>
          </w:tcPr>
          <w:p w14:paraId="0FC3F7D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3CE6343">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6DF1893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4DC1BDB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19）中国科学院大连化物所</w:t>
            </w:r>
          </w:p>
          <w:p w14:paraId="09550E1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重油浆态床加氢解构全转化技术</w:t>
            </w:r>
          </w:p>
        </w:tc>
        <w:tc>
          <w:tcPr>
            <w:tcW w:w="3312" w:type="pct"/>
            <w:vMerge w:val="restart"/>
            <w:tcBorders>
              <w:top w:val="single" w:color="auto" w:sz="4" w:space="0"/>
              <w:left w:val="single" w:color="auto" w:sz="4" w:space="0"/>
              <w:bottom w:val="single" w:color="000000" w:sz="4" w:space="0"/>
              <w:right w:val="single" w:color="auto" w:sz="4" w:space="0"/>
            </w:tcBorders>
            <w:shd w:val="clear" w:color="auto" w:fill="auto"/>
            <w:vAlign w:val="center"/>
          </w:tcPr>
          <w:p w14:paraId="7B0FBF3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这两项技术</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影响广泛，需要慎重考虑。这两项技术改变了原油加工过程，需要新建装置，以及需要核算目前二次加工装置负荷是否匹配，短期</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内</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不建议采纳；远期规划可考虑，前提需要经过专业人员进行详细核算，对技术、经济等可行性分析，才能决定是否采纳。</w:t>
            </w:r>
          </w:p>
        </w:tc>
      </w:tr>
      <w:tr w14:paraId="3CF2D80C">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7B4BFA3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7DC5322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20）渣油/原油分级气相</w:t>
            </w:r>
          </w:p>
          <w:p w14:paraId="7D8905F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脱氢裂解制化学品技术</w:t>
            </w:r>
          </w:p>
        </w:tc>
        <w:tc>
          <w:tcPr>
            <w:tcW w:w="3312" w:type="pct"/>
            <w:vMerge w:val="continue"/>
            <w:tcBorders>
              <w:top w:val="single" w:color="auto" w:sz="4" w:space="0"/>
              <w:left w:val="single" w:color="auto" w:sz="4" w:space="0"/>
              <w:bottom w:val="single" w:color="000000" w:sz="4" w:space="0"/>
              <w:right w:val="single" w:color="auto" w:sz="4" w:space="0"/>
            </w:tcBorders>
            <w:vAlign w:val="center"/>
          </w:tcPr>
          <w:p w14:paraId="46FF517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C2C3E4B">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2E866C3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w:t>
            </w:r>
          </w:p>
        </w:tc>
        <w:tc>
          <w:tcPr>
            <w:tcW w:w="1245" w:type="pct"/>
            <w:tcBorders>
              <w:top w:val="nil"/>
              <w:left w:val="nil"/>
              <w:bottom w:val="single" w:color="auto" w:sz="4" w:space="0"/>
              <w:right w:val="single" w:color="auto" w:sz="4" w:space="0"/>
            </w:tcBorders>
            <w:shd w:val="clear" w:color="auto" w:fill="auto"/>
            <w:noWrap/>
            <w:vAlign w:val="center"/>
          </w:tcPr>
          <w:p w14:paraId="142643F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二氧化碳捕集技术</w:t>
            </w:r>
          </w:p>
        </w:tc>
        <w:tc>
          <w:tcPr>
            <w:tcW w:w="3312" w:type="pct"/>
            <w:tcBorders>
              <w:top w:val="nil"/>
              <w:left w:val="nil"/>
              <w:bottom w:val="single" w:color="auto" w:sz="4" w:space="0"/>
              <w:right w:val="single" w:color="auto" w:sz="4" w:space="0"/>
            </w:tcBorders>
            <w:shd w:val="clear" w:color="auto" w:fill="auto"/>
            <w:noWrap/>
            <w:vAlign w:val="center"/>
          </w:tcPr>
          <w:p w14:paraId="0322FB0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6E3C3217">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37BF842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vAlign w:val="center"/>
          </w:tcPr>
          <w:p w14:paraId="0EB6432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21）中国石油克拉玛依石化</w:t>
            </w:r>
          </w:p>
          <w:p w14:paraId="0AD5D9E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制氢装置变压吸附（PSA）驰</w:t>
            </w:r>
          </w:p>
          <w:p w14:paraId="74D3B02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放气二氧化碳捕集项目</w:t>
            </w:r>
          </w:p>
        </w:tc>
        <w:tc>
          <w:tcPr>
            <w:tcW w:w="3312" w:type="pct"/>
            <w:tcBorders>
              <w:top w:val="nil"/>
              <w:left w:val="nil"/>
              <w:bottom w:val="single" w:color="auto" w:sz="4" w:space="0"/>
              <w:right w:val="single" w:color="auto" w:sz="4" w:space="0"/>
            </w:tcBorders>
            <w:shd w:val="clear" w:color="auto" w:fill="auto"/>
            <w:noWrap/>
            <w:vAlign w:val="center"/>
          </w:tcPr>
          <w:p w14:paraId="561AE72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没有经济效益，不建议采纳。</w:t>
            </w:r>
          </w:p>
        </w:tc>
      </w:tr>
      <w:tr w14:paraId="48B6739A">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61A9E5D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w:t>
            </w:r>
          </w:p>
        </w:tc>
        <w:tc>
          <w:tcPr>
            <w:tcW w:w="1245" w:type="pct"/>
            <w:tcBorders>
              <w:top w:val="nil"/>
              <w:left w:val="nil"/>
              <w:bottom w:val="single" w:color="auto" w:sz="4" w:space="0"/>
              <w:right w:val="single" w:color="auto" w:sz="4" w:space="0"/>
            </w:tcBorders>
            <w:shd w:val="clear" w:color="auto" w:fill="auto"/>
            <w:noWrap/>
            <w:vAlign w:val="center"/>
          </w:tcPr>
          <w:p w14:paraId="0930D91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其他技术</w:t>
            </w:r>
          </w:p>
        </w:tc>
        <w:tc>
          <w:tcPr>
            <w:tcW w:w="3312" w:type="pct"/>
            <w:tcBorders>
              <w:top w:val="nil"/>
              <w:left w:val="nil"/>
              <w:bottom w:val="single" w:color="auto" w:sz="4" w:space="0"/>
              <w:right w:val="single" w:color="auto" w:sz="4" w:space="0"/>
            </w:tcBorders>
            <w:shd w:val="clear" w:color="auto" w:fill="auto"/>
            <w:noWrap/>
            <w:vAlign w:val="center"/>
          </w:tcPr>
          <w:p w14:paraId="2B89545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1AB6447">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5AF918A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74533CF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22）中国石化广州工程公司LQSR</w:t>
            </w:r>
          </w:p>
          <w:p w14:paraId="4A47FDB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节能型硫磺回收尾气处理技术</w:t>
            </w:r>
          </w:p>
        </w:tc>
        <w:tc>
          <w:tcPr>
            <w:tcW w:w="3312" w:type="pct"/>
            <w:tcBorders>
              <w:top w:val="nil"/>
              <w:left w:val="nil"/>
              <w:bottom w:val="single" w:color="auto" w:sz="4" w:space="0"/>
              <w:right w:val="single" w:color="auto" w:sz="4" w:space="0"/>
            </w:tcBorders>
            <w:shd w:val="clear" w:color="auto" w:fill="auto"/>
            <w:noWrap/>
            <w:vAlign w:val="center"/>
          </w:tcPr>
          <w:p w14:paraId="6637DCE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应用案例少，经济效益难评估，不建议采纳。</w:t>
            </w:r>
          </w:p>
        </w:tc>
      </w:tr>
      <w:tr w14:paraId="1E5692B8">
        <w:tblPrEx>
          <w:tblCellMar>
            <w:top w:w="0" w:type="dxa"/>
            <w:left w:w="108" w:type="dxa"/>
            <w:bottom w:w="0" w:type="dxa"/>
            <w:right w:w="108" w:type="dxa"/>
          </w:tblCellMar>
        </w:tblPrEx>
        <w:trPr>
          <w:jc w:val="center"/>
        </w:trPr>
        <w:tc>
          <w:tcPr>
            <w:tcW w:w="442" w:type="pct"/>
            <w:tcBorders>
              <w:top w:val="nil"/>
              <w:left w:val="single" w:color="auto" w:sz="4" w:space="0"/>
              <w:bottom w:val="single" w:color="auto" w:sz="4" w:space="0"/>
              <w:right w:val="single" w:color="auto" w:sz="4" w:space="0"/>
            </w:tcBorders>
            <w:shd w:val="clear" w:color="auto" w:fill="auto"/>
            <w:noWrap/>
            <w:vAlign w:val="center"/>
          </w:tcPr>
          <w:p w14:paraId="481987B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1245" w:type="pct"/>
            <w:tcBorders>
              <w:top w:val="nil"/>
              <w:left w:val="nil"/>
              <w:bottom w:val="single" w:color="auto" w:sz="4" w:space="0"/>
              <w:right w:val="single" w:color="auto" w:sz="4" w:space="0"/>
            </w:tcBorders>
            <w:shd w:val="clear" w:color="auto" w:fill="auto"/>
            <w:noWrap/>
            <w:vAlign w:val="center"/>
          </w:tcPr>
          <w:p w14:paraId="5D568FB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23）中国石化废塑料连续热解技术</w:t>
            </w:r>
          </w:p>
        </w:tc>
        <w:tc>
          <w:tcPr>
            <w:tcW w:w="3312" w:type="pct"/>
            <w:tcBorders>
              <w:top w:val="nil"/>
              <w:left w:val="nil"/>
              <w:bottom w:val="single" w:color="auto" w:sz="4" w:space="0"/>
              <w:right w:val="single" w:color="auto" w:sz="4" w:space="0"/>
            </w:tcBorders>
            <w:shd w:val="clear" w:color="auto" w:fill="auto"/>
            <w:noWrap/>
            <w:vAlign w:val="center"/>
          </w:tcPr>
          <w:p w14:paraId="2300096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生产工艺不同，不适用。</w:t>
            </w:r>
          </w:p>
        </w:tc>
      </w:tr>
    </w:tbl>
    <w:p w14:paraId="61E2FAD5">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6202798B">
      <w:pPr>
        <w:pStyle w:val="14"/>
        <w:widowControl/>
        <w:spacing w:beforeAutospacing="0" w:afterAutospacing="0" w:line="560" w:lineRule="exact"/>
        <w:ind w:firstLine="560" w:firstLineChars="200"/>
        <w:jc w:val="both"/>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2FB12F59">
      <w:pPr>
        <w:widowControl/>
        <w:spacing w:line="560" w:lineRule="exact"/>
        <w:outlineLvl w:val="1"/>
        <w:rPr>
          <w:rFonts w:ascii="Times New Roman Regular" w:hAnsi="Times New Roman Regular" w:eastAsia="黑体" w:cs="Times New Roman Regular"/>
          <w:color w:val="000000" w:themeColor="text1"/>
          <w:sz w:val="28"/>
          <w:szCs w:val="28"/>
          <w14:textFill>
            <w14:solidFill>
              <w14:schemeClr w14:val="tx1"/>
            </w14:solidFill>
          </w14:textFill>
        </w:rPr>
      </w:pPr>
      <w:bookmarkStart w:id="127" w:name="_Toc429882460"/>
      <w:bookmarkStart w:id="128" w:name="_Toc1263449554"/>
      <w:bookmarkStart w:id="129" w:name="_Toc1531378137"/>
      <w:bookmarkStart w:id="130" w:name="_Toc1532727973"/>
      <w:bookmarkStart w:id="131" w:name="_Toc32074"/>
      <w:r>
        <w:rPr>
          <w:rFonts w:hint="eastAsia" w:ascii="Times New Roman Regular" w:hAnsi="Times New Roman Regular" w:eastAsia="黑体" w:cs="Times New Roman Regular"/>
          <w:color w:val="000000" w:themeColor="text1"/>
          <w:sz w:val="28"/>
          <w:szCs w:val="28"/>
          <w14:textFill>
            <w14:solidFill>
              <w14:schemeClr w14:val="tx1"/>
            </w14:solidFill>
          </w14:textFill>
        </w:rPr>
        <w:t>4.4 加热炉热效率对标</w:t>
      </w:r>
      <w:bookmarkEnd w:id="127"/>
    </w:p>
    <w:p w14:paraId="0A755A3A">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生态环境部报告指出，石化行业是能耗大户，主要能源为煤、天然气、燃料油等，各类燃烧源产生的碳排放量很大。分过程来看，燃料燃烧、电力和热力供应是石化生产中碳排放量最大的环节，排放量占66.1%；其次是占比33.9%的工业生产过程中的碳排放，分行业来看，炼油、乙烯、聚乙烯、聚丙烯、对二甲苯、PTA、乙二醇、聚酯等八大重点子行业产生的碳排放量最大，占整个行业碳排放总量的76.6%，其中炼油行业占比51.3%。美国能源署2023年炼油行业报告指出，炉内燃烧及锅炉排放构成炼油行业2023年总温室气体排放的73%，是最大的碳排放源。由此可见，在我国炼油厂的碳排放结构中，加热炉燃烧排放占据举足轻重的地位，是碳减排的重点关注对象，因此有必要针对加热炉热效率展开相关对标。</w:t>
      </w:r>
    </w:p>
    <w:p w14:paraId="7D3469A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根据相关公开资料显示，泉州石化通过优化燃料结构、动态调整天然气与石油焦使用比例，回收火炬气作为燃料气，提升加热炉效率效果显著，火炬气降至历史低位，2025年1-5月加热炉热效率93.69%，创历史最优。根据国家能源局典型案例，青岛炼化全厂有约30台工业加热炉，其运行平均效率已超过94%；根据中石化2023年度各企业加热炉热效率年度检查结果揭晓，中科炼化化工片区加热炉加权热效率95.18%，排名第一，炼油片区加热炉加权热效率93.53%，排名第四。</w:t>
      </w:r>
    </w:p>
    <w:p w14:paraId="5722CE4C">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2A793E27">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521FBB0F">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3550BD0D">
      <w:pPr>
        <w:widowControl/>
        <w:ind w:firstLine="400" w:firstLineChars="200"/>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lang w:bidi="ar"/>
          <w14:textFill>
            <w14:solidFill>
              <w14:schemeClr w14:val="tx1"/>
            </w14:solidFill>
          </w14:textFill>
        </w:rPr>
        <w:t>表4-</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14</w:t>
      </w:r>
      <w:r>
        <w:rPr>
          <w:rFonts w:ascii="Times New Roman Regular" w:hAnsi="Times New Roman Regular" w:eastAsia="黑体" w:cs="Times New Roman Regular"/>
          <w:color w:val="000000" w:themeColor="text1"/>
          <w:sz w:val="20"/>
          <w:szCs w:val="20"/>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lang w:bidi="ar"/>
          <w14:textFill>
            <w14:solidFill>
              <w14:schemeClr w14:val="tx1"/>
            </w14:solidFill>
          </w14:textFill>
        </w:rPr>
        <w:t>中石化加热炉热效率排名</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AF9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130" w:type="dxa"/>
          </w:tcPr>
          <w:p w14:paraId="3DFCC2BE">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排名</w:t>
            </w:r>
          </w:p>
        </w:tc>
        <w:tc>
          <w:tcPr>
            <w:tcW w:w="2130" w:type="dxa"/>
          </w:tcPr>
          <w:p w14:paraId="0CFBBA6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企业</w:t>
            </w:r>
          </w:p>
        </w:tc>
        <w:tc>
          <w:tcPr>
            <w:tcW w:w="2131" w:type="dxa"/>
          </w:tcPr>
          <w:p w14:paraId="506E9AA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台数</w:t>
            </w:r>
          </w:p>
        </w:tc>
        <w:tc>
          <w:tcPr>
            <w:tcW w:w="2131" w:type="dxa"/>
          </w:tcPr>
          <w:p w14:paraId="250E351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加权热效率</w:t>
            </w:r>
          </w:p>
          <w:p w14:paraId="551B246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r>
      <w:tr w14:paraId="44168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5A2B22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2130" w:type="dxa"/>
            <w:vMerge w:val="restart"/>
          </w:tcPr>
          <w:p w14:paraId="486BD6E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4AC8A7E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04B71C1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3CC3E93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53A657F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58E244E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中石化内部企业</w:t>
            </w:r>
          </w:p>
        </w:tc>
        <w:tc>
          <w:tcPr>
            <w:tcW w:w="2131" w:type="dxa"/>
          </w:tcPr>
          <w:p w14:paraId="001E89D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w:t>
            </w:r>
          </w:p>
        </w:tc>
        <w:tc>
          <w:tcPr>
            <w:tcW w:w="2131" w:type="dxa"/>
          </w:tcPr>
          <w:p w14:paraId="44E269F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93.82</w:t>
            </w:r>
          </w:p>
        </w:tc>
      </w:tr>
      <w:tr w14:paraId="0F06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9334B2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2130" w:type="dxa"/>
            <w:vMerge w:val="continue"/>
          </w:tcPr>
          <w:p w14:paraId="388C095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4580578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w:t>
            </w:r>
          </w:p>
        </w:tc>
        <w:tc>
          <w:tcPr>
            <w:tcW w:w="2131" w:type="dxa"/>
          </w:tcPr>
          <w:p w14:paraId="24654F5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93.73</w:t>
            </w:r>
          </w:p>
        </w:tc>
      </w:tr>
      <w:tr w14:paraId="4C3BB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17F455D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2130" w:type="dxa"/>
            <w:vMerge w:val="continue"/>
          </w:tcPr>
          <w:p w14:paraId="7BE1012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18297E2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w:t>
            </w:r>
          </w:p>
        </w:tc>
        <w:tc>
          <w:tcPr>
            <w:tcW w:w="2131" w:type="dxa"/>
          </w:tcPr>
          <w:p w14:paraId="604CFE0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93.71</w:t>
            </w:r>
          </w:p>
        </w:tc>
      </w:tr>
      <w:tr w14:paraId="4F52C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7756EB9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2130" w:type="dxa"/>
            <w:vMerge w:val="continue"/>
          </w:tcPr>
          <w:p w14:paraId="5030D7B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00A5D60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w:t>
            </w:r>
          </w:p>
        </w:tc>
        <w:tc>
          <w:tcPr>
            <w:tcW w:w="2131" w:type="dxa"/>
          </w:tcPr>
          <w:p w14:paraId="21A6DF5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93.67</w:t>
            </w:r>
          </w:p>
        </w:tc>
      </w:tr>
      <w:tr w14:paraId="6453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2D75ED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2130" w:type="dxa"/>
            <w:vMerge w:val="continue"/>
          </w:tcPr>
          <w:p w14:paraId="7EB6423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05B7A8D5">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w:t>
            </w:r>
          </w:p>
        </w:tc>
        <w:tc>
          <w:tcPr>
            <w:tcW w:w="2131" w:type="dxa"/>
          </w:tcPr>
          <w:p w14:paraId="1ADE879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93.66</w:t>
            </w:r>
          </w:p>
        </w:tc>
      </w:tr>
      <w:tr w14:paraId="1628F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C5BDC9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w:t>
            </w:r>
          </w:p>
        </w:tc>
        <w:tc>
          <w:tcPr>
            <w:tcW w:w="2130" w:type="dxa"/>
            <w:vMerge w:val="continue"/>
          </w:tcPr>
          <w:p w14:paraId="54119D9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6241C26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w:t>
            </w:r>
          </w:p>
        </w:tc>
        <w:tc>
          <w:tcPr>
            <w:tcW w:w="2131" w:type="dxa"/>
          </w:tcPr>
          <w:p w14:paraId="2982DF2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93.45</w:t>
            </w:r>
          </w:p>
        </w:tc>
      </w:tr>
      <w:tr w14:paraId="6E21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20CA36C">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w:t>
            </w:r>
          </w:p>
        </w:tc>
        <w:tc>
          <w:tcPr>
            <w:tcW w:w="2130" w:type="dxa"/>
            <w:vMerge w:val="continue"/>
          </w:tcPr>
          <w:p w14:paraId="22825A4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04F7956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w:t>
            </w:r>
          </w:p>
        </w:tc>
        <w:tc>
          <w:tcPr>
            <w:tcW w:w="2131" w:type="dxa"/>
          </w:tcPr>
          <w:p w14:paraId="17D5B4F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93.41</w:t>
            </w:r>
          </w:p>
        </w:tc>
      </w:tr>
      <w:tr w14:paraId="4E82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5964419">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w:t>
            </w:r>
          </w:p>
        </w:tc>
        <w:tc>
          <w:tcPr>
            <w:tcW w:w="2130" w:type="dxa"/>
            <w:vMerge w:val="continue"/>
          </w:tcPr>
          <w:p w14:paraId="189D5F1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18DE948D">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w:t>
            </w:r>
          </w:p>
        </w:tc>
        <w:tc>
          <w:tcPr>
            <w:tcW w:w="2131" w:type="dxa"/>
          </w:tcPr>
          <w:p w14:paraId="0A56D87A">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93.09</w:t>
            </w:r>
          </w:p>
        </w:tc>
      </w:tr>
      <w:tr w14:paraId="4010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5AE741AB">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c>
          <w:tcPr>
            <w:tcW w:w="2130" w:type="dxa"/>
            <w:vMerge w:val="continue"/>
          </w:tcPr>
          <w:p w14:paraId="2BF3D3A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40D867B2">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w:t>
            </w:r>
          </w:p>
        </w:tc>
        <w:tc>
          <w:tcPr>
            <w:tcW w:w="2131" w:type="dxa"/>
          </w:tcPr>
          <w:p w14:paraId="364A6C1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92.98</w:t>
            </w:r>
          </w:p>
        </w:tc>
      </w:tr>
      <w:tr w14:paraId="7198D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3329788">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2130" w:type="dxa"/>
            <w:vMerge w:val="continue"/>
          </w:tcPr>
          <w:p w14:paraId="519BD3A0">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1790A58F">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c>
          <w:tcPr>
            <w:tcW w:w="2131" w:type="dxa"/>
          </w:tcPr>
          <w:p w14:paraId="1CB8C663">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92.53</w:t>
            </w:r>
          </w:p>
        </w:tc>
      </w:tr>
      <w:tr w14:paraId="51EF7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79FDFD4">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w:t>
            </w:r>
          </w:p>
        </w:tc>
        <w:tc>
          <w:tcPr>
            <w:tcW w:w="2130" w:type="dxa"/>
            <w:vMerge w:val="continue"/>
          </w:tcPr>
          <w:p w14:paraId="3B5F5D07">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2131" w:type="dxa"/>
          </w:tcPr>
          <w:p w14:paraId="14A0AB11">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w:t>
            </w:r>
          </w:p>
        </w:tc>
        <w:tc>
          <w:tcPr>
            <w:tcW w:w="2131" w:type="dxa"/>
          </w:tcPr>
          <w:p w14:paraId="008FE4A6">
            <w:pPr>
              <w:widowControl/>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92.33</w:t>
            </w:r>
          </w:p>
        </w:tc>
      </w:tr>
    </w:tbl>
    <w:p w14:paraId="24DDD33A">
      <w:pPr>
        <w:widowControl/>
        <w:spacing w:line="56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0E056F24">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对比中石化加热炉热效率内部对表，泉州石化目前热效率排名较前，表明泉州石化目前加热炉热效率跻身先进。目前，泉州石化当前的加热炉平均热效率在中国炼油行业内名列前茅，已达到国内领先、国际先进水平，目前泉州石化预计在2025年大检修期间开展对应加热炉改造项目，包括连续重整板换E201更新改造、渣油加氢装置空气预热器改造更换、煤油加氢空气预热器改造及煤柴油加氢增加氮气吹扫线等改造项目。</w:t>
      </w:r>
    </w:p>
    <w:p w14:paraId="3FA8F1B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25671363">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44300931">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452ADF96">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6DB72F90">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bookmarkEnd w:id="128"/>
    <w:bookmarkEnd w:id="129"/>
    <w:bookmarkEnd w:id="130"/>
    <w:bookmarkEnd w:id="131"/>
    <w:p w14:paraId="11212915">
      <w:pPr>
        <w:widowControl/>
        <w:rPr>
          <w:rFonts w:ascii="Times New Roman Regular" w:hAnsi="Times New Roman Regular" w:eastAsia="楷体" w:cs="Times New Roman Regular"/>
          <w:b/>
          <w:bCs/>
          <w:color w:val="000000" w:themeColor="text1"/>
          <w:sz w:val="28"/>
          <w:szCs w:val="28"/>
          <w14:textFill>
            <w14:solidFill>
              <w14:schemeClr w14:val="tx1"/>
            </w14:solidFill>
          </w14:textFill>
        </w:rPr>
      </w:pPr>
    </w:p>
    <w:p w14:paraId="6565F417">
      <w:pPr>
        <w:widowControl/>
        <w:rPr>
          <w:rFonts w:ascii="Times New Roman Regular" w:hAnsi="Times New Roman Regular" w:eastAsia="楷体" w:cs="Times New Roman Regular"/>
          <w:b/>
          <w:bCs/>
          <w:color w:val="000000" w:themeColor="text1"/>
          <w:sz w:val="28"/>
          <w:szCs w:val="28"/>
          <w14:textFill>
            <w14:solidFill>
              <w14:schemeClr w14:val="tx1"/>
            </w14:solidFill>
          </w14:textFill>
        </w:rPr>
        <w:sectPr>
          <w:headerReference r:id="rId11" w:type="default"/>
          <w:type w:val="continuous"/>
          <w:pgSz w:w="11906" w:h="16838"/>
          <w:pgMar w:top="1440" w:right="1800" w:bottom="1440" w:left="1800" w:header="851" w:footer="992" w:gutter="0"/>
          <w:pgNumType w:fmt="numberInDash"/>
          <w:cols w:space="425" w:num="1"/>
          <w:docGrid w:type="lines" w:linePitch="312" w:charSpace="0"/>
        </w:sectPr>
      </w:pPr>
    </w:p>
    <w:p w14:paraId="11C88AEC">
      <w:pPr>
        <w:widowControl/>
        <w:rPr>
          <w:rFonts w:ascii="Times New Roman Regular" w:hAnsi="Times New Roman Regular" w:eastAsia="楷体" w:cs="Times New Roman Regular"/>
          <w:b/>
          <w:bCs/>
          <w:color w:val="000000" w:themeColor="text1"/>
          <w:sz w:val="28"/>
          <w:szCs w:val="28"/>
          <w14:textFill>
            <w14:solidFill>
              <w14:schemeClr w14:val="tx1"/>
            </w14:solidFill>
          </w14:textFill>
        </w:rPr>
      </w:pPr>
    </w:p>
    <w:p w14:paraId="761B48EE">
      <w:pPr>
        <w:widowControl/>
        <w:spacing w:line="560" w:lineRule="exact"/>
        <w:outlineLvl w:val="0"/>
        <w:rPr>
          <w:rFonts w:ascii="Times New Roman Regular" w:hAnsi="Times New Roman Regular" w:eastAsia="方正公文小标宋" w:cs="Times New Roman Regular"/>
          <w:color w:val="000000" w:themeColor="text1"/>
          <w:sz w:val="28"/>
          <w:szCs w:val="28"/>
          <w14:textFill>
            <w14:solidFill>
              <w14:schemeClr w14:val="tx1"/>
            </w14:solidFill>
          </w14:textFill>
        </w:rPr>
      </w:pPr>
      <w:bookmarkStart w:id="132" w:name="_Toc280839264"/>
      <w:bookmarkStart w:id="133" w:name="_Toc28953"/>
      <w:bookmarkStart w:id="134" w:name="_Toc478352542"/>
      <w:bookmarkStart w:id="135" w:name="_Toc1492696446"/>
      <w:bookmarkStart w:id="136" w:name="_Toc899516712"/>
      <w:r>
        <w:rPr>
          <w:rFonts w:ascii="Times New Roman Regular" w:hAnsi="Times New Roman Regular" w:eastAsia="方正公文小标宋" w:cs="Times New Roman Regular"/>
          <w:color w:val="000000" w:themeColor="text1"/>
          <w:sz w:val="28"/>
          <w:szCs w:val="28"/>
          <w14:textFill>
            <w14:solidFill>
              <w14:schemeClr w14:val="tx1"/>
            </w14:solidFill>
          </w14:textFill>
        </w:rPr>
        <w:t>五、低碳发展目标（2025</w:t>
      </w:r>
      <w:r>
        <w:rPr>
          <w:rFonts w:hint="eastAsia" w:ascii="Times New Roman Regular" w:hAnsi="Times New Roman Regular" w:eastAsia="方正公文小标宋" w:cs="Times New Roman Regular"/>
          <w:color w:val="000000" w:themeColor="text1"/>
          <w:sz w:val="28"/>
          <w:szCs w:val="28"/>
          <w14:textFill>
            <w14:solidFill>
              <w14:schemeClr w14:val="tx1"/>
            </w14:solidFill>
          </w14:textFill>
        </w:rPr>
        <w:t>—</w:t>
      </w:r>
      <w:r>
        <w:rPr>
          <w:rFonts w:ascii="Times New Roman Regular" w:hAnsi="Times New Roman Regular" w:eastAsia="方正公文小标宋" w:cs="Times New Roman Regular"/>
          <w:color w:val="000000" w:themeColor="text1"/>
          <w:sz w:val="28"/>
          <w:szCs w:val="28"/>
          <w14:textFill>
            <w14:solidFill>
              <w14:schemeClr w14:val="tx1"/>
            </w14:solidFill>
          </w14:textFill>
        </w:rPr>
        <w:t>2030年）</w:t>
      </w:r>
      <w:bookmarkEnd w:id="132"/>
      <w:bookmarkEnd w:id="133"/>
      <w:bookmarkEnd w:id="134"/>
      <w:bookmarkEnd w:id="135"/>
      <w:bookmarkEnd w:id="136"/>
    </w:p>
    <w:p w14:paraId="62BB7C9F">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37" w:name="_Toc26734"/>
      <w:bookmarkStart w:id="138" w:name="_Toc845203668"/>
      <w:bookmarkStart w:id="139" w:name="_Toc2039987351"/>
      <w:bookmarkStart w:id="140" w:name="_Toc1639882673"/>
      <w:bookmarkStart w:id="141" w:name="_Toc2043937589"/>
      <w:r>
        <w:rPr>
          <w:rFonts w:ascii="Times New Roman Regular" w:hAnsi="Times New Roman Regular" w:eastAsia="黑体" w:cs="Times New Roman Regular"/>
          <w:color w:val="000000" w:themeColor="text1"/>
          <w:sz w:val="28"/>
          <w:szCs w:val="28"/>
          <w:lang w:bidi="ar"/>
          <w14:textFill>
            <w14:solidFill>
              <w14:schemeClr w14:val="tx1"/>
            </w14:solidFill>
          </w14:textFill>
        </w:rPr>
        <w:t>5.1 指导思想</w:t>
      </w:r>
      <w:bookmarkEnd w:id="137"/>
      <w:bookmarkEnd w:id="138"/>
      <w:bookmarkEnd w:id="139"/>
      <w:bookmarkEnd w:id="140"/>
      <w:bookmarkEnd w:id="141"/>
    </w:p>
    <w:p w14:paraId="5354BCCA">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以习近平新时代中国特色社会主义思想为指导，全面贯彻落实党的二十大精神，深入贯彻落实党中央、国务院关于碳达峰碳中和的系列决策部署，立足新发展阶段，完整、准确、全面贯彻新发展理念</w:t>
      </w: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认真落实中国中化产业发展和低碳转型相关战略部署，统筹处理好发展和减排、整体和局部、短期和中长期的关系，以改革创新为动力，坚持系统观念，统筹处理好发展和减排、整体和局部、短期和中长期的关系，以改革创新为动力，以推动绿色循环发展为目标，主动融入新发展格局，合理安排部署产业布局和节能降碳工作，支撑中国中化碳达峰目标任务如期实现</w:t>
      </w: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w:t>
      </w:r>
    </w:p>
    <w:p w14:paraId="08575462">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42" w:name="_Toc1310640911"/>
      <w:bookmarkStart w:id="143" w:name="_Toc22039"/>
      <w:bookmarkStart w:id="144" w:name="_Toc1881206818"/>
      <w:bookmarkStart w:id="145" w:name="_Toc1490983902"/>
      <w:bookmarkStart w:id="146" w:name="_Toc702959513"/>
      <w:r>
        <w:rPr>
          <w:rFonts w:ascii="Times New Roman Regular" w:hAnsi="Times New Roman Regular" w:eastAsia="黑体" w:cs="Times New Roman Regular"/>
          <w:color w:val="000000" w:themeColor="text1"/>
          <w:sz w:val="28"/>
          <w:szCs w:val="28"/>
          <w:lang w:bidi="ar"/>
          <w14:textFill>
            <w14:solidFill>
              <w14:schemeClr w14:val="tx1"/>
            </w14:solidFill>
          </w14:textFill>
        </w:rPr>
        <w:t>5.2 发展原则</w:t>
      </w:r>
      <w:bookmarkEnd w:id="142"/>
      <w:bookmarkEnd w:id="143"/>
      <w:bookmarkEnd w:id="144"/>
      <w:bookmarkEnd w:id="145"/>
      <w:bookmarkEnd w:id="146"/>
    </w:p>
    <w:p w14:paraId="39149210">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目标导向，安全降碳。坚持把完成中国中化碳达峰目标任务作为产业结构绿色低碳转型的总体导向</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，科学确定降碳路径和节奏</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。坚持远近结合，</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统筹兼顾不同发展阶段的主要矛盾，实现安全、有序、可控的减排目标，确保“降碳不减发展”。</w:t>
      </w:r>
    </w:p>
    <w:p w14:paraId="063B4E1A">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统筹协调，一体推进。坚持全公司一盘棋，</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强化全产业链协同、上下游联动、板块协作</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将绿色低碳发展作为系统性、长期性、全局性工程，分类施策、因地制宜，写通过推进重点基地和关键排放环节减排任务，保障整体最优和全流程绿色低碳转型。</w:t>
      </w:r>
    </w:p>
    <w:p w14:paraId="2B79C10D">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战略引领，创新驱动。</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强化顶层设计和战略规划，把</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国家和集团碳达峰、碳中和目标总体部署</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融入公司发展全局。</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坚持科学至上，把创新作为第一驱动力，</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聚焦炼油行业节能降碳先进技术、前沿低碳负碳技术和工艺流程优化，发挥低碳科技创新和战略管理创新双轮驱动作用，打造公司绿色发展新动能。</w:t>
      </w:r>
    </w:p>
    <w:p w14:paraId="79E700DF">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绿色低碳，系统转型。坚持推进碳达峰碳中和工作的战略定力，围绕能源绿色低碳转型方向持续发力。积极服务国家和集团发展战略，持续推动公司绿色低碳高质量发展。</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围绕产业结构优化、能源利用低碳化、技术进步与管理创新等方向持续推进，统筹推动经济效益、环境效益和社会效益有机统一，助力企业实现绿色低碳高质量发展。</w:t>
      </w:r>
    </w:p>
    <w:p w14:paraId="2ACA4204">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47" w:name="_Toc28240"/>
      <w:bookmarkStart w:id="148" w:name="_Toc2127247718"/>
      <w:bookmarkStart w:id="149" w:name="_Toc41255345"/>
      <w:bookmarkStart w:id="150" w:name="_Toc1202023898"/>
      <w:bookmarkStart w:id="151" w:name="_Toc1332992844"/>
      <w:r>
        <w:rPr>
          <w:rFonts w:ascii="Times New Roman Regular" w:hAnsi="Times New Roman Regular" w:eastAsia="黑体" w:cs="Times New Roman Regular"/>
          <w:color w:val="000000" w:themeColor="text1"/>
          <w:sz w:val="28"/>
          <w:szCs w:val="28"/>
          <w:lang w:bidi="ar"/>
          <w14:textFill>
            <w14:solidFill>
              <w14:schemeClr w14:val="tx1"/>
            </w14:solidFill>
          </w14:textFill>
        </w:rPr>
        <w:t>5.3 规划目标</w:t>
      </w:r>
      <w:bookmarkEnd w:id="147"/>
      <w:bookmarkEnd w:id="148"/>
      <w:bookmarkEnd w:id="149"/>
      <w:bookmarkEnd w:id="150"/>
      <w:bookmarkEnd w:id="151"/>
    </w:p>
    <w:p w14:paraId="6C290887">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目标时间要求：</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稳住存量，拓展增量。做好存量项目生产经营组织和新建项目前期和开工准备等工作，推进能源资源科学配置、高效利用，提升单位资源碳排放产出效率，顺利实现整体2030年前碳达峰目标，峰值约为17</w:t>
      </w:r>
      <w:r>
        <w:rPr>
          <w:rFonts w:hint="eastAsia" w:ascii="Times New Roman Regular" w:hAnsi="Times New Roman Regular" w:eastAsia="仿宋_GB2312" w:cs="Times New Roman Regular"/>
          <w:color w:val="000000" w:themeColor="text1"/>
          <w:sz w:val="28"/>
          <w:szCs w:val="28"/>
          <w:lang w:val="en-US" w:eastAsia="zh-CN" w:bidi="ar"/>
          <w14:textFill>
            <w14:solidFill>
              <w14:schemeClr w14:val="tx1"/>
            </w14:solidFill>
          </w14:textFill>
        </w:rPr>
        <w:t>27</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万吨</w:t>
      </w:r>
      <w:commentRangeStart w:id="9"/>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（请给出明细附表。能源为</w:t>
      </w:r>
      <w:r>
        <w:rPr>
          <w:rFonts w:hint="eastAsia" w:ascii="Calibri" w:hAnsi="Calibri" w:eastAsia="仿宋_GB2312" w:cs="Calibri"/>
          <w:color w:val="000000" w:themeColor="text1"/>
          <w:sz w:val="28"/>
          <w:szCs w:val="28"/>
          <w:lang w:bidi="ar"/>
          <w14:textFill>
            <w14:solidFill>
              <w14:schemeClr w14:val="tx1"/>
            </w14:solidFill>
          </w14:textFill>
        </w:rPr>
        <w:t>1</w:t>
      </w:r>
      <w:r>
        <w:rPr>
          <w:rFonts w:ascii="Calibri" w:hAnsi="Calibri" w:eastAsia="仿宋_GB2312" w:cs="Calibri"/>
          <w:color w:val="000000" w:themeColor="text1"/>
          <w:sz w:val="28"/>
          <w:szCs w:val="28"/>
          <w:lang w:bidi="ar"/>
          <w14:textFill>
            <w14:solidFill>
              <w14:schemeClr w14:val="tx1"/>
            </w14:solidFill>
          </w14:textFill>
        </w:rPr>
        <w:t>636，泉化为</w:t>
      </w:r>
      <w:r>
        <w:rPr>
          <w:rFonts w:hint="eastAsia" w:ascii="Calibri" w:hAnsi="Calibri" w:eastAsia="仿宋_GB2312" w:cs="Calibri"/>
          <w:color w:val="000000" w:themeColor="text1"/>
          <w:sz w:val="28"/>
          <w:szCs w:val="28"/>
          <w:lang w:bidi="ar"/>
          <w14:textFill>
            <w14:solidFill>
              <w14:schemeClr w14:val="tx1"/>
            </w14:solidFill>
          </w14:textFill>
        </w:rPr>
        <w:t>1717，本峰值的依据是</w:t>
      </w:r>
      <w:r>
        <w:rPr>
          <w:rFonts w:hint="eastAsia" w:ascii="微软雅黑" w:hAnsi="微软雅黑" w:eastAsia="微软雅黑" w:cs="微软雅黑"/>
          <w:color w:val="000000" w:themeColor="text1"/>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w:t>
      </w:r>
      <w:commentRangeEnd w:id="9"/>
      <w:r>
        <w:commentReference w:id="9"/>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，2030年二氧化碳排放量整体达到峰值并实现稳中有降。</w:t>
      </w:r>
    </w:p>
    <w:p w14:paraId="0E658FD5">
      <w:pPr>
        <w:pStyle w:val="15"/>
        <w:ind w:firstLine="560"/>
        <w:rPr>
          <w:rFonts w:ascii="Times New Roman Regular" w:hAnsi="Times New Roman Regular" w:eastAsia="仿宋_GB2312" w:cs="Times New Roman Regular"/>
          <w:color w:val="000000" w:themeColor="text1"/>
          <w:kern w:val="2"/>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2"/>
          <w:sz w:val="28"/>
          <w:szCs w:val="28"/>
          <w:lang w:bidi="ar"/>
          <w14:textFill>
            <w14:solidFill>
              <w14:schemeClr w14:val="tx1"/>
            </w14:solidFill>
          </w14:textFill>
        </w:rPr>
        <w:t>通用目标：</w:t>
      </w:r>
      <w:r>
        <w:rPr>
          <w:rFonts w:hint="eastAsia" w:ascii="Times New Roman Regular" w:hAnsi="Times New Roman Regular" w:eastAsia="仿宋_GB2312" w:cs="Times New Roman Regular"/>
          <w:color w:val="000000" w:themeColor="text1"/>
          <w:kern w:val="2"/>
          <w:sz w:val="28"/>
          <w:szCs w:val="28"/>
          <w:lang w:bidi="ar"/>
          <w14:textFill>
            <w14:solidFill>
              <w14:schemeClr w14:val="tx1"/>
            </w14:solidFill>
          </w14:textFill>
        </w:rPr>
        <w:t>到2030年，实现万元产值二氧化碳排放比2005年下降65%以上。</w:t>
      </w:r>
    </w:p>
    <w:p w14:paraId="03853C7E">
      <w:pPr>
        <w:jc w:val="cente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5</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begin"/>
      </w:r>
      <w:r>
        <w:rPr>
          <w:rFonts w:ascii="Times New Roman Regular" w:hAnsi="Times New Roman Regular" w:eastAsia="黑体" w:cs="Times New Roman Regular"/>
          <w:color w:val="000000" w:themeColor="text1"/>
          <w:sz w:val="20"/>
          <w:szCs w:val="20"/>
          <w14:textFill>
            <w14:solidFill>
              <w14:schemeClr w14:val="tx1"/>
            </w14:solidFill>
          </w14:textFill>
        </w:rPr>
        <w:instrText xml:space="preserve"> SEQ 表3- \* ARABIC </w:instrTex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separate"/>
      </w:r>
      <w:r>
        <w:rPr>
          <w:rFonts w:ascii="Times New Roman Regular" w:hAnsi="Times New Roman Regular" w:eastAsia="黑体" w:cs="Times New Roman Regular"/>
          <w:color w:val="000000" w:themeColor="text1"/>
          <w:sz w:val="20"/>
          <w:szCs w:val="20"/>
          <w14:textFill>
            <w14:solidFill>
              <w14:schemeClr w14:val="tx1"/>
            </w14:solidFill>
          </w14:textFill>
        </w:rPr>
        <w:t>1</w: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end"/>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中化能源“十五五”低碳发展重点目标</w:t>
      </w:r>
    </w:p>
    <w:tbl>
      <w:tblPr>
        <w:tblStyle w:val="16"/>
        <w:tblpPr w:leftFromText="180" w:rightFromText="180" w:vertAnchor="text" w:horzAnchor="page" w:tblpX="1817" w:tblpY="525"/>
        <w:tblOverlap w:val="never"/>
        <w:tblW w:w="4997" w:type="pct"/>
        <w:tblInd w:w="0" w:type="dxa"/>
        <w:tblLayout w:type="autofit"/>
        <w:tblCellMar>
          <w:top w:w="0" w:type="dxa"/>
          <w:left w:w="108" w:type="dxa"/>
          <w:bottom w:w="0" w:type="dxa"/>
          <w:right w:w="108" w:type="dxa"/>
        </w:tblCellMar>
      </w:tblPr>
      <w:tblGrid>
        <w:gridCol w:w="1425"/>
        <w:gridCol w:w="678"/>
        <w:gridCol w:w="931"/>
        <w:gridCol w:w="822"/>
        <w:gridCol w:w="932"/>
        <w:gridCol w:w="932"/>
        <w:gridCol w:w="932"/>
        <w:gridCol w:w="932"/>
        <w:gridCol w:w="933"/>
      </w:tblGrid>
      <w:tr w14:paraId="676F9B3D">
        <w:tblPrEx>
          <w:tblCellMar>
            <w:top w:w="0" w:type="dxa"/>
            <w:left w:w="108" w:type="dxa"/>
            <w:bottom w:w="0" w:type="dxa"/>
            <w:right w:w="108" w:type="dxa"/>
          </w:tblCellMar>
        </w:tblPrEx>
        <w:trPr>
          <w:trHeight w:val="283" w:hRule="atLeast"/>
          <w:tblHeader/>
        </w:trPr>
        <w:tc>
          <w:tcPr>
            <w:tcW w:w="836" w:type="pct"/>
            <w:tcBorders>
              <w:top w:val="single" w:color="000000" w:sz="6" w:space="0"/>
              <w:left w:val="single" w:color="000000" w:sz="6" w:space="0"/>
              <w:bottom w:val="single" w:color="999999" w:sz="6" w:space="0"/>
              <w:right w:val="single" w:color="999999" w:sz="6" w:space="0"/>
              <w:tl2br w:val="nil"/>
            </w:tcBorders>
            <w:shd w:val="clear" w:color="auto" w:fill="FFFFFF"/>
            <w:vAlign w:val="center"/>
          </w:tcPr>
          <w:p w14:paraId="11406504">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指标名称</w:t>
            </w:r>
          </w:p>
        </w:tc>
        <w:tc>
          <w:tcPr>
            <w:tcW w:w="398" w:type="pct"/>
            <w:tcBorders>
              <w:top w:val="single" w:color="000000" w:sz="6" w:space="0"/>
              <w:left w:val="single" w:color="999999" w:sz="6" w:space="0"/>
              <w:bottom w:val="single" w:color="999999" w:sz="6" w:space="0"/>
              <w:right w:val="single" w:color="999999" w:sz="6" w:space="0"/>
            </w:tcBorders>
            <w:shd w:val="clear" w:color="auto" w:fill="FFFFFF"/>
            <w:vAlign w:val="center"/>
          </w:tcPr>
          <w:p w14:paraId="1BE91FEA">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单位</w:t>
            </w:r>
          </w:p>
        </w:tc>
        <w:tc>
          <w:tcPr>
            <w:tcW w:w="546" w:type="pct"/>
            <w:tcBorders>
              <w:top w:val="single" w:color="000000" w:sz="6" w:space="0"/>
              <w:left w:val="single" w:color="999999" w:sz="6" w:space="0"/>
              <w:bottom w:val="single" w:color="999999" w:sz="6" w:space="0"/>
              <w:right w:val="single" w:color="999999" w:sz="6" w:space="0"/>
            </w:tcBorders>
            <w:shd w:val="clear" w:color="auto" w:fill="FFFFFF"/>
            <w:vAlign w:val="center"/>
          </w:tcPr>
          <w:p w14:paraId="4C5D4A29">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2024年实际</w:t>
            </w:r>
          </w:p>
        </w:tc>
        <w:tc>
          <w:tcPr>
            <w:tcW w:w="482" w:type="pct"/>
            <w:tcBorders>
              <w:top w:val="single" w:color="000000" w:sz="6" w:space="0"/>
              <w:left w:val="single" w:color="999999" w:sz="6" w:space="0"/>
              <w:bottom w:val="single" w:color="999999" w:sz="6" w:space="0"/>
              <w:right w:val="single" w:color="999999" w:sz="6" w:space="0"/>
            </w:tcBorders>
            <w:shd w:val="clear" w:color="auto" w:fill="FFFFFF"/>
            <w:vAlign w:val="center"/>
          </w:tcPr>
          <w:p w14:paraId="1D696BDD">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2025年实际*</w:t>
            </w:r>
          </w:p>
        </w:tc>
        <w:tc>
          <w:tcPr>
            <w:tcW w:w="547" w:type="pct"/>
            <w:tcBorders>
              <w:top w:val="single" w:color="000000" w:sz="6" w:space="0"/>
              <w:left w:val="single" w:color="999999" w:sz="6" w:space="0"/>
              <w:bottom w:val="single" w:color="999999" w:sz="6" w:space="0"/>
              <w:right w:val="single" w:color="999999" w:sz="6" w:space="0"/>
            </w:tcBorders>
            <w:shd w:val="clear" w:color="auto" w:fill="FFFFFF"/>
            <w:vAlign w:val="center"/>
          </w:tcPr>
          <w:p w14:paraId="679A9D4B">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2026年</w:t>
            </w:r>
          </w:p>
        </w:tc>
        <w:tc>
          <w:tcPr>
            <w:tcW w:w="547" w:type="pct"/>
            <w:tcBorders>
              <w:top w:val="single" w:color="000000" w:sz="6" w:space="0"/>
              <w:left w:val="single" w:color="999999" w:sz="6" w:space="0"/>
              <w:bottom w:val="single" w:color="999999" w:sz="6" w:space="0"/>
              <w:right w:val="single" w:color="999999" w:sz="6" w:space="0"/>
            </w:tcBorders>
            <w:shd w:val="clear" w:color="auto" w:fill="FFFFFF"/>
            <w:vAlign w:val="center"/>
          </w:tcPr>
          <w:p w14:paraId="48E045D7">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2027年</w:t>
            </w:r>
          </w:p>
        </w:tc>
        <w:tc>
          <w:tcPr>
            <w:tcW w:w="547" w:type="pct"/>
            <w:tcBorders>
              <w:top w:val="single" w:color="000000" w:sz="6" w:space="0"/>
              <w:left w:val="single" w:color="999999" w:sz="6" w:space="0"/>
              <w:bottom w:val="single" w:color="999999" w:sz="6" w:space="0"/>
              <w:right w:val="single" w:color="999999" w:sz="6" w:space="0"/>
            </w:tcBorders>
            <w:shd w:val="clear" w:color="auto" w:fill="FFFFFF"/>
            <w:vAlign w:val="center"/>
          </w:tcPr>
          <w:p w14:paraId="186139F5">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2028年</w:t>
            </w:r>
          </w:p>
        </w:tc>
        <w:tc>
          <w:tcPr>
            <w:tcW w:w="547" w:type="pct"/>
            <w:tcBorders>
              <w:top w:val="single" w:color="000000" w:sz="6" w:space="0"/>
              <w:left w:val="single" w:color="999999" w:sz="6" w:space="0"/>
              <w:bottom w:val="single" w:color="999999" w:sz="6" w:space="0"/>
              <w:right w:val="single" w:color="999999" w:sz="6" w:space="0"/>
            </w:tcBorders>
            <w:shd w:val="clear" w:color="auto" w:fill="FFFFFF"/>
            <w:vAlign w:val="center"/>
          </w:tcPr>
          <w:p w14:paraId="318F8715">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2029年</w:t>
            </w:r>
          </w:p>
        </w:tc>
        <w:tc>
          <w:tcPr>
            <w:tcW w:w="547" w:type="pct"/>
            <w:tcBorders>
              <w:top w:val="single" w:color="000000" w:sz="6" w:space="0"/>
              <w:left w:val="single" w:color="999999" w:sz="6" w:space="0"/>
              <w:bottom w:val="single" w:color="999999" w:sz="6" w:space="0"/>
              <w:right w:val="single" w:color="000000" w:sz="6" w:space="0"/>
            </w:tcBorders>
            <w:shd w:val="clear" w:color="auto" w:fill="FFFFFF"/>
            <w:vAlign w:val="center"/>
          </w:tcPr>
          <w:p w14:paraId="1C5C0A73">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2030年</w:t>
            </w:r>
          </w:p>
        </w:tc>
      </w:tr>
      <w:tr w14:paraId="767558AE">
        <w:tblPrEx>
          <w:tblCellMar>
            <w:top w:w="0" w:type="dxa"/>
            <w:left w:w="108" w:type="dxa"/>
            <w:bottom w:w="0" w:type="dxa"/>
            <w:right w:w="108" w:type="dxa"/>
          </w:tblCellMar>
        </w:tblPrEx>
        <w:trPr>
          <w:trHeight w:val="282" w:hRule="atLeast"/>
        </w:trPr>
        <w:tc>
          <w:tcPr>
            <w:tcW w:w="836" w:type="pct"/>
            <w:tcBorders>
              <w:top w:val="single" w:color="999999" w:sz="6" w:space="0"/>
              <w:left w:val="single" w:color="000000" w:sz="6" w:space="0"/>
              <w:bottom w:val="single" w:color="999999" w:sz="6" w:space="0"/>
              <w:right w:val="single" w:color="999999" w:sz="6" w:space="0"/>
            </w:tcBorders>
            <w:shd w:val="clear" w:color="auto" w:fill="FFFFFF"/>
            <w:vAlign w:val="center"/>
          </w:tcPr>
          <w:p w14:paraId="7D697DB8">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工业产值</w:t>
            </w:r>
          </w:p>
        </w:tc>
        <w:tc>
          <w:tcPr>
            <w:tcW w:w="398"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56E21CE8">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亿元</w:t>
            </w:r>
          </w:p>
        </w:tc>
        <w:tc>
          <w:tcPr>
            <w:tcW w:w="546"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008C5B39">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816.24</w:t>
            </w:r>
          </w:p>
        </w:tc>
        <w:tc>
          <w:tcPr>
            <w:tcW w:w="482"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1DE31CC7">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563.52</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5A2419F4">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590.97</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7AC5C36E">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630.94</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66A12B8E">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682.14</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5278C9A9">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1038.08</w:t>
            </w:r>
          </w:p>
        </w:tc>
        <w:tc>
          <w:tcPr>
            <w:tcW w:w="547" w:type="pct"/>
            <w:tcBorders>
              <w:top w:val="single" w:color="999999" w:sz="6" w:space="0"/>
              <w:left w:val="single" w:color="999999" w:sz="6" w:space="0"/>
              <w:bottom w:val="single" w:color="999999" w:sz="6" w:space="0"/>
              <w:right w:val="single" w:color="000000" w:sz="6" w:space="0"/>
            </w:tcBorders>
            <w:shd w:val="clear" w:color="auto" w:fill="FFFFFF"/>
            <w:vAlign w:val="center"/>
          </w:tcPr>
          <w:p w14:paraId="1FCF1443">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1038.08</w:t>
            </w:r>
          </w:p>
        </w:tc>
      </w:tr>
      <w:tr w14:paraId="6B005CFB">
        <w:tblPrEx>
          <w:tblCellMar>
            <w:top w:w="0" w:type="dxa"/>
            <w:left w:w="108" w:type="dxa"/>
            <w:bottom w:w="0" w:type="dxa"/>
            <w:right w:w="108" w:type="dxa"/>
          </w:tblCellMar>
        </w:tblPrEx>
        <w:trPr>
          <w:trHeight w:val="282" w:hRule="atLeast"/>
        </w:trPr>
        <w:tc>
          <w:tcPr>
            <w:tcW w:w="836" w:type="pct"/>
            <w:tcBorders>
              <w:top w:val="single" w:color="999999" w:sz="6" w:space="0"/>
              <w:left w:val="single" w:color="000000" w:sz="6" w:space="0"/>
              <w:bottom w:val="single" w:color="999999" w:sz="6" w:space="0"/>
              <w:right w:val="single" w:color="999999" w:sz="6" w:space="0"/>
            </w:tcBorders>
            <w:shd w:val="clear" w:color="auto" w:fill="E6E6E6"/>
            <w:vAlign w:val="center"/>
          </w:tcPr>
          <w:p w14:paraId="18D7ADEE">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碳排放总量</w:t>
            </w:r>
          </w:p>
        </w:tc>
        <w:tc>
          <w:tcPr>
            <w:tcW w:w="398"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06F40914">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万吨</w:t>
            </w:r>
          </w:p>
        </w:tc>
        <w:tc>
          <w:tcPr>
            <w:tcW w:w="546"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3626EAAB">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1184.57</w:t>
            </w:r>
          </w:p>
        </w:tc>
        <w:tc>
          <w:tcPr>
            <w:tcW w:w="482"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2492E90E">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962.23</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7B9B774A">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1017.55 </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5E534D9D">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1101.42 </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3967B165">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1100.08 </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6A3A993E">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1654.40 </w:t>
            </w:r>
          </w:p>
        </w:tc>
        <w:tc>
          <w:tcPr>
            <w:tcW w:w="547" w:type="pct"/>
            <w:tcBorders>
              <w:top w:val="single" w:color="999999" w:sz="6" w:space="0"/>
              <w:left w:val="single" w:color="999999" w:sz="6" w:space="0"/>
              <w:bottom w:val="single" w:color="999999" w:sz="6" w:space="0"/>
              <w:right w:val="single" w:color="000000" w:sz="6" w:space="0"/>
            </w:tcBorders>
            <w:shd w:val="clear" w:color="auto" w:fill="E6E6E6"/>
            <w:vAlign w:val="center"/>
          </w:tcPr>
          <w:p w14:paraId="3377994B">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1636.17 </w:t>
            </w:r>
          </w:p>
        </w:tc>
      </w:tr>
      <w:tr w14:paraId="1B291E0B">
        <w:tblPrEx>
          <w:tblCellMar>
            <w:top w:w="0" w:type="dxa"/>
            <w:left w:w="108" w:type="dxa"/>
            <w:bottom w:w="0" w:type="dxa"/>
            <w:right w:w="108" w:type="dxa"/>
          </w:tblCellMar>
        </w:tblPrEx>
        <w:trPr>
          <w:trHeight w:val="282" w:hRule="atLeast"/>
        </w:trPr>
        <w:tc>
          <w:tcPr>
            <w:tcW w:w="836" w:type="pct"/>
            <w:tcBorders>
              <w:top w:val="single" w:color="999999" w:sz="6" w:space="0"/>
              <w:left w:val="single" w:color="000000" w:sz="6" w:space="0"/>
              <w:bottom w:val="single" w:color="999999" w:sz="6" w:space="0"/>
              <w:right w:val="single" w:color="999999" w:sz="6" w:space="0"/>
            </w:tcBorders>
            <w:shd w:val="clear" w:color="auto" w:fill="FFFFFF"/>
            <w:vAlign w:val="center"/>
          </w:tcPr>
          <w:p w14:paraId="24F38D11">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万元产值综合能耗降低*</w:t>
            </w:r>
          </w:p>
        </w:tc>
        <w:tc>
          <w:tcPr>
            <w:tcW w:w="398"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52DF7B3D">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546"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44BA68E8">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174.00</w:t>
            </w:r>
          </w:p>
        </w:tc>
        <w:tc>
          <w:tcPr>
            <w:tcW w:w="482"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07D0D9ED">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224.88</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4F4B7C7C">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0.16</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3AA22265">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5.37</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66B409D5">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5.54</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73BC44DB">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43.80</w:t>
            </w:r>
          </w:p>
        </w:tc>
        <w:tc>
          <w:tcPr>
            <w:tcW w:w="547" w:type="pct"/>
            <w:tcBorders>
              <w:top w:val="single" w:color="999999" w:sz="6" w:space="0"/>
              <w:left w:val="single" w:color="999999" w:sz="6" w:space="0"/>
              <w:bottom w:val="single" w:color="999999" w:sz="6" w:space="0"/>
              <w:right w:val="single" w:color="000000" w:sz="6" w:space="0"/>
            </w:tcBorders>
            <w:shd w:val="clear" w:color="auto" w:fill="FFFFFF"/>
            <w:vAlign w:val="center"/>
          </w:tcPr>
          <w:p w14:paraId="6437A743">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43.51</w:t>
            </w:r>
          </w:p>
        </w:tc>
      </w:tr>
      <w:tr w14:paraId="585E3B2E">
        <w:tblPrEx>
          <w:tblCellMar>
            <w:top w:w="0" w:type="dxa"/>
            <w:left w:w="108" w:type="dxa"/>
            <w:bottom w:w="0" w:type="dxa"/>
            <w:right w:w="108" w:type="dxa"/>
          </w:tblCellMar>
        </w:tblPrEx>
        <w:trPr>
          <w:trHeight w:val="313" w:hRule="atLeast"/>
        </w:trPr>
        <w:tc>
          <w:tcPr>
            <w:tcW w:w="836" w:type="pct"/>
            <w:tcBorders>
              <w:top w:val="single" w:color="999999" w:sz="6" w:space="0"/>
              <w:left w:val="single" w:color="000000" w:sz="6" w:space="0"/>
              <w:bottom w:val="single" w:color="999999" w:sz="6" w:space="0"/>
              <w:right w:val="single" w:color="999999" w:sz="6" w:space="0"/>
            </w:tcBorders>
            <w:shd w:val="clear" w:color="auto" w:fill="E6E6E6"/>
            <w:vAlign w:val="center"/>
          </w:tcPr>
          <w:p w14:paraId="403194CA">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万元产值二氧化碳排放降低*</w:t>
            </w:r>
          </w:p>
        </w:tc>
        <w:tc>
          <w:tcPr>
            <w:tcW w:w="398"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12F7D611">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546"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60A81A7F">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42.28</w:t>
            </w:r>
          </w:p>
        </w:tc>
        <w:tc>
          <w:tcPr>
            <w:tcW w:w="482"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3FD6AA54">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50.31</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7A2AA6D1">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0.75</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0EB0F57C">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2.14</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40A5B1DA">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-5.64</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6D0A57E7">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-6.75</w:t>
            </w:r>
          </w:p>
        </w:tc>
        <w:tc>
          <w:tcPr>
            <w:tcW w:w="547" w:type="pct"/>
            <w:tcBorders>
              <w:top w:val="single" w:color="999999" w:sz="6" w:space="0"/>
              <w:left w:val="single" w:color="999999" w:sz="6" w:space="0"/>
              <w:bottom w:val="single" w:color="999999" w:sz="6" w:space="0"/>
              <w:right w:val="single" w:color="000000" w:sz="6" w:space="0"/>
            </w:tcBorders>
            <w:shd w:val="clear" w:color="auto" w:fill="E6E6E6"/>
            <w:vAlign w:val="center"/>
          </w:tcPr>
          <w:p w14:paraId="6EE6B6AE">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-7.78</w:t>
            </w:r>
          </w:p>
        </w:tc>
      </w:tr>
      <w:tr w14:paraId="228CB0AD">
        <w:tblPrEx>
          <w:tblCellMar>
            <w:top w:w="0" w:type="dxa"/>
            <w:left w:w="108" w:type="dxa"/>
            <w:bottom w:w="0" w:type="dxa"/>
            <w:right w:w="108" w:type="dxa"/>
          </w:tblCellMar>
        </w:tblPrEx>
        <w:trPr>
          <w:trHeight w:val="540" w:hRule="atLeast"/>
        </w:trPr>
        <w:tc>
          <w:tcPr>
            <w:tcW w:w="836" w:type="pct"/>
            <w:tcBorders>
              <w:top w:val="single" w:color="999999" w:sz="6" w:space="0"/>
              <w:left w:val="single" w:color="000000" w:sz="6" w:space="0"/>
              <w:bottom w:val="single" w:color="999999" w:sz="6" w:space="0"/>
              <w:right w:val="single" w:color="999999" w:sz="6" w:space="0"/>
            </w:tcBorders>
            <w:shd w:val="clear" w:color="auto" w:fill="FFFFFF"/>
            <w:vAlign w:val="center"/>
          </w:tcPr>
          <w:p w14:paraId="0599584A">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万元产值综合能耗</w:t>
            </w:r>
          </w:p>
        </w:tc>
        <w:tc>
          <w:tcPr>
            <w:tcW w:w="398"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56079D19">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吨标准煤/万元</w:t>
            </w:r>
          </w:p>
        </w:tc>
        <w:tc>
          <w:tcPr>
            <w:tcW w:w="546"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3D0B01F6">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1.37</w:t>
            </w:r>
          </w:p>
        </w:tc>
        <w:tc>
          <w:tcPr>
            <w:tcW w:w="482"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078BFCA4">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1.66</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6B648366">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1.59</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57EF9299">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1.57</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6BE0969B">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1.45</w:t>
            </w:r>
          </w:p>
        </w:tc>
        <w:tc>
          <w:tcPr>
            <w:tcW w:w="547" w:type="pct"/>
            <w:tcBorders>
              <w:top w:val="single" w:color="999999" w:sz="6" w:space="0"/>
              <w:left w:val="single" w:color="999999" w:sz="6" w:space="0"/>
              <w:bottom w:val="single" w:color="999999" w:sz="6" w:space="0"/>
              <w:right w:val="single" w:color="999999" w:sz="6" w:space="0"/>
            </w:tcBorders>
            <w:shd w:val="clear" w:color="auto" w:fill="FFFFFF"/>
            <w:vAlign w:val="center"/>
          </w:tcPr>
          <w:p w14:paraId="3AB5659E">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w:t>
            </w:r>
          </w:p>
        </w:tc>
        <w:tc>
          <w:tcPr>
            <w:tcW w:w="547" w:type="pct"/>
            <w:tcBorders>
              <w:top w:val="single" w:color="999999" w:sz="6" w:space="0"/>
              <w:left w:val="single" w:color="999999" w:sz="6" w:space="0"/>
              <w:bottom w:val="single" w:color="999999" w:sz="6" w:space="0"/>
              <w:right w:val="single" w:color="000000" w:sz="6" w:space="0"/>
            </w:tcBorders>
            <w:shd w:val="clear" w:color="auto" w:fill="FFFFFF"/>
            <w:vAlign w:val="center"/>
          </w:tcPr>
          <w:p w14:paraId="7A162DB9">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w:t>
            </w:r>
          </w:p>
        </w:tc>
      </w:tr>
      <w:tr w14:paraId="2CC8D0D0">
        <w:tblPrEx>
          <w:tblCellMar>
            <w:top w:w="0" w:type="dxa"/>
            <w:left w:w="108" w:type="dxa"/>
            <w:bottom w:w="0" w:type="dxa"/>
            <w:right w:w="108" w:type="dxa"/>
          </w:tblCellMar>
        </w:tblPrEx>
        <w:trPr>
          <w:trHeight w:val="540" w:hRule="atLeast"/>
        </w:trPr>
        <w:tc>
          <w:tcPr>
            <w:tcW w:w="836" w:type="pct"/>
            <w:tcBorders>
              <w:top w:val="single" w:color="999999" w:sz="6" w:space="0"/>
              <w:left w:val="single" w:color="000000" w:sz="6" w:space="0"/>
              <w:bottom w:val="single" w:color="999999" w:sz="6" w:space="0"/>
              <w:right w:val="single" w:color="999999" w:sz="6" w:space="0"/>
            </w:tcBorders>
            <w:shd w:val="clear" w:color="auto" w:fill="E6E6E6"/>
            <w:vAlign w:val="center"/>
          </w:tcPr>
          <w:p w14:paraId="5CCC2F89">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其中综合能源消费量</w:t>
            </w:r>
          </w:p>
        </w:tc>
        <w:tc>
          <w:tcPr>
            <w:tcW w:w="398"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378AAE9C">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吨标准煤</w:t>
            </w:r>
          </w:p>
        </w:tc>
        <w:tc>
          <w:tcPr>
            <w:tcW w:w="546"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0EEF2C2B">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1118.25</w:t>
            </w:r>
          </w:p>
        </w:tc>
        <w:tc>
          <w:tcPr>
            <w:tcW w:w="482"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4D79EB3A">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937.31 </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65AE0706">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938.79 </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410B8B90">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987.62 </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7CBA412A">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989.20 </w:t>
            </w:r>
          </w:p>
        </w:tc>
        <w:tc>
          <w:tcPr>
            <w:tcW w:w="547" w:type="pct"/>
            <w:tcBorders>
              <w:top w:val="single" w:color="999999" w:sz="6" w:space="0"/>
              <w:left w:val="single" w:color="999999" w:sz="6" w:space="0"/>
              <w:bottom w:val="single" w:color="999999" w:sz="6" w:space="0"/>
              <w:right w:val="single" w:color="999999" w:sz="6" w:space="0"/>
            </w:tcBorders>
            <w:shd w:val="clear" w:color="auto" w:fill="E6E6E6"/>
            <w:vAlign w:val="center"/>
          </w:tcPr>
          <w:p w14:paraId="2E7AC8C5">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1347.90 </w:t>
            </w:r>
          </w:p>
        </w:tc>
        <w:tc>
          <w:tcPr>
            <w:tcW w:w="547" w:type="pct"/>
            <w:tcBorders>
              <w:top w:val="single" w:color="999999" w:sz="6" w:space="0"/>
              <w:left w:val="single" w:color="999999" w:sz="6" w:space="0"/>
              <w:bottom w:val="single" w:color="999999" w:sz="6" w:space="0"/>
              <w:right w:val="single" w:color="000000" w:sz="6" w:space="0"/>
            </w:tcBorders>
            <w:shd w:val="clear" w:color="auto" w:fill="E6E6E6"/>
            <w:vAlign w:val="center"/>
          </w:tcPr>
          <w:p w14:paraId="556B22CC">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 xml:space="preserve">1345.17 </w:t>
            </w:r>
          </w:p>
        </w:tc>
      </w:tr>
      <w:tr w14:paraId="18518A3E">
        <w:tblPrEx>
          <w:tblCellMar>
            <w:top w:w="0" w:type="dxa"/>
            <w:left w:w="108" w:type="dxa"/>
            <w:bottom w:w="0" w:type="dxa"/>
            <w:right w:w="108" w:type="dxa"/>
          </w:tblCellMar>
        </w:tblPrEx>
        <w:trPr>
          <w:trHeight w:val="280" w:hRule="atLeast"/>
        </w:trPr>
        <w:tc>
          <w:tcPr>
            <w:tcW w:w="836" w:type="pct"/>
            <w:tcBorders>
              <w:top w:val="single" w:color="999999" w:sz="6" w:space="0"/>
              <w:left w:val="single" w:color="000000" w:sz="6" w:space="0"/>
              <w:bottom w:val="single" w:color="000000" w:sz="6" w:space="0"/>
              <w:right w:val="single" w:color="999999" w:sz="6" w:space="0"/>
            </w:tcBorders>
            <w:shd w:val="clear" w:color="auto" w:fill="FFFFFF"/>
            <w:vAlign w:val="center"/>
          </w:tcPr>
          <w:p w14:paraId="7A25C27F">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万元产值二氧化碳排放量</w:t>
            </w:r>
          </w:p>
        </w:tc>
        <w:tc>
          <w:tcPr>
            <w:tcW w:w="398" w:type="pct"/>
            <w:tcBorders>
              <w:top w:val="single" w:color="999999" w:sz="6" w:space="0"/>
              <w:left w:val="single" w:color="999999" w:sz="6" w:space="0"/>
              <w:bottom w:val="single" w:color="000000" w:sz="6" w:space="0"/>
              <w:right w:val="single" w:color="999999" w:sz="6" w:space="0"/>
            </w:tcBorders>
            <w:shd w:val="clear" w:color="auto" w:fill="FFFFFF"/>
            <w:vAlign w:val="center"/>
          </w:tcPr>
          <w:p w14:paraId="4FA9CD98">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吨/万元</w:t>
            </w:r>
          </w:p>
        </w:tc>
        <w:tc>
          <w:tcPr>
            <w:tcW w:w="546" w:type="pct"/>
            <w:tcBorders>
              <w:top w:val="single" w:color="999999" w:sz="6" w:space="0"/>
              <w:left w:val="single" w:color="999999" w:sz="6" w:space="0"/>
              <w:bottom w:val="single" w:color="000000" w:sz="6" w:space="0"/>
              <w:right w:val="single" w:color="999999" w:sz="6" w:space="0"/>
            </w:tcBorders>
            <w:shd w:val="clear" w:color="auto" w:fill="FFFFFF"/>
            <w:vAlign w:val="center"/>
          </w:tcPr>
          <w:p w14:paraId="5BB0A5B9">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1.45</w:t>
            </w:r>
          </w:p>
        </w:tc>
        <w:tc>
          <w:tcPr>
            <w:tcW w:w="482" w:type="pct"/>
            <w:tcBorders>
              <w:top w:val="single" w:color="999999" w:sz="6" w:space="0"/>
              <w:left w:val="single" w:color="999999" w:sz="6" w:space="0"/>
              <w:bottom w:val="single" w:color="000000" w:sz="6" w:space="0"/>
              <w:right w:val="single" w:color="999999" w:sz="6" w:space="0"/>
            </w:tcBorders>
            <w:shd w:val="clear" w:color="auto" w:fill="FFFFFF"/>
            <w:vAlign w:val="center"/>
          </w:tcPr>
          <w:p w14:paraId="7903744A">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w:t>
            </w:r>
          </w:p>
        </w:tc>
        <w:tc>
          <w:tcPr>
            <w:tcW w:w="547" w:type="pct"/>
            <w:tcBorders>
              <w:top w:val="single" w:color="999999" w:sz="6" w:space="0"/>
              <w:left w:val="single" w:color="999999" w:sz="6" w:space="0"/>
              <w:bottom w:val="single" w:color="000000" w:sz="6" w:space="0"/>
              <w:right w:val="single" w:color="999999" w:sz="6" w:space="0"/>
            </w:tcBorders>
            <w:shd w:val="clear" w:color="auto" w:fill="FFFFFF"/>
            <w:vAlign w:val="center"/>
          </w:tcPr>
          <w:p w14:paraId="217B4BDD">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1.72</w:t>
            </w:r>
          </w:p>
        </w:tc>
        <w:tc>
          <w:tcPr>
            <w:tcW w:w="547" w:type="pct"/>
            <w:tcBorders>
              <w:top w:val="single" w:color="999999" w:sz="6" w:space="0"/>
              <w:left w:val="single" w:color="999999" w:sz="6" w:space="0"/>
              <w:bottom w:val="single" w:color="000000" w:sz="6" w:space="0"/>
              <w:right w:val="single" w:color="999999" w:sz="6" w:space="0"/>
            </w:tcBorders>
            <w:shd w:val="clear" w:color="auto" w:fill="FFFFFF"/>
            <w:vAlign w:val="center"/>
          </w:tcPr>
          <w:p w14:paraId="22AA25A7">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1.75</w:t>
            </w:r>
          </w:p>
        </w:tc>
        <w:tc>
          <w:tcPr>
            <w:tcW w:w="547" w:type="pct"/>
            <w:tcBorders>
              <w:top w:val="single" w:color="999999" w:sz="6" w:space="0"/>
              <w:left w:val="single" w:color="999999" w:sz="6" w:space="0"/>
              <w:bottom w:val="single" w:color="000000" w:sz="6" w:space="0"/>
              <w:right w:val="single" w:color="999999" w:sz="6" w:space="0"/>
            </w:tcBorders>
            <w:shd w:val="clear" w:color="auto" w:fill="FFFFFF"/>
            <w:vAlign w:val="center"/>
          </w:tcPr>
          <w:p w14:paraId="2E76A337">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1.61</w:t>
            </w:r>
          </w:p>
        </w:tc>
        <w:tc>
          <w:tcPr>
            <w:tcW w:w="547" w:type="pct"/>
            <w:tcBorders>
              <w:top w:val="single" w:color="999999" w:sz="6" w:space="0"/>
              <w:left w:val="single" w:color="999999" w:sz="6" w:space="0"/>
              <w:bottom w:val="single" w:color="000000" w:sz="6" w:space="0"/>
              <w:right w:val="single" w:color="999999" w:sz="6" w:space="0"/>
            </w:tcBorders>
            <w:shd w:val="clear" w:color="auto" w:fill="FFFFFF"/>
            <w:vAlign w:val="center"/>
          </w:tcPr>
          <w:p w14:paraId="64958825">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1.59</w:t>
            </w:r>
          </w:p>
        </w:tc>
        <w:tc>
          <w:tcPr>
            <w:tcW w:w="547" w:type="pct"/>
            <w:tcBorders>
              <w:top w:val="single" w:color="999999" w:sz="6" w:space="0"/>
              <w:left w:val="single" w:color="999999" w:sz="6" w:space="0"/>
              <w:bottom w:val="single" w:color="000000" w:sz="6" w:space="0"/>
              <w:right w:val="single" w:color="000000" w:sz="6" w:space="0"/>
            </w:tcBorders>
            <w:shd w:val="clear" w:color="auto" w:fill="FFFFFF"/>
            <w:vAlign w:val="center"/>
          </w:tcPr>
          <w:p w14:paraId="21E3FB75">
            <w:pPr>
              <w:widowControl/>
              <w:numPr>
                <w:ilvl w:val="255"/>
                <w:numId w:val="0"/>
              </w:numPr>
              <w:snapToGrid w:val="0"/>
              <w:jc w:val="left"/>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1.58</w:t>
            </w:r>
          </w:p>
        </w:tc>
      </w:tr>
    </w:tbl>
    <w:p w14:paraId="7DB76423">
      <w:pPr>
        <w:widowControl/>
        <w:spacing w:line="560" w:lineRule="exact"/>
        <w:rPr>
          <w:rFonts w:ascii="Times New Roman Regular" w:hAnsi="Times New Roman Regular" w:eastAsia="仿宋_GB2312" w:cs="Times New Roman Regular"/>
          <w:color w:val="000000" w:themeColor="text1"/>
          <w:sz w:val="28"/>
          <w:szCs w:val="28"/>
          <w14:textFill>
            <w14:solidFill>
              <w14:schemeClr w14:val="tx1"/>
            </w14:solidFill>
          </w14:textFill>
        </w:rPr>
        <w:sectPr>
          <w:headerReference r:id="rId12" w:type="default"/>
          <w:pgSz w:w="11906" w:h="16838"/>
          <w:pgMar w:top="1440" w:right="1800" w:bottom="1440" w:left="1800" w:header="851" w:footer="992" w:gutter="0"/>
          <w:pgNumType w:fmt="numberInDash"/>
          <w:cols w:space="425" w:num="1"/>
          <w:docGrid w:type="lines" w:linePitch="312" w:charSpace="0"/>
        </w:sectPr>
      </w:pPr>
    </w:p>
    <w:p w14:paraId="0936E9D6">
      <w:pPr>
        <w:jc w:val="center"/>
        <w:rPr>
          <w:rFonts w:ascii="Times New Roman Regular" w:hAnsi="Times New Roman Regular" w:eastAsia="黑体" w:cs="Times New Roman Regular"/>
          <w:color w:val="000000" w:themeColor="text1"/>
          <w:sz w:val="20"/>
          <w:szCs w:val="20"/>
          <w14:textFill>
            <w14:solidFill>
              <w14:schemeClr w14:val="tx1"/>
            </w14:solidFill>
          </w14:textFill>
        </w:rPr>
      </w:pPr>
    </w:p>
    <w:p w14:paraId="2170C970">
      <w:pPr>
        <w:jc w:val="cente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5</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泉州石化“十五五”低碳发展重点目标</w:t>
      </w:r>
    </w:p>
    <w:tbl>
      <w:tblPr>
        <w:tblStyle w:val="16"/>
        <w:tblW w:w="5000" w:type="pct"/>
        <w:tblInd w:w="0" w:type="dxa"/>
        <w:tblLayout w:type="autofit"/>
        <w:tblCellMar>
          <w:top w:w="0" w:type="dxa"/>
          <w:left w:w="108" w:type="dxa"/>
          <w:bottom w:w="0" w:type="dxa"/>
          <w:right w:w="108" w:type="dxa"/>
        </w:tblCellMar>
      </w:tblPr>
      <w:tblGrid>
        <w:gridCol w:w="1037"/>
        <w:gridCol w:w="771"/>
        <w:gridCol w:w="793"/>
        <w:gridCol w:w="793"/>
        <w:gridCol w:w="793"/>
        <w:gridCol w:w="867"/>
        <w:gridCol w:w="867"/>
        <w:gridCol w:w="867"/>
        <w:gridCol w:w="867"/>
        <w:gridCol w:w="867"/>
      </w:tblGrid>
      <w:tr w14:paraId="17D7EB8B">
        <w:trPr>
          <w:trHeight w:val="280" w:hRule="atLeast"/>
        </w:trPr>
        <w:tc>
          <w:tcPr>
            <w:tcW w:w="6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9DC5B6C">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指标</w:t>
            </w:r>
          </w:p>
        </w:tc>
        <w:tc>
          <w:tcPr>
            <w:tcW w:w="4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FAAC71">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单位</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A5B9F0">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2020年</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43CF4E">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2024年</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01841D1">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2025年</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EB2A84">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2026年</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7508A6">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2027年</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7B77836">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2028年</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5393831">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2029年</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0582B9">
            <w:pPr>
              <w:widowControl/>
              <w:numPr>
                <w:ilvl w:val="255"/>
                <w:numId w:val="0"/>
              </w:numPr>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2030年</w:t>
            </w:r>
          </w:p>
        </w:tc>
      </w:tr>
      <w:tr w14:paraId="4A47B388">
        <w:tblPrEx>
          <w:tblCellMar>
            <w:top w:w="0" w:type="dxa"/>
            <w:left w:w="108" w:type="dxa"/>
            <w:bottom w:w="0" w:type="dxa"/>
            <w:right w:w="108" w:type="dxa"/>
          </w:tblCellMar>
        </w:tblPrEx>
        <w:trPr>
          <w:trHeight w:val="540" w:hRule="atLeast"/>
        </w:trPr>
        <w:tc>
          <w:tcPr>
            <w:tcW w:w="6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3B9CA5">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二氧化碳排放</w:t>
            </w:r>
          </w:p>
        </w:tc>
        <w:tc>
          <w:tcPr>
            <w:tcW w:w="4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862FA7B">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万吨</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2388F4">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577.78</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6881E0A">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968.17</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E08D59">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963.83</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1612F4">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1030.24</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071AAB">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1127.90</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09FCEF">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1144.82</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7FBC8D">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1717.38</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E7A4DE">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1717.38</w:t>
            </w:r>
          </w:p>
        </w:tc>
      </w:tr>
      <w:tr w14:paraId="4776F82B">
        <w:tblPrEx>
          <w:tblCellMar>
            <w:top w:w="0" w:type="dxa"/>
            <w:left w:w="108" w:type="dxa"/>
            <w:bottom w:w="0" w:type="dxa"/>
            <w:right w:w="108" w:type="dxa"/>
          </w:tblCellMar>
        </w:tblPrEx>
        <w:trPr>
          <w:trHeight w:val="280" w:hRule="atLeast"/>
        </w:trPr>
        <w:tc>
          <w:tcPr>
            <w:tcW w:w="6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D126ED">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工业产值</w:t>
            </w:r>
          </w:p>
        </w:tc>
        <w:tc>
          <w:tcPr>
            <w:tcW w:w="4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F2D02F">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亿元</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38907E">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506.00</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1FFFC15">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550.75</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41578B">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563.02</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3C0CD5C">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590.97</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8F394B">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628.24</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A4A7DF">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679.43</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ACFAE5">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1035.38</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0B600C">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1035.38</w:t>
            </w:r>
          </w:p>
        </w:tc>
      </w:tr>
      <w:tr w14:paraId="59720766">
        <w:tblPrEx>
          <w:tblCellMar>
            <w:top w:w="0" w:type="dxa"/>
            <w:left w:w="108" w:type="dxa"/>
            <w:bottom w:w="0" w:type="dxa"/>
            <w:right w:w="108" w:type="dxa"/>
          </w:tblCellMar>
        </w:tblPrEx>
        <w:trPr>
          <w:trHeight w:val="810" w:hRule="atLeast"/>
        </w:trPr>
        <w:tc>
          <w:tcPr>
            <w:tcW w:w="6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6E16393">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万元营业收入二氧化碳排放</w:t>
            </w:r>
          </w:p>
        </w:tc>
        <w:tc>
          <w:tcPr>
            <w:tcW w:w="4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D57A4A">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lang w:bidi="ar"/>
                <w14:textFill>
                  <w14:solidFill>
                    <w14:schemeClr w14:val="tx1"/>
                  </w14:solidFill>
                </w14:textFill>
              </w:rPr>
              <w:t>吨二氧化碳</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r>
              <w:rPr>
                <w:rFonts w:ascii="Times New Roman Regular" w:hAnsi="Times New Roman Regular" w:eastAsia="华文楷体" w:cs="Times New Roman Regular"/>
                <w:bCs/>
                <w:color w:val="000000" w:themeColor="text1"/>
                <w:kern w:val="0"/>
                <w:sz w:val="20"/>
                <w:lang w:bidi="ar"/>
                <w14:textFill>
                  <w14:solidFill>
                    <w14:schemeClr w14:val="tx1"/>
                  </w14:solidFill>
                </w14:textFill>
              </w:rPr>
              <w:t>万元</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9A22F71">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1.14</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C2474FD">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1.76</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95F9EEE">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B78EEC">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1.74</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AF60048">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1.80</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EB1D21">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1.68</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7F5F08">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1.66</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839481">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1.66</w:t>
            </w:r>
          </w:p>
        </w:tc>
      </w:tr>
      <w:tr w14:paraId="2B98179C">
        <w:tblPrEx>
          <w:tblCellMar>
            <w:top w:w="0" w:type="dxa"/>
            <w:left w:w="108" w:type="dxa"/>
            <w:bottom w:w="0" w:type="dxa"/>
            <w:right w:w="108" w:type="dxa"/>
          </w:tblCellMar>
        </w:tblPrEx>
        <w:trPr>
          <w:trHeight w:val="540" w:hRule="atLeast"/>
        </w:trPr>
        <w:tc>
          <w:tcPr>
            <w:tcW w:w="6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CCB0487">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综合能源消费量</w:t>
            </w:r>
          </w:p>
        </w:tc>
        <w:tc>
          <w:tcPr>
            <w:tcW w:w="4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1C0209">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万吨标准煤</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63FA58">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304.09</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F131887">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982.11</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A083793">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933.44</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B3448E">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935.54</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E45EE6">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989.18</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1F8E1C">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993.49</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D0310F">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1354.92</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1CB0F50">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1354.92</w:t>
            </w:r>
          </w:p>
        </w:tc>
      </w:tr>
      <w:tr w14:paraId="0299D051">
        <w:tblPrEx>
          <w:tblCellMar>
            <w:top w:w="0" w:type="dxa"/>
            <w:left w:w="108" w:type="dxa"/>
            <w:bottom w:w="0" w:type="dxa"/>
            <w:right w:w="108" w:type="dxa"/>
          </w:tblCellMar>
        </w:tblPrEx>
        <w:trPr>
          <w:trHeight w:val="540" w:hRule="atLeast"/>
        </w:trPr>
        <w:tc>
          <w:tcPr>
            <w:tcW w:w="6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E5DA7E">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万元产值综合能耗</w:t>
            </w:r>
          </w:p>
        </w:tc>
        <w:tc>
          <w:tcPr>
            <w:tcW w:w="4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B23D98">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lang w:bidi="ar"/>
                <w14:textFill>
                  <w14:solidFill>
                    <w14:schemeClr w14:val="tx1"/>
                  </w14:solidFill>
                </w14:textFill>
              </w:rPr>
              <w:t>吨标煤</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r>
              <w:rPr>
                <w:rFonts w:ascii="Times New Roman Regular" w:hAnsi="Times New Roman Regular" w:eastAsia="华文楷体" w:cs="Times New Roman Regular"/>
                <w:bCs/>
                <w:color w:val="000000" w:themeColor="text1"/>
                <w:kern w:val="0"/>
                <w:sz w:val="20"/>
                <w:lang w:bidi="ar"/>
                <w14:textFill>
                  <w14:solidFill>
                    <w14:schemeClr w14:val="tx1"/>
                  </w14:solidFill>
                </w14:textFill>
              </w:rPr>
              <w:t>万元</w:t>
            </w: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63FFE56">
            <w:pPr>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405B3D">
            <w:pPr>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465"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75D599">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1.66</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EBD3D5">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1.58</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3907D0">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1.57</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71FEEB">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1.46</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CFD563">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1.31</w:t>
            </w:r>
          </w:p>
        </w:tc>
        <w:tc>
          <w:tcPr>
            <w:tcW w:w="508"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BEE71BD">
            <w:pPr>
              <w:widowControl/>
              <w:numPr>
                <w:ilvl w:val="255"/>
                <w:numId w:val="0"/>
              </w:num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1.31</w:t>
            </w:r>
          </w:p>
        </w:tc>
      </w:tr>
    </w:tbl>
    <w:p w14:paraId="3EAF15BB">
      <w:pPr>
        <w:widowControl/>
        <w:spacing w:line="560" w:lineRule="exact"/>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4C24FD56">
      <w:pPr>
        <w:widowControl/>
        <w:spacing w:line="560" w:lineRule="exact"/>
        <w:outlineLvl w:val="0"/>
        <w:rPr>
          <w:rFonts w:ascii="Times New Roman Regular" w:hAnsi="Times New Roman Regular" w:eastAsia="方正公文小标宋" w:cs="Times New Roman Regular"/>
          <w:color w:val="000000" w:themeColor="text1"/>
          <w:sz w:val="28"/>
          <w:szCs w:val="28"/>
          <w14:textFill>
            <w14:solidFill>
              <w14:schemeClr w14:val="tx1"/>
            </w14:solidFill>
          </w14:textFill>
        </w:rPr>
      </w:pPr>
      <w:bookmarkStart w:id="152" w:name="_Toc1036986357"/>
      <w:bookmarkStart w:id="153" w:name="_Toc1344641170"/>
      <w:bookmarkStart w:id="154" w:name="_Toc1061323604"/>
      <w:bookmarkStart w:id="155" w:name="_Toc1888849081"/>
      <w:bookmarkStart w:id="156" w:name="_Toc11641"/>
      <w:r>
        <w:rPr>
          <w:rFonts w:ascii="Times New Roman Regular" w:hAnsi="Times New Roman Regular" w:eastAsia="方正公文小标宋" w:cs="Times New Roman Regular"/>
          <w:color w:val="000000" w:themeColor="text1"/>
          <w:sz w:val="28"/>
          <w:szCs w:val="28"/>
          <w14:textFill>
            <w14:solidFill>
              <w14:schemeClr w14:val="tx1"/>
            </w14:solidFill>
          </w14:textFill>
        </w:rPr>
        <w:t>六、低碳发展实施路径</w:t>
      </w:r>
      <w:bookmarkEnd w:id="152"/>
      <w:bookmarkEnd w:id="153"/>
      <w:bookmarkEnd w:id="154"/>
      <w:bookmarkEnd w:id="155"/>
      <w:bookmarkEnd w:id="156"/>
    </w:p>
    <w:p w14:paraId="36859ACF">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157" w:name="_Toc1799906694"/>
      <w:bookmarkStart w:id="158" w:name="_Toc666640446"/>
      <w:bookmarkStart w:id="159" w:name="_Toc5681"/>
      <w:bookmarkStart w:id="160" w:name="_Toc1413726809"/>
      <w:bookmarkStart w:id="161" w:name="_Toc1783234413"/>
      <w:r>
        <w:rPr>
          <w:rFonts w:ascii="Times New Roman Regular" w:hAnsi="Times New Roman Regular" w:eastAsia="黑体" w:cs="Times New Roman Regular"/>
          <w:color w:val="000000" w:themeColor="text1"/>
          <w:sz w:val="28"/>
          <w:szCs w:val="28"/>
          <w:lang w:bidi="ar"/>
          <w14:textFill>
            <w14:solidFill>
              <w14:schemeClr w14:val="tx1"/>
            </w14:solidFill>
          </w14:textFill>
        </w:rPr>
        <w:t>6.1 低碳业务总体实施路径</w:t>
      </w:r>
      <w:bookmarkEnd w:id="157"/>
      <w:bookmarkEnd w:id="158"/>
      <w:bookmarkEnd w:id="159"/>
      <w:bookmarkEnd w:id="160"/>
      <w:bookmarkEnd w:id="161"/>
    </w:p>
    <w:p w14:paraId="4FBAD6B5">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石油化工企业实施绿色低碳发展不仅是应对能源安全、构建资源节约和环境友好型社会及生态文明建设的需要，更是能源转型和实现“双碳”目标的必然选择。</w:t>
      </w:r>
    </w:p>
    <w:p w14:paraId="12850C81">
      <w:pPr>
        <w:widowControl/>
        <w:jc w:val="center"/>
        <w:rPr>
          <w:rFonts w:ascii="Times New Roman Regular" w:hAnsi="Times New Roman Regular" w:eastAsia="黑体" w:cs="Times New Roman Regular"/>
          <w:color w:val="000000" w:themeColor="text1"/>
          <w:sz w:val="28"/>
          <w:szCs w:val="28"/>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1</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低碳产业时间表与路线图</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1"/>
        <w:gridCol w:w="2367"/>
        <w:gridCol w:w="1704"/>
        <w:gridCol w:w="1705"/>
        <w:gridCol w:w="1705"/>
      </w:tblGrid>
      <w:tr w14:paraId="649B1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vAlign w:val="center"/>
          </w:tcPr>
          <w:p w14:paraId="76755BEE">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内容</w:t>
            </w:r>
          </w:p>
        </w:tc>
        <w:tc>
          <w:tcPr>
            <w:tcW w:w="2367" w:type="dxa"/>
            <w:vAlign w:val="center"/>
          </w:tcPr>
          <w:p w14:paraId="4DB31276">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2021</w:t>
            </w: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2030年</w:t>
            </w:r>
          </w:p>
        </w:tc>
        <w:tc>
          <w:tcPr>
            <w:tcW w:w="1704" w:type="dxa"/>
            <w:vAlign w:val="center"/>
          </w:tcPr>
          <w:p w14:paraId="0C11E7B3">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2030-2040年</w:t>
            </w:r>
          </w:p>
        </w:tc>
        <w:tc>
          <w:tcPr>
            <w:tcW w:w="1705" w:type="dxa"/>
            <w:vAlign w:val="center"/>
          </w:tcPr>
          <w:p w14:paraId="16D7979A">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2040</w:t>
            </w: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2050年</w:t>
            </w:r>
          </w:p>
        </w:tc>
        <w:tc>
          <w:tcPr>
            <w:tcW w:w="1705" w:type="dxa"/>
            <w:vAlign w:val="center"/>
          </w:tcPr>
          <w:p w14:paraId="50CB24D8">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2050</w:t>
            </w: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2060年</w:t>
            </w:r>
          </w:p>
        </w:tc>
      </w:tr>
      <w:tr w14:paraId="58BF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vAlign w:val="center"/>
          </w:tcPr>
          <w:p w14:paraId="7B7D7B90">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产业结构调整</w:t>
            </w:r>
          </w:p>
        </w:tc>
        <w:tc>
          <w:tcPr>
            <w:tcW w:w="2367" w:type="dxa"/>
            <w:vAlign w:val="center"/>
          </w:tcPr>
          <w:p w14:paraId="0C88553A">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汽柴油消费稳步下降</w:t>
            </w:r>
          </w:p>
          <w:p w14:paraId="78560FFD">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煤油消费持续增加；受航空需求拉动到2040年前一直增加；</w:t>
            </w:r>
          </w:p>
          <w:p w14:paraId="10332A30">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乙烯自给率上升到70%；</w:t>
            </w:r>
          </w:p>
        </w:tc>
        <w:tc>
          <w:tcPr>
            <w:tcW w:w="1704" w:type="dxa"/>
            <w:vAlign w:val="center"/>
          </w:tcPr>
          <w:p w14:paraId="550EE9BB">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汽柴油消费稳步下降；</w:t>
            </w:r>
          </w:p>
          <w:p w14:paraId="71C94295">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煤油消费持续增加；</w:t>
            </w:r>
          </w:p>
          <w:p w14:paraId="027B149D">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乙烯当量自给率保持在70%；</w:t>
            </w:r>
          </w:p>
        </w:tc>
        <w:tc>
          <w:tcPr>
            <w:tcW w:w="1705" w:type="dxa"/>
            <w:vAlign w:val="center"/>
          </w:tcPr>
          <w:p w14:paraId="49E3F30A">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●汽柴油消费稳步下降；</w:t>
            </w:r>
          </w:p>
          <w:p w14:paraId="62DDA674">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●煤油消费基本平稳；</w:t>
            </w:r>
          </w:p>
          <w:p w14:paraId="2E49F08F">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●乙烯当量自给率保持在70%</w:t>
            </w:r>
          </w:p>
        </w:tc>
        <w:tc>
          <w:tcPr>
            <w:tcW w:w="1705" w:type="dxa"/>
            <w:vAlign w:val="center"/>
          </w:tcPr>
          <w:p w14:paraId="1A925840">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●汽柴油消费稳步下降；</w:t>
            </w:r>
          </w:p>
          <w:p w14:paraId="3C48B0DA">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●煤油消费开始下降；</w:t>
            </w:r>
          </w:p>
          <w:p w14:paraId="0132B6C8">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●乙烯自给率保持在70%</w:t>
            </w:r>
          </w:p>
        </w:tc>
      </w:tr>
      <w:tr w14:paraId="61D54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vAlign w:val="center"/>
          </w:tcPr>
          <w:p w14:paraId="65A6AB8F">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轻质原料替代</w:t>
            </w:r>
          </w:p>
        </w:tc>
        <w:tc>
          <w:tcPr>
            <w:tcW w:w="2367" w:type="dxa"/>
            <w:vAlign w:val="center"/>
          </w:tcPr>
          <w:p w14:paraId="43AC96A2">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非石脑油路线乙烯达到25%</w:t>
            </w:r>
          </w:p>
        </w:tc>
        <w:tc>
          <w:tcPr>
            <w:tcW w:w="1704" w:type="dxa"/>
            <w:vAlign w:val="center"/>
          </w:tcPr>
          <w:p w14:paraId="55C925AC">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非石脑油路线乙烯达到30%</w:t>
            </w:r>
          </w:p>
        </w:tc>
        <w:tc>
          <w:tcPr>
            <w:tcW w:w="1705" w:type="dxa"/>
            <w:vAlign w:val="center"/>
          </w:tcPr>
          <w:p w14:paraId="0AE528CC">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●非石脑油路线乙烯达到35%</w:t>
            </w:r>
          </w:p>
        </w:tc>
        <w:tc>
          <w:tcPr>
            <w:tcW w:w="1705" w:type="dxa"/>
            <w:vAlign w:val="center"/>
          </w:tcPr>
          <w:p w14:paraId="5B055426">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●非石脑油路线乙烯达到40%</w:t>
            </w:r>
          </w:p>
        </w:tc>
      </w:tr>
      <w:tr w14:paraId="139FB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vAlign w:val="center"/>
          </w:tcPr>
          <w:p w14:paraId="030C6539">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节能降耗</w:t>
            </w:r>
          </w:p>
        </w:tc>
        <w:tc>
          <w:tcPr>
            <w:tcW w:w="2367" w:type="dxa"/>
            <w:vAlign w:val="center"/>
          </w:tcPr>
          <w:p w14:paraId="3539909F">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100%产能达到目前的能耗标杆值或者先进值要求</w:t>
            </w:r>
          </w:p>
        </w:tc>
        <w:tc>
          <w:tcPr>
            <w:tcW w:w="1704" w:type="dxa"/>
            <w:vAlign w:val="center"/>
          </w:tcPr>
          <w:p w14:paraId="141E6424">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重点产品单位能耗比2030年下降4%</w:t>
            </w:r>
          </w:p>
        </w:tc>
        <w:tc>
          <w:tcPr>
            <w:tcW w:w="1705" w:type="dxa"/>
            <w:vAlign w:val="center"/>
          </w:tcPr>
          <w:p w14:paraId="5AABB9AB">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●重点产品单位能耗比2040年下降4%</w:t>
            </w:r>
          </w:p>
        </w:tc>
        <w:tc>
          <w:tcPr>
            <w:tcW w:w="1705" w:type="dxa"/>
            <w:vAlign w:val="center"/>
          </w:tcPr>
          <w:p w14:paraId="27F073B1">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●重点产品单位能耗比2050年下降4%</w:t>
            </w:r>
          </w:p>
        </w:tc>
      </w:tr>
      <w:tr w14:paraId="3C13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vAlign w:val="center"/>
          </w:tcPr>
          <w:p w14:paraId="77390AC0">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发展绿氢</w:t>
            </w:r>
          </w:p>
        </w:tc>
        <w:tc>
          <w:tcPr>
            <w:tcW w:w="2367" w:type="dxa"/>
            <w:vAlign w:val="center"/>
          </w:tcPr>
          <w:p w14:paraId="6EB175B2">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绿氢使用达到30万吨/年</w:t>
            </w:r>
          </w:p>
        </w:tc>
        <w:tc>
          <w:tcPr>
            <w:tcW w:w="1704" w:type="dxa"/>
            <w:vAlign w:val="center"/>
          </w:tcPr>
          <w:p w14:paraId="7B3738A0">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绿氢使用达到50万/年</w:t>
            </w:r>
          </w:p>
        </w:tc>
        <w:tc>
          <w:tcPr>
            <w:tcW w:w="1705" w:type="dxa"/>
            <w:vAlign w:val="center"/>
          </w:tcPr>
          <w:p w14:paraId="282C0A32">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●绿氢使用达到100万吨/年</w:t>
            </w:r>
          </w:p>
        </w:tc>
        <w:tc>
          <w:tcPr>
            <w:tcW w:w="1705" w:type="dxa"/>
            <w:vAlign w:val="center"/>
          </w:tcPr>
          <w:p w14:paraId="6DED8DB7">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●绿氢使用达到超过300万吨/年</w:t>
            </w:r>
          </w:p>
        </w:tc>
      </w:tr>
      <w:tr w14:paraId="7802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vAlign w:val="center"/>
          </w:tcPr>
          <w:p w14:paraId="72FFFA02">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深度电气化</w:t>
            </w:r>
          </w:p>
        </w:tc>
        <w:tc>
          <w:tcPr>
            <w:tcW w:w="2367" w:type="dxa"/>
            <w:vAlign w:val="center"/>
          </w:tcPr>
          <w:p w14:paraId="2CC322F9">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动设备电气化率达到80%；</w:t>
            </w:r>
          </w:p>
          <w:p w14:paraId="60E91063">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电加热蒸汽裂解等工艺过程深度电气化技术开始示范。</w:t>
            </w:r>
          </w:p>
        </w:tc>
        <w:tc>
          <w:tcPr>
            <w:tcW w:w="1704" w:type="dxa"/>
            <w:vAlign w:val="center"/>
          </w:tcPr>
          <w:p w14:paraId="0FB43527">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动设备电气化率达到100%；</w:t>
            </w:r>
          </w:p>
          <w:p w14:paraId="55721E1C">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电加热蒸汽裂解等工艺过程深度电气化技术开始应用</w:t>
            </w:r>
          </w:p>
        </w:tc>
        <w:tc>
          <w:tcPr>
            <w:tcW w:w="1705" w:type="dxa"/>
            <w:vAlign w:val="center"/>
          </w:tcPr>
          <w:p w14:paraId="16D9E448">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●动设备电气化率达到100%；电加热蒸汽裂解等工艺过程深度电气化技术开始推广</w:t>
            </w:r>
          </w:p>
        </w:tc>
        <w:tc>
          <w:tcPr>
            <w:tcW w:w="1705" w:type="dxa"/>
            <w:vAlign w:val="center"/>
          </w:tcPr>
          <w:p w14:paraId="02F1CE09">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●动设备电气化率达到100%；电加热蒸汽裂解等工艺过程深度电气化技术占比达到三分之一</w:t>
            </w:r>
          </w:p>
        </w:tc>
      </w:tr>
      <w:tr w14:paraId="4DFC2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41" w:type="dxa"/>
            <w:vAlign w:val="center"/>
          </w:tcPr>
          <w:p w14:paraId="248446EC">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CCUS</w:t>
            </w:r>
          </w:p>
        </w:tc>
        <w:tc>
          <w:tcPr>
            <w:tcW w:w="2367" w:type="dxa"/>
            <w:vAlign w:val="center"/>
          </w:tcPr>
          <w:p w14:paraId="0202B53E">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捕集利用500万吨CO</w:t>
            </w:r>
            <w:r>
              <w:rPr>
                <w:rFonts w:ascii="Times New Roman Regular" w:hAnsi="Times New Roman Regular" w:eastAsia="华文楷体" w:cs="Times New Roman Regular"/>
                <w:bCs/>
                <w:color w:val="000000" w:themeColor="text1"/>
                <w:kern w:val="0"/>
                <w:sz w:val="20"/>
                <w:szCs w:val="21"/>
                <w:vertAlign w:val="subscript"/>
                <w14:textFill>
                  <w14:solidFill>
                    <w14:schemeClr w14:val="tx1"/>
                  </w14:solidFill>
                </w14:textFill>
              </w:rPr>
              <w:t>2</w:t>
            </w:r>
          </w:p>
        </w:tc>
        <w:tc>
          <w:tcPr>
            <w:tcW w:w="1704" w:type="dxa"/>
            <w:vAlign w:val="center"/>
          </w:tcPr>
          <w:p w14:paraId="7420DC5C">
            <w:pPr>
              <w:widowControl/>
              <w:numPr>
                <w:ilvl w:val="255"/>
                <w:numId w:val="0"/>
              </w:num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宋体" w:cs="Times New Roman Regular"/>
                <w:bCs/>
                <w:color w:val="000000" w:themeColor="text1"/>
                <w:kern w:val="0"/>
                <w:sz w:val="20"/>
                <w:szCs w:val="21"/>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捕集利用1000万吨CO</w:t>
            </w:r>
            <w:r>
              <w:rPr>
                <w:rFonts w:ascii="Times New Roman Regular" w:hAnsi="Times New Roman Regular" w:eastAsia="华文楷体" w:cs="Times New Roman Regular"/>
                <w:bCs/>
                <w:color w:val="000000" w:themeColor="text1"/>
                <w:kern w:val="0"/>
                <w:sz w:val="20"/>
                <w:szCs w:val="21"/>
                <w:vertAlign w:val="subscript"/>
                <w14:textFill>
                  <w14:solidFill>
                    <w14:schemeClr w14:val="tx1"/>
                  </w14:solidFill>
                </w14:textFill>
              </w:rPr>
              <w:t>2</w:t>
            </w:r>
          </w:p>
        </w:tc>
        <w:tc>
          <w:tcPr>
            <w:tcW w:w="1705" w:type="dxa"/>
            <w:vAlign w:val="center"/>
          </w:tcPr>
          <w:p w14:paraId="7A6C4978">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●捕集利用2000万吨CO</w:t>
            </w:r>
            <w:r>
              <w:rPr>
                <w:rFonts w:ascii="Times New Roman Regular" w:hAnsi="Times New Roman Regular" w:eastAsia="华文楷体" w:cs="Times New Roman Regular"/>
                <w:bCs/>
                <w:color w:val="000000" w:themeColor="text1"/>
                <w:kern w:val="0"/>
                <w:sz w:val="20"/>
                <w:szCs w:val="21"/>
                <w:vertAlign w:val="subscript"/>
                <w14:textFill>
                  <w14:solidFill>
                    <w14:schemeClr w14:val="tx1"/>
                  </w14:solidFill>
                </w14:textFill>
              </w:rPr>
              <w:t>2</w:t>
            </w:r>
          </w:p>
        </w:tc>
        <w:tc>
          <w:tcPr>
            <w:tcW w:w="1705" w:type="dxa"/>
            <w:vAlign w:val="center"/>
          </w:tcPr>
          <w:p w14:paraId="041C76FB">
            <w:pPr>
              <w:widowControl/>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●年均捕集利用3000万吨CO</w:t>
            </w:r>
            <w:r>
              <w:rPr>
                <w:rFonts w:ascii="Times New Roman Regular" w:hAnsi="Times New Roman Regular" w:eastAsia="华文楷体" w:cs="Times New Roman Regular"/>
                <w:bCs/>
                <w:color w:val="000000" w:themeColor="text1"/>
                <w:kern w:val="0"/>
                <w:sz w:val="20"/>
                <w:szCs w:val="21"/>
                <w:vertAlign w:val="subscript"/>
                <w14:textFill>
                  <w14:solidFill>
                    <w14:schemeClr w14:val="tx1"/>
                  </w14:solidFill>
                </w14:textFill>
              </w:rPr>
              <w:t>2</w:t>
            </w:r>
          </w:p>
        </w:tc>
      </w:tr>
    </w:tbl>
    <w:p w14:paraId="21778EF5">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碳元素是石化化工行业最重要的物质和能量基础，我国石油和化工行业绿色低碳发展的结构性、根源性、趋势性压力总体上仍然存在，面对更高的节能减排压力及行业发展的现实需要，结合中国中化碳达峰行动方案以及中国石化行业碳减排的路径规划，中化能源的低碳转型路径将从以下关键路径展开。</w:t>
      </w:r>
    </w:p>
    <w:p w14:paraId="228A73A8">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6.1.1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产业结构和布局优化</w:t>
      </w:r>
    </w:p>
    <w:p w14:paraId="6FD51714">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推进产业结构布局调整</w:t>
      </w:r>
      <w:r>
        <w:rPr>
          <w:rFonts w:ascii="Times New Roman Regular" w:hAnsi="Times New Roman Regular" w:eastAsia="仿宋_GB2312" w:cs="Times New Roman Regular"/>
          <w:color w:val="000000" w:themeColor="text1"/>
          <w:sz w:val="28"/>
          <w:szCs w:val="28"/>
          <w14:textFill>
            <w14:solidFill>
              <w14:schemeClr w14:val="tx1"/>
            </w14:solidFill>
          </w14:textFill>
        </w:rPr>
        <w:t>：推进布局低碳化，利用集约集聚的优势发展，在现有炼油能力基础上，通过延伸芳烃、乙烯等产业链，建设炼化一体化进一步提高原油加工深度，提升产品附加值，实现原油资源综合利用和经济效益最大化，形成高附加值的绿色低碳能源业务产业链，提升单位碳耗的产出，实现有限碳资源的高效利用。</w:t>
      </w:r>
    </w:p>
    <w:p w14:paraId="0705B0EF">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优化原料结构及流程</w:t>
      </w:r>
      <w:r>
        <w:rPr>
          <w:rFonts w:ascii="Times New Roman Regular" w:hAnsi="Times New Roman Regular" w:eastAsia="仿宋_GB2312" w:cs="Times New Roman Regular"/>
          <w:color w:val="000000" w:themeColor="text1"/>
          <w:sz w:val="28"/>
          <w:szCs w:val="28"/>
          <w14:textFill>
            <w14:solidFill>
              <w14:schemeClr w14:val="tx1"/>
            </w14:solidFill>
          </w14:textFill>
        </w:rPr>
        <w:t>：推进原料结构轻质化，通过包括绿氢、天然气、乙烷、丙烷等在内的低碳原料扩大烯烃等基础原料生产，实现降耗减排；积极发展生物燃料产能，实现能源多元化供应；炼化总流程向炼化一体化、短加工流程、生产特色产品、能源高效利用和实现碳排放降低等方向转变。</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针对泉州重油加工改造项目，研究重油低成本生产化工品低碳加工流程方案，降低重油加氢耗氢，降低催化裂化烧焦等关键环节二氧化碳排放。</w:t>
      </w:r>
    </w:p>
    <w:p w14:paraId="3BC9609A">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6.1.2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能源绿色低碳转型</w:t>
      </w:r>
    </w:p>
    <w:p w14:paraId="17840617">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优化能源利用结构</w:t>
      </w:r>
      <w:r>
        <w:rPr>
          <w:rFonts w:ascii="Times New Roman Regular" w:hAnsi="Times New Roman Regular" w:eastAsia="仿宋_GB2312" w:cs="Times New Roman Regular"/>
          <w:color w:val="000000" w:themeColor="text1"/>
          <w:sz w:val="28"/>
          <w:szCs w:val="28"/>
          <w14:textFill>
            <w14:solidFill>
              <w14:schemeClr w14:val="tx1"/>
            </w14:solidFill>
          </w14:textFill>
        </w:rPr>
        <w:t>：推进深度电气化，不断提高工艺装置电气化率，实现能源结构低碳变革，在自备热电装置满足部分供热及供电需求的基础上，提高电气化程度，加强公用工程和工艺过程的电气化深度；基于基地周边发展新能源产业的基础条件，拓展可在可再生能源的获取渠道及应用场景，形成绿色低碳的能源系统架构；研究推进绿氢绿电耦合替代化石能源，重构炼化业务能源供给体系。</w:t>
      </w:r>
    </w:p>
    <w:p w14:paraId="5C7B1C01">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6.1.3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资源节约和高效利用</w:t>
      </w:r>
    </w:p>
    <w:p w14:paraId="7862A836">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强化能效技术提升应用：</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大力推进系统能效革命，广泛推广应用成熟且具备经济性的节能降碳技术。对存量产能进行全面的提质挖潜，通过技术改造与设备升级，提高生产效率，降低能源消耗。大规模引入智能化技术，构建智能化能源管理系统，实现对能源消耗的精准监控与控制。加强高温和低温设备的保温改造，减少热量散失，避免能量损耗。积极开展废热、余压综合利用，重点应用高效换热器技术、烟气余热回收利用技术等，将原本废弃的热量转化为可利用的能源，有效减少燃料气消耗，提高能源综合利用率</w:t>
      </w:r>
    </w:p>
    <w:p w14:paraId="2513FE18">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6.1.4 绿色低碳循环化改造</w:t>
      </w:r>
    </w:p>
    <w:p w14:paraId="1583BADD">
      <w:pPr>
        <w:widowControl/>
        <w:spacing w:line="560" w:lineRule="exact"/>
        <w:ind w:firstLine="562"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t>推动“无废集团”建设：</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以“减量化、资源化、无害化”为核心，组织相关试点单位推动危废减量、资源利用项目，巩固并提升固体废物治理体系和治理能力水平，通过优化生产工艺，从源头减少废物产生；采用先进的处理技术，将废物转化为可再利用的资源；对无法利用的废物进行无害化处理，巩固并提升固体废物治理体系和治理能力水平。通过一系列措施推动废物产生减量化、废物使用资源化、废物利用最大化，实现企业生产过程的绿色低碳循环发展。</w:t>
      </w:r>
    </w:p>
    <w:p w14:paraId="2DD7467B">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6.1.5 数字化智能化提升</w:t>
      </w:r>
    </w:p>
    <w:p w14:paraId="1518AC7A">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技术创新与数字化赋能：</w:t>
      </w:r>
      <w:r>
        <w:rPr>
          <w:rFonts w:ascii="Times New Roman Regular" w:hAnsi="Times New Roman Regular" w:eastAsia="仿宋_GB2312" w:cs="Times New Roman Regular"/>
          <w:color w:val="000000" w:themeColor="text1"/>
          <w:sz w:val="28"/>
          <w:szCs w:val="28"/>
          <w14:textFill>
            <w14:solidFill>
              <w14:schemeClr w14:val="tx1"/>
            </w14:solidFill>
          </w14:textFill>
        </w:rPr>
        <w:t>建立与生产管理系统兼容的能耗和碳排放管理系统，实时监控能源及碳排放数据；在生产运营优化方面，推动生产过程数据挖掘，实现生产工艺、质量、效率能耗全方面优化。</w:t>
      </w:r>
    </w:p>
    <w:p w14:paraId="4495B3AF">
      <w:pPr>
        <w:widowControl/>
        <w:spacing w:line="560" w:lineRule="exact"/>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p>
    <w:p w14:paraId="3B562393">
      <w:pPr>
        <w:widowControl/>
        <w:snapToGrid w:val="0"/>
        <w:spacing w:before="156" w:beforeLines="50" w:after="156" w:afterLines="50" w:line="560" w:lineRule="exact"/>
        <w:outlineLvl w:val="2"/>
        <w:rPr>
          <w:rFonts w:ascii="微软雅黑" w:hAnsi="微软雅黑" w:eastAsia="微软雅黑" w:cs="微软雅黑"/>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6.1.6 </w:t>
      </w:r>
      <w:commentRangeStart w:id="10"/>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绿色低碳科技创新</w:t>
      </w:r>
      <w:commentRangeEnd w:id="10"/>
      <w:r>
        <w:commentReference w:id="10"/>
      </w:r>
    </w:p>
    <w:p w14:paraId="5AC82FA7">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ab/>
      </w:r>
      <w:r>
        <w:rPr>
          <w:rFonts w:hint="eastAsia" w:ascii="Times New Roman Regular" w:hAnsi="Times New Roman Regular" w:eastAsia="仿宋_GB2312" w:cs="Times New Roman Regular"/>
          <w:color w:val="FF0000"/>
          <w:sz w:val="28"/>
          <w:szCs w:val="28"/>
        </w:rPr>
        <w:t>推进低碳技术创新与应用</w:t>
      </w:r>
      <w:r>
        <w:rPr>
          <w:rFonts w:hint="eastAsia" w:ascii="Times New Roman Regular" w:hAnsi="Times New Roman Regular" w:eastAsia="仿宋_GB2312" w:cs="Times New Roman Regular"/>
          <w:color w:val="FF0000"/>
          <w:sz w:val="28"/>
          <w:szCs w:val="28"/>
          <w:lang w:eastAsia="zh-CN"/>
        </w:rPr>
        <w:t>，</w:t>
      </w:r>
      <w:r>
        <w:rPr>
          <w:rFonts w:ascii="Times New Roman Regular" w:hAnsi="Times New Roman Regular" w:eastAsia="仿宋_GB2312" w:cs="Times New Roman Regular"/>
          <w:color w:val="000000" w:themeColor="text1"/>
          <w:sz w:val="28"/>
          <w:szCs w:val="28"/>
          <w14:textFill>
            <w14:solidFill>
              <w14:schemeClr w14:val="tx1"/>
            </w14:solidFill>
          </w14:textFill>
        </w:rPr>
        <w:t>技术进步是实现深度减排的核心驱动力。中化能源将加大绿色低碳技术研发和投入，构建多元化的低碳技术布局。首先，在能源消费侧，大幅提升绿色电力使用比例。通过自建分布式光伏、电力现货市场购入可再生能源电力等方式，力争“十四五”末和“十五五”期间可再生能源电力占用电量比重持续提高，降低间接碳排放。其次，在燃料替代方面，积极发展氢能产业链。充分利用炼化副产氢富裕的优势，扩大氢气在园区内燃料和原料中的应用，探索制氢技术由灰氢向蓝氢、绿氢转型，在条件成熟时部署电解水制氢等前沿项目，培育氢能在炼厂燃料替代和运输物流中的示范应用。部署碳捕集利用与封存（CCUS）技术</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w:t>
      </w:r>
      <w:r>
        <w:rPr>
          <w:rFonts w:ascii="Times New Roman Regular" w:hAnsi="Times New Roman Regular" w:eastAsia="仿宋_GB2312" w:cs="Times New Roman Regular"/>
          <w:color w:val="000000" w:themeColor="text1"/>
          <w:sz w:val="28"/>
          <w:szCs w:val="28"/>
          <w14:textFill>
            <w14:solidFill>
              <w14:schemeClr w14:val="tx1"/>
            </w14:solidFill>
          </w14:textFill>
        </w:rPr>
        <w:t>在现有二氧化碳捕集利用项目基础上，进一步开展大规模碳捕集示范，评估在炼油排放源安装碳捕集装置的可行性，并与有资质的机构合作研究封存方案。同步推进捕集的CO</w:t>
      </w:r>
      <w:r>
        <w:rPr>
          <w:rFonts w:hint="eastAsia" w:ascii="Times New Roman Regular" w:hAnsi="Times New Roman Regular" w:eastAsia="仿宋_GB2312" w:cs="Times New Roman Regular"/>
          <w:color w:val="000000" w:themeColor="text1"/>
          <w:sz w:val="28"/>
          <w:szCs w:val="28"/>
          <w:vertAlign w:val="subscript"/>
          <w14:textFill>
            <w14:solidFill>
              <w14:schemeClr w14:val="tx1"/>
            </w14:solidFill>
          </w14:textFill>
        </w:rPr>
        <w:t>2</w:t>
      </w:r>
      <w:r>
        <w:rPr>
          <w:rFonts w:ascii="Times New Roman Regular" w:hAnsi="Times New Roman Regular" w:eastAsia="仿宋_GB2312" w:cs="Times New Roman Regular"/>
          <w:color w:val="000000" w:themeColor="text1"/>
          <w:sz w:val="28"/>
          <w:szCs w:val="28"/>
          <w14:textFill>
            <w14:solidFill>
              <w14:schemeClr w14:val="tx1"/>
            </w14:solidFill>
          </w14:textFill>
        </w:rPr>
        <w:t>在化工合成中的利用，逐步提高碳资源循环利用率。第四，深入挖掘工艺流程优化潜力和智能化运营提升空间。运用工业互联网、人工智能和大数据分析手段，对关键装置实行智能控制和能效优化，实现生产过程的实时优化调度和综合能耗最小化。通过流程强化和设备改造（如余热余压利用、低温余热发电等），进一步降低单位产品能耗。总之，公司将把技术创新贯穿于生产经营全过程，不断突破减排技术瓶颈，形成支撑未来碳中和的技术体系。</w:t>
      </w:r>
    </w:p>
    <w:p w14:paraId="1F935393">
      <w:pPr>
        <w:widowControl/>
        <w:spacing w:line="560" w:lineRule="exact"/>
        <w:ind w:firstLine="560" w:firstLineChars="200"/>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41FB3E19">
      <w:pPr>
        <w:widowControl/>
        <w:snapToGrid w:val="0"/>
        <w:spacing w:before="156" w:beforeLines="50" w:after="156" w:afterLines="50" w:line="560" w:lineRule="exact"/>
        <w:ind w:firstLine="0" w:firstLineChars="0"/>
        <w:outlineLvl w:val="9"/>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p>
    <w:p w14:paraId="247DAB82">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6.1.7 绿色低碳供应链管理</w:t>
      </w:r>
    </w:p>
    <w:p w14:paraId="75709FFA">
      <w:pPr>
        <w:widowControl/>
        <w:spacing w:line="560" w:lineRule="exact"/>
        <w:ind w:firstLine="562" w:firstLineChars="200"/>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sz w:val="28"/>
          <w:szCs w:val="28"/>
          <w:lang w:bidi="ar"/>
          <w14:textFill>
            <w14:solidFill>
              <w14:schemeClr w14:val="tx1"/>
            </w14:solidFill>
          </w14:textFill>
        </w:rPr>
        <w:t>推进供应商绿色低碳管理：</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考虑将节能低碳因素纳入供应商考核范围，要求供应商具有良好的安全环保健康管理体系以及突发环境事件，建立统一的绿色低碳采购制度，将</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碳足迹、绿色工厂等绿色认证纳入供应商考核体系内。</w:t>
      </w:r>
    </w:p>
    <w:p w14:paraId="335DF500">
      <w:pPr>
        <w:widowControl/>
        <w:spacing w:line="560" w:lineRule="exact"/>
        <w:ind w:firstLine="560" w:firstLineChars="200"/>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6312D5D2">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6.1.8 碳汇能力巩固提升</w:t>
      </w:r>
    </w:p>
    <w:p w14:paraId="36A8DCDB">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CCUS与石化融合发展：</w:t>
      </w:r>
      <w:r>
        <w:rPr>
          <w:rFonts w:ascii="Times New Roman Regular" w:hAnsi="Times New Roman Regular" w:eastAsia="仿宋_GB2312" w:cs="Times New Roman Regular"/>
          <w:color w:val="000000" w:themeColor="text1"/>
          <w:sz w:val="28"/>
          <w:szCs w:val="28"/>
          <w14:textFill>
            <w14:solidFill>
              <w14:schemeClr w14:val="tx1"/>
            </w14:solidFill>
          </w14:textFill>
        </w:rPr>
        <w:t>根据二氧化碳来源及需求，识别炼油化工过程中重点高排放源，考虑在排放端研究储备二氧化碳高效利用捕集技术，为后续利用和封存提供原料。</w:t>
      </w:r>
    </w:p>
    <w:p w14:paraId="4CD591DD">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二氧化碳化学利用：</w:t>
      </w:r>
      <w:r>
        <w:rPr>
          <w:rFonts w:ascii="Times New Roman Regular" w:hAnsi="Times New Roman Regular" w:eastAsia="仿宋_GB2312" w:cs="Times New Roman Regular"/>
          <w:color w:val="000000" w:themeColor="text1"/>
          <w:sz w:val="28"/>
          <w:szCs w:val="28"/>
          <w14:textFill>
            <w14:solidFill>
              <w14:schemeClr w14:val="tx1"/>
            </w14:solidFill>
          </w14:textFill>
        </w:rPr>
        <w:t>二氧化碳化学利用是化工行业实现碳资源利用的最大特色，考虑利用二氧化碳为原料生产高附加值产品，积极探索二氧化碳多元化利用技术路径。</w:t>
      </w:r>
    </w:p>
    <w:p w14:paraId="732BB61D">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6.1.9 绿色低碳能力建设</w:t>
      </w:r>
    </w:p>
    <w:p w14:paraId="5EBDE36F">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建立内部碳定价管理模式：</w:t>
      </w:r>
      <w:r>
        <w:rPr>
          <w:rFonts w:ascii="Times New Roman Regular" w:hAnsi="Times New Roman Regular" w:eastAsia="仿宋_GB2312" w:cs="Times New Roman Regular"/>
          <w:color w:val="000000" w:themeColor="text1"/>
          <w:sz w:val="28"/>
          <w:szCs w:val="28"/>
          <w14:textFill>
            <w14:solidFill>
              <w14:schemeClr w14:val="tx1"/>
            </w14:solidFill>
          </w14:textFill>
        </w:rPr>
        <w:t>建立自发式内控减排机制，将温室气体排放成本内化为单位碳排放量价格，根据业务目标场景综合利用影子价格、内部碳费、隐含碳价等定价模式，在内部形成多部门联动的碳减排运行模式，辅助低碳减排与节能提效。</w:t>
      </w:r>
    </w:p>
    <w:p w14:paraId="3028F797">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14:textFill>
            <w14:solidFill>
              <w14:schemeClr w14:val="tx1"/>
            </w14:solidFill>
          </w14:textFill>
        </w:rPr>
        <w:t>探索电-碳协同工程</w:t>
      </w:r>
      <w:r>
        <w:rPr>
          <w:rFonts w:ascii="Times New Roman Regular" w:hAnsi="Times New Roman Regular" w:eastAsia="仿宋_GB2312" w:cs="Times New Roman Regular"/>
          <w:color w:val="000000" w:themeColor="text1"/>
          <w:sz w:val="28"/>
          <w:szCs w:val="28"/>
          <w14:textFill>
            <w14:solidFill>
              <w14:schemeClr w14:val="tx1"/>
            </w14:solidFill>
          </w14:textFill>
        </w:rPr>
        <w:t>：建立绿电、绿证和CCER相关市场综合分析体系，研究利用公司外购绿电、绿证和CCER碳抵消模式，实现运营中碳中和与价值链降碳；研究绿电直供解决方案，减少企业对传统化石燃料的依赖，提前进行前期准备、市场分析、技术评估与选择工作。</w:t>
      </w:r>
    </w:p>
    <w:p w14:paraId="41CD4766">
      <w:pPr>
        <w:widowControl/>
        <w:spacing w:line="560" w:lineRule="exact"/>
        <w:ind w:firstLine="562"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hint="eastAsia" w:ascii="Times New Roman Regular" w:hAnsi="Times New Roman Regular" w:eastAsia="仿宋_GB2312" w:cs="Times New Roman Regular"/>
          <w:b/>
          <w:bCs/>
          <w:color w:val="000000" w:themeColor="text1"/>
          <w:sz w:val="28"/>
          <w:szCs w:val="28"/>
          <w14:textFill>
            <w14:solidFill>
              <w14:schemeClr w14:val="tx1"/>
            </w14:solidFill>
          </w14:textFill>
        </w:rPr>
        <w:t>强化绿色投资与碳金融能力：</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制定绿色投资规划，明确年度资本开支中用于低碳转型项目的比例，并设立专项团队对接绿色金融市场，通过发行绿色债券、争取政策性绿色基金等方式拓宽融资渠道；同步开展碳交易人才储备与内部碳资产盘点，建立碳成本情景模拟机制，为</w:t>
      </w:r>
      <w:r>
        <w:rPr>
          <w:rFonts w:hint="eastAsia" w:ascii="Times New Roman Regular" w:hAnsi="Times New Roman Regular" w:eastAsia="仿宋_GB2312" w:cs="Times New Roman Regular"/>
          <w:color w:val="000000" w:themeColor="text1"/>
          <w:sz w:val="28"/>
          <w:szCs w:val="28"/>
          <w:lang w:val="en-US" w:eastAsia="zh-CN"/>
          <w14:textFill>
            <w14:solidFill>
              <w14:schemeClr w14:val="tx1"/>
            </w14:solidFill>
          </w14:textFill>
        </w:rPr>
        <w:t>石化行业</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纳入全国碳交易体系提供决策支撑。</w:t>
      </w:r>
    </w:p>
    <w:p w14:paraId="3D81E3CB">
      <w:pPr>
        <w:widowControl/>
        <w:spacing w:line="560" w:lineRule="exact"/>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p>
    <w:p w14:paraId="385A3623">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62" w:name="_Toc1577154416"/>
      <w:bookmarkStart w:id="163" w:name="_Toc539001759"/>
      <w:bookmarkStart w:id="164" w:name="_Toc747408455"/>
      <w:bookmarkStart w:id="165" w:name="_Toc803789523"/>
      <w:bookmarkStart w:id="166" w:name="_Toc28763"/>
      <w:r>
        <w:rPr>
          <w:rFonts w:ascii="Times New Roman Regular" w:hAnsi="Times New Roman Regular" w:eastAsia="黑体" w:cs="Times New Roman Regular"/>
          <w:color w:val="000000" w:themeColor="text1"/>
          <w:sz w:val="28"/>
          <w:szCs w:val="28"/>
          <w:lang w:bidi="ar"/>
          <w14:textFill>
            <w14:solidFill>
              <w14:schemeClr w14:val="tx1"/>
            </w14:solidFill>
          </w14:textFill>
        </w:rPr>
        <w:t>6.2 绿色低碳产业规划</w:t>
      </w:r>
      <w:bookmarkEnd w:id="162"/>
      <w:bookmarkEnd w:id="163"/>
      <w:bookmarkEnd w:id="164"/>
      <w:bookmarkEnd w:id="165"/>
      <w:bookmarkEnd w:id="166"/>
    </w:p>
    <w:p w14:paraId="45B7C8DF">
      <w:pPr>
        <w:widowControl/>
        <w:spacing w:line="560" w:lineRule="exact"/>
        <w:outlineLvl w:val="9"/>
        <w:rPr>
          <w:rFonts w:ascii="Times New Roman Regular" w:hAnsi="Times New Roman Regular" w:eastAsia="黑体" w:cs="Times New Roman Regular"/>
          <w:color w:val="000000" w:themeColor="text1"/>
          <w:sz w:val="28"/>
          <w:szCs w:val="28"/>
          <w:lang w:bidi="ar"/>
          <w14:textFill>
            <w14:solidFill>
              <w14:schemeClr w14:val="tx1"/>
            </w14:solidFill>
          </w14:textFill>
        </w:rPr>
      </w:pPr>
    </w:p>
    <w:p w14:paraId="2781A2CB">
      <w:pPr>
        <w:widowControl/>
        <w:adjustRightInd w:val="0"/>
        <w:spacing w:line="600" w:lineRule="exact"/>
        <w:ind w:firstLine="400" w:firstLineChars="200"/>
        <w:jc w:val="center"/>
        <w:outlineLvl w:val="9"/>
        <w:rPr>
          <w:rFonts w:ascii="Times New Roman Regular" w:hAnsi="Times New Roman Regular" w:eastAsia="黑体" w:cs="Times New Roman Regular"/>
          <w:color w:val="000000" w:themeColor="text1"/>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主要利用场景与潜力估算（下游去项可根据实际情况选择）</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7"/>
        <w:gridCol w:w="2045"/>
        <w:gridCol w:w="1466"/>
        <w:gridCol w:w="1354"/>
        <w:gridCol w:w="1354"/>
        <w:gridCol w:w="1356"/>
        <w:tblGridChange w:id="0">
          <w:tblGrid>
            <w:gridCol w:w="947"/>
            <w:gridCol w:w="462"/>
            <w:gridCol w:w="10"/>
            <w:gridCol w:w="1401"/>
            <w:gridCol w:w="18"/>
            <w:gridCol w:w="154"/>
            <w:gridCol w:w="1466"/>
            <w:gridCol w:w="1354"/>
            <w:gridCol w:w="1354"/>
            <w:gridCol w:w="1356"/>
          </w:tblGrid>
        </w:tblGridChange>
      </w:tblGrid>
      <w:tr w14:paraId="78F81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000000" w:sz="6" w:space="0"/>
              <w:left w:val="single" w:color="000000" w:sz="6" w:space="0"/>
              <w:bottom w:val="single" w:color="999999" w:sz="6" w:space="0"/>
              <w:right w:val="single" w:color="999999" w:sz="6" w:space="0"/>
            </w:tcBorders>
            <w:shd w:val="clear" w:color="auto" w:fill="FFFFFF"/>
            <w:vAlign w:val="center"/>
          </w:tcPr>
          <w:p w14:paraId="660CEF1C">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p>
          <w:p w14:paraId="6965BD17">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p>
          <w:p w14:paraId="7A064C8B">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序号</w:t>
            </w:r>
          </w:p>
        </w:tc>
        <w:tc>
          <w:tcPr>
            <w:tcW w:w="2045" w:type="dxa"/>
            <w:tcBorders>
              <w:top w:val="single" w:color="000000" w:sz="6" w:space="0"/>
              <w:left w:val="single" w:color="999999" w:sz="6" w:space="0"/>
              <w:bottom w:val="single" w:color="999999" w:sz="6" w:space="0"/>
              <w:right w:val="single" w:color="999999" w:sz="6" w:space="0"/>
            </w:tcBorders>
            <w:shd w:val="clear" w:color="auto" w:fill="FFFFFF"/>
            <w:vAlign w:val="center"/>
          </w:tcPr>
          <w:p w14:paraId="6A72C1F9">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p>
          <w:p w14:paraId="4600643C">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p>
          <w:p w14:paraId="6CF41EB0">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项目名称</w:t>
            </w:r>
          </w:p>
        </w:tc>
        <w:tc>
          <w:tcPr>
            <w:tcW w:w="1466" w:type="dxa"/>
            <w:tcBorders>
              <w:top w:val="single" w:color="000000" w:sz="6" w:space="0"/>
              <w:left w:val="single" w:color="999999" w:sz="6" w:space="0"/>
              <w:bottom w:val="single" w:color="999999" w:sz="6" w:space="0"/>
              <w:right w:val="single" w:color="999999" w:sz="6" w:space="0"/>
            </w:tcBorders>
            <w:shd w:val="clear" w:color="auto" w:fill="FFFFFF"/>
            <w:vAlign w:val="center"/>
          </w:tcPr>
          <w:p w14:paraId="679BB888">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lang w:bidi="ar"/>
                <w14:textFill>
                  <w14:solidFill>
                    <w14:schemeClr w14:val="tx1"/>
                  </w14:solidFill>
                </w14:textFill>
              </w:rPr>
              <w:t>工业产值（可比价，万元）</w:t>
            </w:r>
          </w:p>
        </w:tc>
        <w:tc>
          <w:tcPr>
            <w:tcW w:w="1354" w:type="dxa"/>
            <w:tcBorders>
              <w:top w:val="single" w:color="000000" w:sz="6" w:space="0"/>
              <w:left w:val="single" w:color="999999" w:sz="6" w:space="0"/>
              <w:bottom w:val="single" w:color="999999" w:sz="6" w:space="0"/>
              <w:right w:val="single" w:color="999999" w:sz="6" w:space="0"/>
            </w:tcBorders>
            <w:shd w:val="clear" w:color="auto" w:fill="FFFFFF"/>
            <w:vAlign w:val="center"/>
          </w:tcPr>
          <w:p w14:paraId="6406795B">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lang w:bidi="ar"/>
                <w14:textFill>
                  <w14:solidFill>
                    <w14:schemeClr w14:val="tx1"/>
                  </w14:solidFill>
                </w14:textFill>
              </w:rPr>
              <w:t>碳排放</w:t>
            </w:r>
            <w:r>
              <w:rPr>
                <w:rFonts w:hint="default" w:ascii="Times New Roman" w:hAnsi="Times New Roman" w:eastAsia="华文楷体" w:cs="Times New Roman"/>
                <w:bCs/>
                <w:color w:val="000000" w:themeColor="text1"/>
                <w:kern w:val="0"/>
                <w:sz w:val="24"/>
                <w:szCs w:val="28"/>
                <w:lang w:val="en-US" w:eastAsia="zh-CN" w:bidi="ar"/>
                <w14:textFill>
                  <w14:solidFill>
                    <w14:schemeClr w14:val="tx1"/>
                  </w14:solidFill>
                </w14:textFill>
              </w:rPr>
              <w:t>影响</w:t>
            </w:r>
            <w:r>
              <w:rPr>
                <w:rFonts w:hint="default" w:ascii="Times New Roman" w:hAnsi="Times New Roman" w:eastAsia="华文楷体" w:cs="Times New Roman"/>
                <w:bCs/>
                <w:color w:val="000000" w:themeColor="text1"/>
                <w:kern w:val="0"/>
                <w:sz w:val="24"/>
                <w:szCs w:val="28"/>
                <w:lang w:bidi="ar"/>
                <w14:textFill>
                  <w14:solidFill>
                    <w14:schemeClr w14:val="tx1"/>
                  </w14:solidFill>
                </w14:textFill>
              </w:rPr>
              <w:t>（万吨）</w:t>
            </w:r>
          </w:p>
        </w:tc>
        <w:tc>
          <w:tcPr>
            <w:tcW w:w="1354" w:type="dxa"/>
            <w:tcBorders>
              <w:top w:val="single" w:color="000000" w:sz="6" w:space="0"/>
              <w:left w:val="single" w:color="999999" w:sz="6" w:space="0"/>
              <w:bottom w:val="single" w:color="999999" w:sz="6" w:space="0"/>
              <w:right w:val="single" w:color="000000" w:sz="6" w:space="0"/>
            </w:tcBorders>
            <w:shd w:val="clear" w:color="auto" w:fill="FFFFFF"/>
            <w:vAlign w:val="center"/>
          </w:tcPr>
          <w:p w14:paraId="19EE58EF">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lang w:bidi="ar"/>
                <w14:textFill>
                  <w14:solidFill>
                    <w14:schemeClr w14:val="tx1"/>
                  </w14:solidFill>
                </w14:textFill>
              </w:rPr>
              <w:t>能耗</w:t>
            </w:r>
            <w:r>
              <w:rPr>
                <w:rFonts w:hint="default" w:ascii="Times New Roman" w:hAnsi="Times New Roman" w:eastAsia="华文楷体" w:cs="Times New Roman"/>
                <w:bCs/>
                <w:color w:val="000000" w:themeColor="text1"/>
                <w:kern w:val="0"/>
                <w:sz w:val="24"/>
                <w:szCs w:val="28"/>
                <w:lang w:val="en-US" w:eastAsia="zh-CN" w:bidi="ar"/>
                <w14:textFill>
                  <w14:solidFill>
                    <w14:schemeClr w14:val="tx1"/>
                  </w14:solidFill>
                </w14:textFill>
              </w:rPr>
              <w:t>影响</w:t>
            </w:r>
            <w:r>
              <w:rPr>
                <w:rFonts w:hint="default" w:ascii="Times New Roman" w:hAnsi="Times New Roman" w:eastAsia="华文楷体" w:cs="Times New Roman"/>
                <w:bCs/>
                <w:color w:val="000000" w:themeColor="text1"/>
                <w:kern w:val="0"/>
                <w:sz w:val="24"/>
                <w:szCs w:val="28"/>
                <w:lang w:bidi="ar"/>
                <w14:textFill>
                  <w14:solidFill>
                    <w14:schemeClr w14:val="tx1"/>
                  </w14:solidFill>
                </w14:textFill>
              </w:rPr>
              <w:t>（万吨标准煤）</w:t>
            </w:r>
          </w:p>
        </w:tc>
        <w:tc>
          <w:tcPr>
            <w:tcW w:w="1356" w:type="dxa"/>
            <w:tcBorders>
              <w:top w:val="single" w:color="000000" w:sz="6" w:space="0"/>
              <w:left w:val="single" w:color="999999" w:sz="6" w:space="0"/>
              <w:bottom w:val="single" w:color="999999" w:sz="6" w:space="0"/>
              <w:right w:val="single" w:color="000000" w:sz="6" w:space="0"/>
            </w:tcBorders>
            <w:shd w:val="clear" w:color="auto" w:fill="FFFFFF"/>
            <w:vAlign w:val="center"/>
          </w:tcPr>
          <w:p w14:paraId="60C9FE2B">
            <w:pPr>
              <w:keepNext w:val="0"/>
              <w:keepLines w:val="0"/>
              <w:widowControl/>
              <w:suppressLineNumbers w:val="0"/>
              <w:kinsoku/>
              <w:wordWrap/>
              <w:overflowPunct/>
              <w:snapToGrid w:val="0"/>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lang w:bidi="ar"/>
                <w14:textFill>
                  <w14:solidFill>
                    <w14:schemeClr w14:val="tx1"/>
                  </w14:solidFill>
                </w14:textFill>
              </w:rPr>
              <w:t>万元产值碳排放强度（吨CO</w:t>
            </w:r>
            <w:r>
              <w:rPr>
                <w:rFonts w:hint="default" w:ascii="Times New Roman" w:hAnsi="Times New Roman" w:eastAsia="华文楷体" w:cs="Times New Roman"/>
                <w:bCs/>
                <w:color w:val="000000" w:themeColor="text1"/>
                <w:kern w:val="0"/>
                <w:sz w:val="24"/>
                <w:szCs w:val="28"/>
                <w:vertAlign w:val="subscript"/>
                <w:lang w:bidi="ar"/>
                <w14:textFill>
                  <w14:solidFill>
                    <w14:schemeClr w14:val="tx1"/>
                  </w14:solidFill>
                </w14:textFill>
              </w:rPr>
              <w:t>2</w:t>
            </w:r>
            <w:r>
              <w:rPr>
                <w:rFonts w:hint="default" w:ascii="Times New Roman" w:hAnsi="Times New Roman" w:eastAsia="华文楷体" w:cs="Times New Roman"/>
                <w:bCs/>
                <w:color w:val="000000" w:themeColor="text1"/>
                <w:kern w:val="0"/>
                <w:sz w:val="24"/>
                <w:szCs w:val="28"/>
                <w:lang w:bidi="ar"/>
                <w14:textFill>
                  <w14:solidFill>
                    <w14:schemeClr w14:val="tx1"/>
                  </w14:solidFill>
                </w14:textFill>
              </w:rPr>
              <w:t>/万元）</w:t>
            </w:r>
          </w:p>
        </w:tc>
      </w:tr>
      <w:tr w14:paraId="7EE3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66" w:type="dxa"/>
            <w:gridSpan w:val="5"/>
            <w:tcBorders>
              <w:top w:val="single" w:color="999999" w:sz="6" w:space="0"/>
              <w:left w:val="single" w:color="000000" w:sz="6" w:space="0"/>
              <w:bottom w:val="single" w:color="999999" w:sz="6" w:space="0"/>
              <w:right w:val="single" w:color="000000" w:sz="6" w:space="0"/>
            </w:tcBorders>
            <w:shd w:val="clear" w:color="auto" w:fill="FFFFFF"/>
            <w:vAlign w:val="center"/>
          </w:tcPr>
          <w:p w14:paraId="40CF14A3">
            <w:pPr>
              <w:pStyle w:val="14"/>
              <w:widowControl/>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FF0000"/>
                <w:sz w:val="24"/>
                <w:szCs w:val="24"/>
                <w:vertAlign w:val="baseline"/>
                <w:lang w:val="en-US" w:eastAsia="zh-CN" w:bidi="ar"/>
              </w:rPr>
              <w:t>一、</w:t>
            </w:r>
            <w:r>
              <w:rPr>
                <w:rFonts w:hint="default" w:ascii="Times New Roman" w:hAnsi="Times New Roman" w:eastAsia="汉仪仿宋简" w:cs="Times New Roman"/>
                <w:bCs w:val="0"/>
                <w:color w:val="FF0000"/>
                <w:kern w:val="0"/>
                <w:sz w:val="24"/>
                <w:szCs w:val="24"/>
                <w:vertAlign w:val="baseline"/>
                <w:lang w:val="en-US" w:eastAsia="zh-CN" w:bidi="ar"/>
              </w:rPr>
              <w:t>重点产业规划项目</w:t>
            </w:r>
          </w:p>
        </w:tc>
        <w:tc>
          <w:tcPr>
            <w:tcW w:w="1356" w:type="dxa"/>
            <w:tcBorders>
              <w:top w:val="single" w:color="999999" w:sz="6" w:space="0"/>
              <w:left w:val="single" w:color="000000" w:sz="6" w:space="0"/>
              <w:bottom w:val="single" w:color="999999" w:sz="6" w:space="0"/>
              <w:right w:val="single" w:color="000000" w:sz="6" w:space="0"/>
            </w:tcBorders>
            <w:shd w:val="clear" w:color="auto" w:fill="FFFFFF"/>
            <w:vAlign w:val="center"/>
          </w:tcPr>
          <w:p w14:paraId="23F2BD3B">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p>
        </w:tc>
      </w:tr>
      <w:tr w14:paraId="3619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3B1647EC">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CEF07A9">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ascii="Times New Roman" w:hAnsi="Times New Roman" w:eastAsia="汉仪仿宋简" w:cs="Times New Roman"/>
                <w:color w:val="000000"/>
                <w:sz w:val="24"/>
                <w:szCs w:val="24"/>
              </w:rPr>
              <w:t>26</w:t>
            </w:r>
            <w:r>
              <w:rPr>
                <w:rFonts w:hint="default" w:ascii="Times New Roman" w:hAnsi="Times New Roman" w:eastAsia="汉仪仿宋简" w:cs="Times New Roman"/>
                <w:color w:val="000000"/>
                <w:sz w:val="24"/>
                <w:szCs w:val="24"/>
              </w:rPr>
              <w:t>万吨丙烯腈项目</w:t>
            </w:r>
          </w:p>
        </w:tc>
        <w:tc>
          <w:tcPr>
            <w:tcW w:w="14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CC0FBCC">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390457</w:t>
            </w: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1937618C">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22</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03C34CA5">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4</w:t>
            </w:r>
          </w:p>
        </w:tc>
        <w:tc>
          <w:tcPr>
            <w:tcW w:w="1356"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3284B3C5">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0.55</w:t>
            </w:r>
          </w:p>
        </w:tc>
      </w:tr>
      <w:tr w14:paraId="11920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FFFFFF"/>
            <w:vAlign w:val="center"/>
          </w:tcPr>
          <w:p w14:paraId="05D4F7E2">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2</w:t>
            </w:r>
          </w:p>
        </w:tc>
        <w:tc>
          <w:tcPr>
            <w:tcW w:w="2045"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355A985B">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ascii="Times New Roman" w:hAnsi="Times New Roman" w:eastAsia="汉仪仿宋简" w:cs="Times New Roman"/>
                <w:color w:val="000000"/>
                <w:sz w:val="24"/>
                <w:szCs w:val="24"/>
              </w:rPr>
              <w:t>8万吨/年炭黑</w:t>
            </w:r>
          </w:p>
        </w:tc>
        <w:tc>
          <w:tcPr>
            <w:tcW w:w="1466"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2E042B72">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70142</w:t>
            </w:r>
          </w:p>
        </w:tc>
        <w:tc>
          <w:tcPr>
            <w:tcW w:w="1354" w:type="dxa"/>
            <w:tcBorders>
              <w:top w:val="single" w:color="999999" w:sz="6" w:space="0"/>
              <w:left w:val="single" w:color="999999" w:sz="6" w:space="0"/>
              <w:bottom w:val="single" w:color="999999" w:sz="6" w:space="0"/>
              <w:right w:val="single" w:color="999999" w:sz="6" w:space="0"/>
            </w:tcBorders>
            <w:shd w:val="clear" w:color="auto" w:fill="FFFFFF"/>
            <w:vAlign w:val="center"/>
          </w:tcPr>
          <w:p w14:paraId="6FA20C15">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6</w:t>
            </w:r>
          </w:p>
        </w:tc>
        <w:tc>
          <w:tcPr>
            <w:tcW w:w="1354" w:type="dxa"/>
            <w:tcBorders>
              <w:top w:val="single" w:color="999999" w:sz="6" w:space="0"/>
              <w:left w:val="single" w:color="999999" w:sz="6" w:space="0"/>
              <w:bottom w:val="single" w:color="999999" w:sz="6" w:space="0"/>
              <w:right w:val="single" w:color="000000" w:sz="6" w:space="0"/>
            </w:tcBorders>
            <w:shd w:val="clear" w:color="auto" w:fill="FFFFFF"/>
            <w:vAlign w:val="center"/>
          </w:tcPr>
          <w:p w14:paraId="14DE596C">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14</w:t>
            </w:r>
          </w:p>
        </w:tc>
        <w:tc>
          <w:tcPr>
            <w:tcW w:w="1356" w:type="dxa"/>
            <w:tcBorders>
              <w:top w:val="single" w:color="999999" w:sz="6" w:space="0"/>
              <w:left w:val="single" w:color="999999" w:sz="6" w:space="0"/>
              <w:bottom w:val="single" w:color="999999" w:sz="6" w:space="0"/>
              <w:right w:val="single" w:color="000000" w:sz="6" w:space="0"/>
            </w:tcBorders>
            <w:shd w:val="clear" w:color="auto" w:fill="FFFFFF"/>
            <w:vAlign w:val="center"/>
          </w:tcPr>
          <w:p w14:paraId="5537BC25">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0.85</w:t>
            </w:r>
          </w:p>
        </w:tc>
      </w:tr>
      <w:tr w14:paraId="55C5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13BDDE1B">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3</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6385493">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ascii="Times New Roman" w:hAnsi="Times New Roman" w:eastAsia="汉仪仿宋简" w:cs="Times New Roman"/>
                <w:color w:val="000000"/>
                <w:sz w:val="24"/>
                <w:szCs w:val="24"/>
              </w:rPr>
              <w:t>EVA</w:t>
            </w:r>
            <w:r>
              <w:rPr>
                <w:rFonts w:hint="default" w:ascii="Times New Roman" w:hAnsi="Times New Roman" w:eastAsia="汉仪仿宋简" w:cs="Times New Roman"/>
                <w:color w:val="000000"/>
                <w:sz w:val="24"/>
                <w:szCs w:val="24"/>
              </w:rPr>
              <w:t>项目</w:t>
            </w:r>
          </w:p>
        </w:tc>
        <w:tc>
          <w:tcPr>
            <w:tcW w:w="14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6B7A084">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162933</w:t>
            </w: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712986B">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3</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0B1CB87B">
            <w:pPr>
              <w:pStyle w:val="14"/>
              <w:widowControl/>
              <w:jc w:val="center"/>
              <w:outlineLvl w:val="9"/>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2</w:t>
            </w:r>
          </w:p>
        </w:tc>
        <w:tc>
          <w:tcPr>
            <w:tcW w:w="1356"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205EA49C">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1.04</w:t>
            </w:r>
          </w:p>
        </w:tc>
      </w:tr>
      <w:tr w14:paraId="6F19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575E8042">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4</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0959C81">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原油重质化项目</w:t>
            </w:r>
          </w:p>
        </w:tc>
        <w:tc>
          <w:tcPr>
            <w:tcW w:w="14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25B52070">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FF0000"/>
                <w:sz w:val="24"/>
                <w:szCs w:val="24"/>
              </w:rPr>
              <w:t>（-72252）</w:t>
            </w: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71ABC3EB">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FF0000"/>
                <w:sz w:val="24"/>
                <w:szCs w:val="24"/>
              </w:rPr>
              <w:t>153</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45BCD405">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FF0000"/>
                <w:sz w:val="24"/>
                <w:szCs w:val="24"/>
              </w:rPr>
              <w:t>23</w:t>
            </w:r>
          </w:p>
        </w:tc>
        <w:tc>
          <w:tcPr>
            <w:tcW w:w="1356"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1A6800DC">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FF0000"/>
                <w:sz w:val="24"/>
                <w:szCs w:val="24"/>
              </w:rPr>
              <w:t>/</w:t>
            </w:r>
          </w:p>
        </w:tc>
      </w:tr>
      <w:tr w14:paraId="14CE6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5E78D045">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5</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7F64F1AE">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5万吨/年PMMA</w:t>
            </w:r>
          </w:p>
        </w:tc>
        <w:tc>
          <w:tcPr>
            <w:tcW w:w="14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5E3A679A">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69164</w:t>
            </w: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96023E1">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2</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0C1C3F5F">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1</w:t>
            </w:r>
          </w:p>
        </w:tc>
        <w:tc>
          <w:tcPr>
            <w:tcW w:w="1356"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2B22E630">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0.36</w:t>
            </w:r>
          </w:p>
        </w:tc>
      </w:tr>
      <w:tr w14:paraId="3431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79A5430A">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6</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2D8960E">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100万吨/年乙烯</w:t>
            </w:r>
          </w:p>
        </w:tc>
        <w:tc>
          <w:tcPr>
            <w:tcW w:w="14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B6920B3">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2047779</w:t>
            </w: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A043B7E">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367</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0FBF0434">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310</w:t>
            </w:r>
          </w:p>
        </w:tc>
        <w:tc>
          <w:tcPr>
            <w:tcW w:w="1356"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36B16B9D">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FF0000"/>
                <w:sz w:val="24"/>
                <w:szCs w:val="24"/>
              </w:rPr>
              <w:t>1.79</w:t>
            </w:r>
          </w:p>
        </w:tc>
      </w:tr>
      <w:tr w14:paraId="49BC7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691C8F2D">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7</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CBCB70E">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120万吨/年芳烃</w:t>
            </w:r>
          </w:p>
        </w:tc>
        <w:tc>
          <w:tcPr>
            <w:tcW w:w="1466"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76862E3">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891259</w:t>
            </w: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4C1DB3E">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50</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7EE4348A">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000000"/>
                <w:sz w:val="24"/>
                <w:szCs w:val="24"/>
              </w:rPr>
              <w:t>27</w:t>
            </w:r>
          </w:p>
        </w:tc>
        <w:tc>
          <w:tcPr>
            <w:tcW w:w="1356"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5ABB830F">
            <w:pPr>
              <w:pStyle w:val="14"/>
              <w:keepNext w:val="0"/>
              <w:keepLines w:val="0"/>
              <w:widowControl/>
              <w:suppressLineNumbers w:val="0"/>
              <w:kinsoku/>
              <w:wordWrap/>
              <w:overflowPunct/>
              <w:jc w:val="center"/>
              <w:rPr>
                <w:rFonts w:ascii="Times New Roman" w:hAnsi="Times New Roman" w:eastAsia="华文楷体" w:cs="Times New Roman"/>
                <w:bCs/>
                <w:color w:val="000000" w:themeColor="text1"/>
                <w:kern w:val="0"/>
                <w:sz w:val="24"/>
                <w:szCs w:val="28"/>
                <w:vertAlign w:val="baseline"/>
                <w:lang w:bidi="ar"/>
                <w14:textFill>
                  <w14:solidFill>
                    <w14:schemeClr w14:val="tx1"/>
                  </w14:solidFill>
                </w14:textFill>
              </w:rPr>
            </w:pPr>
            <w:r>
              <w:rPr>
                <w:rFonts w:hint="default" w:ascii="Times New Roman" w:hAnsi="Times New Roman" w:eastAsia="汉仪仿宋简" w:cs="Times New Roman"/>
                <w:color w:val="FF0000"/>
                <w:sz w:val="24"/>
                <w:szCs w:val="24"/>
              </w:rPr>
              <w:t>0.56</w:t>
            </w:r>
          </w:p>
        </w:tc>
      </w:tr>
      <w:tr w14:paraId="25CDC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After w:w="0" w:type="auto"/>
          <w:jc w:val="center"/>
        </w:trPr>
        <w:tc>
          <w:tcPr>
            <w:tcW w:w="8522" w:type="dxa"/>
            <w:gridSpan w:val="6"/>
            <w:tcBorders>
              <w:top w:val="single" w:color="999999" w:sz="6" w:space="0"/>
              <w:left w:val="single" w:color="000000" w:sz="6" w:space="0"/>
              <w:bottom w:val="single" w:color="999999" w:sz="6" w:space="0"/>
              <w:right w:val="single" w:color="000000" w:sz="6" w:space="0"/>
            </w:tcBorders>
            <w:shd w:val="clear" w:color="auto" w:fill="E6E6E6"/>
            <w:vAlign w:val="center"/>
          </w:tcPr>
          <w:p w14:paraId="4B68A9E7">
            <w:pPr>
              <w:pStyle w:val="14"/>
              <w:keepNext w:val="0"/>
              <w:keepLines w:val="0"/>
              <w:widowControl/>
              <w:suppressLineNumbers w:val="0"/>
              <w:kinsoku/>
              <w:wordWrap/>
              <w:overflowPunct/>
              <w:jc w:val="center"/>
              <w:rPr>
                <w:rFonts w:hint="default" w:ascii="Times New Roman" w:hAnsi="Times New Roman" w:eastAsia="汉仪仿宋简" w:cs="Times New Roman"/>
                <w:color w:val="FF0000"/>
                <w:sz w:val="24"/>
                <w:szCs w:val="24"/>
                <w:lang w:val="en-US" w:eastAsia="zh-CN"/>
              </w:rPr>
            </w:pPr>
            <w:r>
              <w:rPr>
                <w:rFonts w:hint="default" w:ascii="Times New Roman" w:hAnsi="Times New Roman" w:eastAsia="汉仪仿宋简" w:cs="Times New Roman"/>
                <w:color w:val="FF0000"/>
                <w:sz w:val="24"/>
                <w:szCs w:val="24"/>
                <w:lang w:val="en-US" w:eastAsia="zh-CN"/>
              </w:rPr>
              <w:t>二、绿色低碳重点项目</w:t>
            </w:r>
          </w:p>
        </w:tc>
      </w:tr>
      <w:tr w14:paraId="220AC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44F4FE0D">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8</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F923FCA">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rPr>
              <w:t>泉州厂内闲置面积光伏发电（12.25MWp）</w:t>
            </w:r>
          </w:p>
        </w:tc>
        <w:tc>
          <w:tcPr>
            <w:tcW w:w="1466" w:type="dxa"/>
            <w:vMerge w:val="restart"/>
            <w:tcBorders>
              <w:top w:val="single" w:color="999999" w:sz="6" w:space="0"/>
              <w:left w:val="single" w:color="999999" w:sz="6" w:space="0"/>
              <w:right w:val="single" w:color="999999" w:sz="6" w:space="0"/>
            </w:tcBorders>
            <w:shd w:val="clear" w:color="auto" w:fill="E6E6E6"/>
            <w:vAlign w:val="center"/>
          </w:tcPr>
          <w:p w14:paraId="07584774">
            <w:pPr>
              <w:pStyle w:val="14"/>
              <w:keepNext w:val="0"/>
              <w:keepLines w:val="0"/>
              <w:widowControl/>
              <w:suppressLineNumbers w:val="0"/>
              <w:kinsoku/>
              <w:wordWrap/>
              <w:overflowPunct/>
              <w:jc w:val="center"/>
              <w:rPr>
                <w:rFonts w:hint="eastAsia" w:ascii="Times New Roman" w:hAnsi="Times New Roman" w:eastAsia="汉仪仿宋简" w:cs="Times New Roman"/>
                <w:color w:val="000000"/>
                <w:sz w:val="24"/>
                <w:szCs w:val="24"/>
              </w:rPr>
            </w:pPr>
            <w:r>
              <w:rPr>
                <w:rFonts w:hint="eastAsia" w:ascii="Times New Roman" w:hAnsi="Times New Roman" w:eastAsia="汉仪仿宋简" w:cs="Times New Roman"/>
                <w:color w:val="000000"/>
                <w:sz w:val="24"/>
                <w:szCs w:val="24"/>
                <w:lang w:val="en-US" w:eastAsia="zh-CN"/>
              </w:rPr>
              <w:t>/</w:t>
            </w: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939232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0.99</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3340BEBE">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0.37</w:t>
            </w:r>
          </w:p>
        </w:tc>
        <w:tc>
          <w:tcPr>
            <w:tcW w:w="1356" w:type="dxa"/>
            <w:vMerge w:val="restart"/>
            <w:tcBorders>
              <w:top w:val="single" w:color="999999" w:sz="6" w:space="0"/>
              <w:left w:val="single" w:color="999999" w:sz="6" w:space="0"/>
              <w:right w:val="single" w:color="000000" w:sz="6" w:space="0"/>
            </w:tcBorders>
            <w:shd w:val="clear" w:color="auto" w:fill="E6E6E6"/>
            <w:vAlign w:val="center"/>
          </w:tcPr>
          <w:p w14:paraId="53AA1BF8">
            <w:pPr>
              <w:pStyle w:val="14"/>
              <w:keepNext w:val="0"/>
              <w:keepLines w:val="0"/>
              <w:widowControl/>
              <w:suppressLineNumbers w:val="0"/>
              <w:kinsoku/>
              <w:wordWrap/>
              <w:overflowPunct/>
              <w:jc w:val="center"/>
              <w:rPr>
                <w:rFonts w:hint="eastAsia" w:ascii="Times New Roman" w:hAnsi="Times New Roman" w:eastAsia="汉仪仿宋简" w:cs="Times New Roman"/>
                <w:color w:val="000000"/>
                <w:sz w:val="24"/>
                <w:szCs w:val="24"/>
              </w:rPr>
            </w:pPr>
            <w:r>
              <w:rPr>
                <w:rFonts w:hint="eastAsia" w:ascii="Times New Roman" w:hAnsi="Times New Roman" w:eastAsia="汉仪仿宋简" w:cs="Times New Roman"/>
                <w:color w:val="000000"/>
                <w:sz w:val="24"/>
                <w:szCs w:val="24"/>
                <w:lang w:val="en-US" w:eastAsia="zh-CN"/>
              </w:rPr>
              <w:t>/</w:t>
            </w:r>
          </w:p>
        </w:tc>
      </w:tr>
      <w:tr w14:paraId="6E55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2DD0EA40">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9</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C53608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rPr>
              <w:t>园区滞洪区集中式光伏项目</w:t>
            </w:r>
          </w:p>
        </w:tc>
        <w:tc>
          <w:tcPr>
            <w:tcW w:w="1466" w:type="dxa"/>
            <w:vMerge w:val="continue"/>
            <w:tcBorders>
              <w:left w:val="single" w:color="999999" w:sz="6" w:space="0"/>
              <w:right w:val="single" w:color="999999" w:sz="6" w:space="0"/>
            </w:tcBorders>
            <w:shd w:val="clear" w:color="auto" w:fill="E6E6E6"/>
            <w:vAlign w:val="center"/>
          </w:tcPr>
          <w:p w14:paraId="6BF07104">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F8E9CDB">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20.83</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660ED9C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8.26</w:t>
            </w:r>
          </w:p>
        </w:tc>
        <w:tc>
          <w:tcPr>
            <w:tcW w:w="1356" w:type="dxa"/>
            <w:vMerge w:val="continue"/>
            <w:tcBorders>
              <w:left w:val="single" w:color="999999" w:sz="6" w:space="0"/>
              <w:right w:val="single" w:color="000000" w:sz="6" w:space="0"/>
            </w:tcBorders>
            <w:shd w:val="clear" w:color="auto" w:fill="E6E6E6"/>
            <w:vAlign w:val="center"/>
          </w:tcPr>
          <w:p w14:paraId="47D8AF05">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6C8C0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4B753351">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10</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0463E34F">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rPr>
              <w:t>外购绿色电力</w:t>
            </w:r>
          </w:p>
        </w:tc>
        <w:tc>
          <w:tcPr>
            <w:tcW w:w="1466" w:type="dxa"/>
            <w:vMerge w:val="continue"/>
            <w:tcBorders>
              <w:left w:val="single" w:color="999999" w:sz="6" w:space="0"/>
              <w:right w:val="single" w:color="999999" w:sz="6" w:space="0"/>
            </w:tcBorders>
            <w:shd w:val="clear" w:color="auto" w:fill="E6E6E6"/>
            <w:vAlign w:val="center"/>
          </w:tcPr>
          <w:p w14:paraId="0C505E1B">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027BB296">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26.72</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3368A762">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rPr>
              <w:t>/</w:t>
            </w:r>
          </w:p>
        </w:tc>
        <w:tc>
          <w:tcPr>
            <w:tcW w:w="1356" w:type="dxa"/>
            <w:vMerge w:val="continue"/>
            <w:tcBorders>
              <w:left w:val="single" w:color="999999" w:sz="6" w:space="0"/>
              <w:right w:val="single" w:color="000000" w:sz="6" w:space="0"/>
            </w:tcBorders>
            <w:shd w:val="clear" w:color="auto" w:fill="E6E6E6"/>
            <w:vAlign w:val="center"/>
          </w:tcPr>
          <w:p w14:paraId="2F4FBC2F">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7A621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7FDF2AE4">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11</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BE99FC9">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rPr>
              <w:t>换热网络集成优化</w:t>
            </w:r>
          </w:p>
        </w:tc>
        <w:tc>
          <w:tcPr>
            <w:tcW w:w="1466" w:type="dxa"/>
            <w:vMerge w:val="continue"/>
            <w:tcBorders>
              <w:left w:val="single" w:color="999999" w:sz="6" w:space="0"/>
              <w:right w:val="single" w:color="999999" w:sz="6" w:space="0"/>
            </w:tcBorders>
            <w:shd w:val="clear" w:color="auto" w:fill="E6E6E6"/>
            <w:vAlign w:val="center"/>
          </w:tcPr>
          <w:p w14:paraId="60167DAA">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56558A6D">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20</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458886ED">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7.69</w:t>
            </w:r>
          </w:p>
        </w:tc>
        <w:tc>
          <w:tcPr>
            <w:tcW w:w="1356" w:type="dxa"/>
            <w:vMerge w:val="continue"/>
            <w:tcBorders>
              <w:left w:val="single" w:color="999999" w:sz="6" w:space="0"/>
              <w:right w:val="single" w:color="000000" w:sz="6" w:space="0"/>
            </w:tcBorders>
            <w:shd w:val="clear" w:color="auto" w:fill="E6E6E6"/>
            <w:vAlign w:val="center"/>
          </w:tcPr>
          <w:p w14:paraId="1C771E1B">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0E317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735362C2">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12</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52FB9AE6">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rPr>
              <w:t>蒸汽动力系统优化</w:t>
            </w:r>
          </w:p>
        </w:tc>
        <w:tc>
          <w:tcPr>
            <w:tcW w:w="1466" w:type="dxa"/>
            <w:vMerge w:val="continue"/>
            <w:tcBorders>
              <w:left w:val="single" w:color="999999" w:sz="6" w:space="0"/>
              <w:right w:val="single" w:color="999999" w:sz="6" w:space="0"/>
            </w:tcBorders>
            <w:shd w:val="clear" w:color="auto" w:fill="E6E6E6"/>
            <w:vAlign w:val="center"/>
          </w:tcPr>
          <w:p w14:paraId="16290BF4">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709E9C7">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3.58</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7030330B">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1.38</w:t>
            </w:r>
          </w:p>
        </w:tc>
        <w:tc>
          <w:tcPr>
            <w:tcW w:w="1356" w:type="dxa"/>
            <w:vMerge w:val="continue"/>
            <w:tcBorders>
              <w:left w:val="single" w:color="999999" w:sz="6" w:space="0"/>
              <w:right w:val="single" w:color="000000" w:sz="6" w:space="0"/>
            </w:tcBorders>
            <w:shd w:val="clear" w:color="auto" w:fill="E6E6E6"/>
            <w:vAlign w:val="center"/>
          </w:tcPr>
          <w:p w14:paraId="49C0174A">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3291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45712FDB">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13</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0FA5FD1F">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rPr>
              <w:t>低温余热高效利用</w:t>
            </w:r>
          </w:p>
        </w:tc>
        <w:tc>
          <w:tcPr>
            <w:tcW w:w="1466" w:type="dxa"/>
            <w:vMerge w:val="continue"/>
            <w:tcBorders>
              <w:left w:val="single" w:color="999999" w:sz="6" w:space="0"/>
              <w:right w:val="single" w:color="999999" w:sz="6" w:space="0"/>
            </w:tcBorders>
            <w:shd w:val="clear" w:color="auto" w:fill="E6E6E6"/>
            <w:vAlign w:val="center"/>
          </w:tcPr>
          <w:p w14:paraId="50E7DF41">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B125470">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5</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2333FF13">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1.92</w:t>
            </w:r>
          </w:p>
        </w:tc>
        <w:tc>
          <w:tcPr>
            <w:tcW w:w="1356" w:type="dxa"/>
            <w:vMerge w:val="continue"/>
            <w:tcBorders>
              <w:left w:val="single" w:color="999999" w:sz="6" w:space="0"/>
              <w:right w:val="single" w:color="000000" w:sz="6" w:space="0"/>
            </w:tcBorders>
            <w:shd w:val="clear" w:color="auto" w:fill="E6E6E6"/>
            <w:vAlign w:val="center"/>
          </w:tcPr>
          <w:p w14:paraId="15BA9A06">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0B5C0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6FD0E5C9">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14</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29CEC96">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rPr>
              <w:t>氢气资源高效利用项目</w:t>
            </w:r>
          </w:p>
        </w:tc>
        <w:tc>
          <w:tcPr>
            <w:tcW w:w="1466" w:type="dxa"/>
            <w:vMerge w:val="continue"/>
            <w:tcBorders>
              <w:left w:val="single" w:color="999999" w:sz="6" w:space="0"/>
              <w:right w:val="single" w:color="999999" w:sz="6" w:space="0"/>
            </w:tcBorders>
            <w:shd w:val="clear" w:color="auto" w:fill="E6E6E6"/>
            <w:vAlign w:val="center"/>
          </w:tcPr>
          <w:p w14:paraId="4B177B38">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C528159">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40</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644A43EE">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9</w:t>
            </w:r>
          </w:p>
        </w:tc>
        <w:tc>
          <w:tcPr>
            <w:tcW w:w="1356" w:type="dxa"/>
            <w:vMerge w:val="continue"/>
            <w:tcBorders>
              <w:left w:val="single" w:color="999999" w:sz="6" w:space="0"/>
              <w:right w:val="single" w:color="000000" w:sz="6" w:space="0"/>
            </w:tcBorders>
            <w:shd w:val="clear" w:color="auto" w:fill="E6E6E6"/>
            <w:vAlign w:val="center"/>
          </w:tcPr>
          <w:p w14:paraId="5D7DFC3E">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4A5C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49F07DB7">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15</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7DD0AA47">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rPr>
              <w:t>应用高效换热器技术</w:t>
            </w:r>
          </w:p>
        </w:tc>
        <w:tc>
          <w:tcPr>
            <w:tcW w:w="1466" w:type="dxa"/>
            <w:vMerge w:val="continue"/>
            <w:tcBorders>
              <w:left w:val="single" w:color="999999" w:sz="6" w:space="0"/>
              <w:right w:val="single" w:color="999999" w:sz="6" w:space="0"/>
            </w:tcBorders>
            <w:shd w:val="clear" w:color="auto" w:fill="E6E6E6"/>
            <w:vAlign w:val="center"/>
          </w:tcPr>
          <w:p w14:paraId="315195A6">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DA42517">
            <w:pPr>
              <w:pStyle w:val="14"/>
              <w:keepNext w:val="0"/>
              <w:keepLines w:val="0"/>
              <w:widowControl/>
              <w:suppressLineNumbers w:val="0"/>
              <w:kinsoku/>
              <w:wordWrap/>
              <w:overflowPunct/>
              <w:jc w:val="center"/>
              <w:rPr>
                <w:rFonts w:hint="default" w:ascii="Times New Roman" w:hAnsi="Times New Roman" w:eastAsia="汉仪仿宋简"/>
                <w:color w:val="000000"/>
                <w:sz w:val="24"/>
                <w:szCs w:val="24"/>
              </w:rPr>
            </w:pPr>
            <w:r>
              <w:rPr>
                <w:rFonts w:hint="default" w:ascii="Times New Roman" w:hAnsi="Times New Roman" w:eastAsia="汉仪仿宋简"/>
                <w:color w:val="000000"/>
                <w:sz w:val="24"/>
                <w:szCs w:val="24"/>
                <w:lang w:val="en-US" w:eastAsia="zh-CN"/>
              </w:rPr>
              <w:t>-</w:t>
            </w:r>
            <w:r>
              <w:rPr>
                <w:rFonts w:hint="default" w:ascii="Times New Roman" w:hAnsi="Times New Roman" w:eastAsia="汉仪仿宋简"/>
                <w:color w:val="000000"/>
                <w:sz w:val="24"/>
                <w:szCs w:val="24"/>
              </w:rPr>
              <w:t>1.19</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35923A01">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0.28</w:t>
            </w:r>
          </w:p>
        </w:tc>
        <w:tc>
          <w:tcPr>
            <w:tcW w:w="1356" w:type="dxa"/>
            <w:vMerge w:val="continue"/>
            <w:tcBorders>
              <w:left w:val="single" w:color="999999" w:sz="6" w:space="0"/>
              <w:right w:val="single" w:color="000000" w:sz="6" w:space="0"/>
            </w:tcBorders>
            <w:shd w:val="clear" w:color="auto" w:fill="E6E6E6"/>
            <w:vAlign w:val="center"/>
          </w:tcPr>
          <w:p w14:paraId="57FD6075">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35096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6040D6A7">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16</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2AD441F2">
            <w:pPr>
              <w:pStyle w:val="14"/>
              <w:keepNext w:val="0"/>
              <w:keepLines w:val="0"/>
              <w:widowControl/>
              <w:suppressLineNumbers w:val="0"/>
              <w:kinsoku/>
              <w:wordWrap/>
              <w:overflowPunct/>
              <w:jc w:val="center"/>
              <w:rPr>
                <w:rFonts w:hint="default" w:ascii="Times New Roman" w:hAnsi="Times New Roman" w:eastAsia="汉仪仿宋简"/>
                <w:color w:val="000000"/>
                <w:sz w:val="24"/>
                <w:szCs w:val="24"/>
              </w:rPr>
            </w:pPr>
            <w:r>
              <w:rPr>
                <w:rFonts w:hint="default" w:ascii="Times New Roman" w:hAnsi="Times New Roman" w:eastAsia="汉仪仿宋简" w:cs="Times New Roman"/>
                <w:color w:val="000000"/>
                <w:sz w:val="24"/>
                <w:szCs w:val="24"/>
              </w:rPr>
              <w:t>烟气余热回收利用技术</w:t>
            </w:r>
          </w:p>
        </w:tc>
        <w:tc>
          <w:tcPr>
            <w:tcW w:w="1466" w:type="dxa"/>
            <w:vMerge w:val="continue"/>
            <w:tcBorders>
              <w:left w:val="single" w:color="999999" w:sz="6" w:space="0"/>
              <w:right w:val="single" w:color="999999" w:sz="6" w:space="0"/>
            </w:tcBorders>
            <w:shd w:val="clear" w:color="auto" w:fill="E6E6E6"/>
            <w:vAlign w:val="center"/>
          </w:tcPr>
          <w:p w14:paraId="4AEE0A79">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DE0ACD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0.61</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7AF3E7E9">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0.15</w:t>
            </w:r>
          </w:p>
        </w:tc>
        <w:tc>
          <w:tcPr>
            <w:tcW w:w="1356" w:type="dxa"/>
            <w:vMerge w:val="continue"/>
            <w:tcBorders>
              <w:left w:val="single" w:color="999999" w:sz="6" w:space="0"/>
              <w:right w:val="single" w:color="000000" w:sz="6" w:space="0"/>
            </w:tcBorders>
            <w:shd w:val="clear" w:color="auto" w:fill="E6E6E6"/>
            <w:vAlign w:val="center"/>
          </w:tcPr>
          <w:p w14:paraId="67EE0F09">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339C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68652D5C">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17</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5455056F">
            <w:pPr>
              <w:pStyle w:val="14"/>
              <w:keepNext w:val="0"/>
              <w:keepLines w:val="0"/>
              <w:widowControl/>
              <w:suppressLineNumbers w:val="0"/>
              <w:kinsoku/>
              <w:wordWrap/>
              <w:overflowPunct/>
              <w:jc w:val="center"/>
              <w:rPr>
                <w:rFonts w:hint="default" w:ascii="Times New Roman" w:hAnsi="Times New Roman" w:eastAsia="汉仪仿宋简"/>
                <w:color w:val="000000"/>
                <w:sz w:val="24"/>
                <w:szCs w:val="24"/>
              </w:rPr>
            </w:pPr>
            <w:r>
              <w:rPr>
                <w:rFonts w:hint="default" w:ascii="Times New Roman" w:hAnsi="Times New Roman" w:eastAsia="汉仪仿宋简" w:cs="Times New Roman"/>
                <w:color w:val="000000"/>
                <w:sz w:val="24"/>
                <w:szCs w:val="24"/>
              </w:rPr>
              <w:t>精馏系统对标节能优化</w:t>
            </w:r>
          </w:p>
        </w:tc>
        <w:tc>
          <w:tcPr>
            <w:tcW w:w="1466" w:type="dxa"/>
            <w:vMerge w:val="continue"/>
            <w:tcBorders>
              <w:left w:val="single" w:color="999999" w:sz="6" w:space="0"/>
              <w:right w:val="single" w:color="999999" w:sz="6" w:space="0"/>
            </w:tcBorders>
            <w:shd w:val="clear" w:color="auto" w:fill="E6E6E6"/>
            <w:vAlign w:val="center"/>
          </w:tcPr>
          <w:p w14:paraId="12136F5B">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303C8A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1.09</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12FED1DD">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0.24</w:t>
            </w:r>
          </w:p>
        </w:tc>
        <w:tc>
          <w:tcPr>
            <w:tcW w:w="1356" w:type="dxa"/>
            <w:vMerge w:val="continue"/>
            <w:tcBorders>
              <w:left w:val="single" w:color="999999" w:sz="6" w:space="0"/>
              <w:right w:val="single" w:color="000000" w:sz="6" w:space="0"/>
            </w:tcBorders>
            <w:shd w:val="clear" w:color="auto" w:fill="E6E6E6"/>
            <w:vAlign w:val="center"/>
          </w:tcPr>
          <w:p w14:paraId="5FE04655">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0144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5D73FC6A">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18</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623E3A47">
            <w:pPr>
              <w:pStyle w:val="14"/>
              <w:keepNext w:val="0"/>
              <w:keepLines w:val="0"/>
              <w:widowControl/>
              <w:suppressLineNumbers w:val="0"/>
              <w:kinsoku/>
              <w:wordWrap/>
              <w:overflowPunct/>
              <w:jc w:val="center"/>
              <w:rPr>
                <w:rFonts w:hint="default" w:ascii="Times New Roman" w:hAnsi="Times New Roman" w:eastAsia="汉仪仿宋简"/>
                <w:color w:val="000000"/>
                <w:sz w:val="24"/>
                <w:szCs w:val="24"/>
              </w:rPr>
            </w:pPr>
            <w:r>
              <w:rPr>
                <w:rFonts w:hint="default" w:ascii="Times New Roman" w:hAnsi="Times New Roman" w:eastAsia="汉仪仿宋简" w:cs="Times New Roman"/>
                <w:color w:val="000000"/>
                <w:sz w:val="24"/>
                <w:szCs w:val="24"/>
              </w:rPr>
              <w:t>原油优化降碳</w:t>
            </w:r>
          </w:p>
        </w:tc>
        <w:tc>
          <w:tcPr>
            <w:tcW w:w="1466" w:type="dxa"/>
            <w:vMerge w:val="continue"/>
            <w:tcBorders>
              <w:left w:val="single" w:color="999999" w:sz="6" w:space="0"/>
              <w:right w:val="single" w:color="999999" w:sz="6" w:space="0"/>
            </w:tcBorders>
            <w:shd w:val="clear" w:color="auto" w:fill="E6E6E6"/>
            <w:vAlign w:val="center"/>
          </w:tcPr>
          <w:p w14:paraId="75A8EF6E">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E60FBB1">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25</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0B93EF45">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2.5</w:t>
            </w:r>
          </w:p>
        </w:tc>
        <w:tc>
          <w:tcPr>
            <w:tcW w:w="1356" w:type="dxa"/>
            <w:vMerge w:val="continue"/>
            <w:tcBorders>
              <w:left w:val="single" w:color="999999" w:sz="6" w:space="0"/>
              <w:right w:val="single" w:color="000000" w:sz="6" w:space="0"/>
            </w:tcBorders>
            <w:shd w:val="clear" w:color="auto" w:fill="E6E6E6"/>
            <w:vAlign w:val="center"/>
          </w:tcPr>
          <w:p w14:paraId="2D759941">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14510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3D83A452">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19</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3D6A40BC">
            <w:pPr>
              <w:pStyle w:val="14"/>
              <w:keepNext w:val="0"/>
              <w:keepLines w:val="0"/>
              <w:widowControl/>
              <w:suppressLineNumbers w:val="0"/>
              <w:kinsoku/>
              <w:wordWrap/>
              <w:overflowPunct/>
              <w:jc w:val="center"/>
              <w:rPr>
                <w:rFonts w:hint="default" w:ascii="Times New Roman" w:hAnsi="Times New Roman" w:eastAsia="汉仪仿宋简"/>
                <w:color w:val="000000"/>
                <w:sz w:val="24"/>
                <w:szCs w:val="24"/>
              </w:rPr>
            </w:pPr>
            <w:r>
              <w:rPr>
                <w:rFonts w:hint="default" w:ascii="Times New Roman" w:hAnsi="Times New Roman" w:eastAsia="汉仪仿宋简" w:cs="Times New Roman"/>
                <w:color w:val="000000"/>
                <w:sz w:val="24"/>
                <w:szCs w:val="24"/>
              </w:rPr>
              <w:t>烯烃原料轻质化和多元化</w:t>
            </w:r>
          </w:p>
        </w:tc>
        <w:tc>
          <w:tcPr>
            <w:tcW w:w="1466" w:type="dxa"/>
            <w:vMerge w:val="continue"/>
            <w:tcBorders>
              <w:left w:val="single" w:color="999999" w:sz="6" w:space="0"/>
              <w:right w:val="single" w:color="999999" w:sz="6" w:space="0"/>
            </w:tcBorders>
            <w:shd w:val="clear" w:color="auto" w:fill="E6E6E6"/>
            <w:vAlign w:val="center"/>
          </w:tcPr>
          <w:p w14:paraId="5835B98F">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7055EF5A">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30</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020EAC88">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10</w:t>
            </w:r>
          </w:p>
        </w:tc>
        <w:tc>
          <w:tcPr>
            <w:tcW w:w="1356" w:type="dxa"/>
            <w:vMerge w:val="continue"/>
            <w:tcBorders>
              <w:left w:val="single" w:color="999999" w:sz="6" w:space="0"/>
              <w:right w:val="single" w:color="000000" w:sz="6" w:space="0"/>
            </w:tcBorders>
            <w:shd w:val="clear" w:color="auto" w:fill="E6E6E6"/>
            <w:vAlign w:val="center"/>
          </w:tcPr>
          <w:p w14:paraId="28CB429B">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6D633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2681D2A6">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20</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051C67AD">
            <w:pPr>
              <w:pStyle w:val="14"/>
              <w:keepNext w:val="0"/>
              <w:keepLines w:val="0"/>
              <w:widowControl/>
              <w:suppressLineNumbers w:val="0"/>
              <w:kinsoku/>
              <w:wordWrap/>
              <w:overflowPunct/>
              <w:jc w:val="center"/>
              <w:rPr>
                <w:rFonts w:hint="default" w:ascii="Times New Roman" w:hAnsi="Times New Roman" w:eastAsia="汉仪仿宋简"/>
                <w:color w:val="000000"/>
                <w:sz w:val="24"/>
                <w:szCs w:val="24"/>
              </w:rPr>
            </w:pPr>
            <w:r>
              <w:rPr>
                <w:rFonts w:hint="default" w:ascii="Times New Roman" w:hAnsi="Times New Roman" w:eastAsia="汉仪仿宋简" w:cs="Times New Roman"/>
                <w:color w:val="000000"/>
                <w:sz w:val="24"/>
                <w:szCs w:val="24"/>
              </w:rPr>
              <w:t>乙烯三机电气化</w:t>
            </w:r>
          </w:p>
        </w:tc>
        <w:tc>
          <w:tcPr>
            <w:tcW w:w="1466" w:type="dxa"/>
            <w:vMerge w:val="continue"/>
            <w:tcBorders>
              <w:left w:val="single" w:color="999999" w:sz="6" w:space="0"/>
              <w:right w:val="single" w:color="999999" w:sz="6" w:space="0"/>
            </w:tcBorders>
            <w:shd w:val="clear" w:color="auto" w:fill="E6E6E6"/>
            <w:vAlign w:val="center"/>
          </w:tcPr>
          <w:p w14:paraId="1076D66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5C8F55F8">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40</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57A9C6D3">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6</w:t>
            </w:r>
          </w:p>
        </w:tc>
        <w:tc>
          <w:tcPr>
            <w:tcW w:w="1356" w:type="dxa"/>
            <w:vMerge w:val="continue"/>
            <w:tcBorders>
              <w:left w:val="single" w:color="999999" w:sz="6" w:space="0"/>
              <w:right w:val="single" w:color="000000" w:sz="6" w:space="0"/>
            </w:tcBorders>
            <w:shd w:val="clear" w:color="auto" w:fill="E6E6E6"/>
            <w:vAlign w:val="center"/>
          </w:tcPr>
          <w:p w14:paraId="7CADD21F">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05934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4A6AFB23">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21</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4DB57712">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rPr>
              <w:t>高浓度二氧化碳捕集项目</w:t>
            </w:r>
          </w:p>
        </w:tc>
        <w:tc>
          <w:tcPr>
            <w:tcW w:w="1466" w:type="dxa"/>
            <w:vMerge w:val="continue"/>
            <w:tcBorders>
              <w:left w:val="single" w:color="999999" w:sz="6" w:space="0"/>
              <w:right w:val="single" w:color="999999" w:sz="6" w:space="0"/>
            </w:tcBorders>
            <w:shd w:val="clear" w:color="auto" w:fill="E6E6E6"/>
            <w:vAlign w:val="center"/>
          </w:tcPr>
          <w:p w14:paraId="52AFA81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1705463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40</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07446E0C">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8</w:t>
            </w:r>
          </w:p>
        </w:tc>
        <w:tc>
          <w:tcPr>
            <w:tcW w:w="1356" w:type="dxa"/>
            <w:vMerge w:val="continue"/>
            <w:tcBorders>
              <w:left w:val="single" w:color="999999" w:sz="6" w:space="0"/>
              <w:right w:val="single" w:color="000000" w:sz="6" w:space="0"/>
            </w:tcBorders>
            <w:shd w:val="clear" w:color="auto" w:fill="E6E6E6"/>
            <w:vAlign w:val="center"/>
          </w:tcPr>
          <w:p w14:paraId="3949B9CB">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r w14:paraId="62371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7" w:type="dxa"/>
            <w:tcBorders>
              <w:top w:val="single" w:color="999999" w:sz="6" w:space="0"/>
              <w:left w:val="single" w:color="000000" w:sz="6" w:space="0"/>
              <w:bottom w:val="single" w:color="999999" w:sz="6" w:space="0"/>
              <w:right w:val="single" w:color="999999" w:sz="6" w:space="0"/>
            </w:tcBorders>
            <w:shd w:val="clear" w:color="auto" w:fill="E6E6E6"/>
            <w:vAlign w:val="center"/>
          </w:tcPr>
          <w:p w14:paraId="4E6CBA59">
            <w:pPr>
              <w:widowControl/>
              <w:snapToGrid w:val="0"/>
              <w:spacing w:line="240" w:lineRule="auto"/>
              <w:jc w:val="center"/>
              <w:outlineLvl w:val="9"/>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pPr>
            <w:r>
              <w:rPr>
                <w:rFonts w:hint="default" w:ascii="Times New Roman" w:hAnsi="Times New Roman" w:eastAsia="华文楷体" w:cs="Times New Roman"/>
                <w:bCs/>
                <w:color w:val="000000" w:themeColor="text1"/>
                <w:kern w:val="0"/>
                <w:sz w:val="24"/>
                <w:szCs w:val="28"/>
                <w:vertAlign w:val="baseline"/>
                <w:lang w:val="en-US" w:eastAsia="zh-CN" w:bidi="ar"/>
                <w14:textFill>
                  <w14:solidFill>
                    <w14:schemeClr w14:val="tx1"/>
                  </w14:solidFill>
                </w14:textFill>
              </w:rPr>
              <w:t>22</w:t>
            </w:r>
          </w:p>
        </w:tc>
        <w:tc>
          <w:tcPr>
            <w:tcW w:w="2045"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7739A111">
            <w:pPr>
              <w:pStyle w:val="14"/>
              <w:keepNext w:val="0"/>
              <w:keepLines w:val="0"/>
              <w:widowControl/>
              <w:suppressLineNumbers w:val="0"/>
              <w:kinsoku/>
              <w:wordWrap/>
              <w:overflowPunct/>
              <w:jc w:val="center"/>
              <w:rPr>
                <w:rFonts w:hint="default" w:ascii="Times New Roman" w:hAnsi="Times New Roman" w:eastAsia="汉仪仿宋简"/>
                <w:color w:val="000000"/>
                <w:sz w:val="24"/>
                <w:szCs w:val="24"/>
              </w:rPr>
            </w:pPr>
            <w:r>
              <w:rPr>
                <w:rFonts w:hint="default" w:ascii="Times New Roman" w:hAnsi="Times New Roman" w:eastAsia="汉仪仿宋简" w:cs="Times New Roman"/>
                <w:color w:val="000000"/>
                <w:sz w:val="24"/>
                <w:szCs w:val="24"/>
              </w:rPr>
              <w:t>食品级二氧化碳</w:t>
            </w:r>
          </w:p>
        </w:tc>
        <w:tc>
          <w:tcPr>
            <w:tcW w:w="1466" w:type="dxa"/>
            <w:vMerge w:val="continue"/>
            <w:tcBorders>
              <w:left w:val="single" w:color="999999" w:sz="6" w:space="0"/>
              <w:bottom w:val="single" w:color="999999" w:sz="6" w:space="0"/>
              <w:right w:val="single" w:color="999999" w:sz="6" w:space="0"/>
            </w:tcBorders>
            <w:shd w:val="clear" w:color="auto" w:fill="E6E6E6"/>
            <w:vAlign w:val="center"/>
          </w:tcPr>
          <w:p w14:paraId="1B12F721">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c>
          <w:tcPr>
            <w:tcW w:w="1354" w:type="dxa"/>
            <w:tcBorders>
              <w:top w:val="single" w:color="999999" w:sz="6" w:space="0"/>
              <w:left w:val="single" w:color="999999" w:sz="6" w:space="0"/>
              <w:bottom w:val="single" w:color="999999" w:sz="6" w:space="0"/>
              <w:right w:val="single" w:color="999999" w:sz="6" w:space="0"/>
            </w:tcBorders>
            <w:shd w:val="clear" w:color="auto" w:fill="E6E6E6"/>
            <w:vAlign w:val="center"/>
          </w:tcPr>
          <w:p w14:paraId="5E6885B0">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5</w:t>
            </w:r>
          </w:p>
        </w:tc>
        <w:tc>
          <w:tcPr>
            <w:tcW w:w="1354" w:type="dxa"/>
            <w:tcBorders>
              <w:top w:val="single" w:color="999999" w:sz="6" w:space="0"/>
              <w:left w:val="single" w:color="999999" w:sz="6" w:space="0"/>
              <w:bottom w:val="single" w:color="999999" w:sz="6" w:space="0"/>
              <w:right w:val="single" w:color="000000" w:sz="6" w:space="0"/>
            </w:tcBorders>
            <w:shd w:val="clear" w:color="auto" w:fill="E6E6E6"/>
            <w:vAlign w:val="center"/>
          </w:tcPr>
          <w:p w14:paraId="430C4FBF">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r>
              <w:rPr>
                <w:rFonts w:hint="default" w:ascii="Times New Roman" w:hAnsi="Times New Roman" w:eastAsia="汉仪仿宋简" w:cs="Times New Roman"/>
                <w:color w:val="000000"/>
                <w:sz w:val="24"/>
                <w:szCs w:val="24"/>
                <w:lang w:val="en-US" w:eastAsia="zh-CN"/>
              </w:rPr>
              <w:t>-</w:t>
            </w:r>
            <w:r>
              <w:rPr>
                <w:rFonts w:hint="default" w:ascii="Times New Roman" w:hAnsi="Times New Roman" w:eastAsia="汉仪仿宋简" w:cs="Times New Roman"/>
                <w:color w:val="000000"/>
                <w:sz w:val="24"/>
                <w:szCs w:val="24"/>
              </w:rPr>
              <w:t>1</w:t>
            </w:r>
          </w:p>
        </w:tc>
        <w:tc>
          <w:tcPr>
            <w:tcW w:w="1356" w:type="dxa"/>
            <w:vMerge w:val="continue"/>
            <w:tcBorders>
              <w:left w:val="single" w:color="999999" w:sz="6" w:space="0"/>
              <w:bottom w:val="single" w:color="999999" w:sz="6" w:space="0"/>
              <w:right w:val="single" w:color="000000" w:sz="6" w:space="0"/>
            </w:tcBorders>
            <w:shd w:val="clear" w:color="auto" w:fill="E6E6E6"/>
            <w:vAlign w:val="center"/>
          </w:tcPr>
          <w:p w14:paraId="3EE30018">
            <w:pPr>
              <w:pStyle w:val="14"/>
              <w:keepNext w:val="0"/>
              <w:keepLines w:val="0"/>
              <w:widowControl/>
              <w:suppressLineNumbers w:val="0"/>
              <w:kinsoku/>
              <w:wordWrap/>
              <w:overflowPunct/>
              <w:jc w:val="center"/>
              <w:rPr>
                <w:rFonts w:hint="default" w:ascii="Times New Roman" w:hAnsi="Times New Roman" w:eastAsia="汉仪仿宋简" w:cs="Times New Roman"/>
                <w:color w:val="000000"/>
                <w:sz w:val="24"/>
                <w:szCs w:val="24"/>
              </w:rPr>
            </w:pPr>
          </w:p>
        </w:tc>
      </w:tr>
    </w:tbl>
    <w:p w14:paraId="31F651CC">
      <w:pPr>
        <w:widowControl/>
        <w:spacing w:line="560" w:lineRule="exact"/>
        <w:outlineLvl w:val="9"/>
        <w:rPr>
          <w:rFonts w:ascii="Times New Roman Regular" w:hAnsi="Times New Roman Regular" w:eastAsia="黑体" w:cs="Times New Roman Regular"/>
          <w:color w:val="000000" w:themeColor="text1"/>
          <w:sz w:val="28"/>
          <w:szCs w:val="28"/>
          <w:lang w:bidi="ar"/>
          <w14:textFill>
            <w14:solidFill>
              <w14:schemeClr w14:val="tx1"/>
            </w14:solidFill>
          </w14:textFill>
        </w:rPr>
      </w:pPr>
    </w:p>
    <w:p w14:paraId="1BCC14BC">
      <w:pPr>
        <w:widowControl/>
        <w:spacing w:line="560" w:lineRule="exact"/>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 xml:space="preserve">6.2.1 </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泉州石化</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炼化一体化</w:t>
      </w: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及下游</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产业规划</w:t>
      </w:r>
    </w:p>
    <w:p w14:paraId="5F130658">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炼油、乙烯</w:t>
      </w: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芳烃及其下游的有机原料、合成材料和新材料业务，是中化能源的核心业务之一，其业务发展是未来利润的主要增长点，炼油化工基地坐落于福建省湄洲湾石化产业基地的泉惠石化工业园区，拥有1500万吨/年原油加工能力、100万吨/年乙烯及80万吨/年对二甲苯产能。</w:t>
      </w:r>
    </w:p>
    <w:p w14:paraId="7BC7D41D">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6.2.1 到2025年</w:t>
      </w:r>
    </w:p>
    <w:p w14:paraId="36B78EE6">
      <w:pPr>
        <w:widowControl/>
        <w:spacing w:line="560" w:lineRule="exact"/>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（1）产业发展方案</w:t>
      </w:r>
    </w:p>
    <w:p w14:paraId="298BEB59">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高端化延伸产业链。新建26万吨/年丙烯腈装置。</w:t>
      </w:r>
    </w:p>
    <w:p w14:paraId="5F9A7155">
      <w:pPr>
        <w:widowControl/>
        <w:spacing w:line="560" w:lineRule="exact"/>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（2）新增能耗/碳排放来源</w:t>
      </w:r>
    </w:p>
    <w:p w14:paraId="38E940C1">
      <w:pPr>
        <w:widowControl/>
        <w:ind w:firstLine="560" w:firstLineChars="200"/>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26</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年丙烯腈，增加约</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39.9</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年碳排放，其中间</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接排放</w:t>
      </w:r>
      <w:r>
        <w:rPr>
          <w:rFonts w:ascii="Times New Roman Regular" w:hAnsi="Times New Roman Regular" w:eastAsia="ArialMT" w:cs="Times New Roman Regular"/>
          <w:color w:val="000000" w:themeColor="text1"/>
          <w:kern w:val="0"/>
          <w:sz w:val="28"/>
          <w:szCs w:val="28"/>
          <w14:textFill>
            <w14:solidFill>
              <w14:schemeClr w14:val="tx1"/>
            </w14:solidFill>
          </w14:textFill>
        </w:rPr>
        <w:t>26</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万吨，直接排放</w:t>
      </w:r>
      <w:r>
        <w:rPr>
          <w:rFonts w:ascii="Times New Roman Regular" w:hAnsi="Times New Roman Regular" w:eastAsia="ArialMT" w:cs="Times New Roman Regular"/>
          <w:color w:val="000000" w:themeColor="text1"/>
          <w:kern w:val="0"/>
          <w:sz w:val="28"/>
          <w:szCs w:val="28"/>
          <w14:textFill>
            <w14:solidFill>
              <w14:schemeClr w14:val="tx1"/>
            </w14:solidFill>
          </w14:textFill>
        </w:rPr>
        <w:t>14</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万吨</w:t>
      </w:r>
      <w:r>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t>。</w:t>
      </w:r>
    </w:p>
    <w:p w14:paraId="07A7CCE3">
      <w:pPr>
        <w:widowControl/>
        <w:spacing w:line="560" w:lineRule="exact"/>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（3）节能低碳措施</w:t>
      </w:r>
    </w:p>
    <w:p w14:paraId="4DF63F25">
      <w:pPr>
        <w:widowControl/>
        <w:ind w:firstLine="562" w:firstLineChars="200"/>
        <w:rPr>
          <w:rFonts w:ascii="Times New Roman Regular" w:hAnsi="Times New Roman Regular" w:eastAsia="仿宋_GB2312" w:cs="Times New Roman Regular"/>
          <w:color w:val="000000" w:themeColor="text1"/>
          <w:kern w:val="0"/>
          <w:sz w:val="28"/>
          <w:szCs w:val="28"/>
          <w14:textFill>
            <w14:solidFill>
              <w14:schemeClr w14:val="tx1"/>
            </w14:solidFill>
          </w14:textFill>
        </w:rPr>
      </w:pPr>
      <w:r>
        <w:rPr>
          <w:rFonts w:ascii="Times New Roman Regular" w:hAnsi="Times New Roman Regular" w:eastAsia="仿宋_GB2312" w:cs="Times New Roman Regular"/>
          <w:b/>
          <w:bCs/>
          <w:color w:val="000000" w:themeColor="text1"/>
          <w:sz w:val="28"/>
          <w:szCs w:val="28"/>
          <w:lang w:eastAsia="zh" w:bidi="ar"/>
          <w14:textFill>
            <w14:solidFill>
              <w14:schemeClr w14:val="tx1"/>
            </w14:solidFill>
          </w14:textFill>
        </w:rPr>
        <w:t>新建下游装置最大程度降低能耗及碳排放。</w:t>
      </w: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新建丙烯腈装置预计2025年内投产，</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采用提高电气化率、换热蒸汽系统优化等手段，碳排放强度比当前行业水平降低</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约</w:t>
      </w:r>
      <w:r>
        <w:rPr>
          <w:rFonts w:ascii="Times New Roman Regular" w:hAnsi="Times New Roman Regular" w:eastAsia="ArialMT" w:cs="Times New Roman Regular"/>
          <w:color w:val="000000" w:themeColor="text1"/>
          <w:kern w:val="0"/>
          <w:sz w:val="28"/>
          <w:szCs w:val="28"/>
          <w14:textFill>
            <w14:solidFill>
              <w14:schemeClr w14:val="tx1"/>
            </w14:solidFill>
          </w14:textFill>
        </w:rPr>
        <w:t>5%</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w:t>
      </w:r>
    </w:p>
    <w:p w14:paraId="06B40746">
      <w:pPr>
        <w:widowControl/>
        <w:ind w:firstLine="562"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kern w:val="0"/>
          <w:sz w:val="28"/>
          <w:szCs w:val="28"/>
          <w:lang w:eastAsia="zh" w:bidi="ar"/>
          <w14:textFill>
            <w14:solidFill>
              <w14:schemeClr w14:val="tx1"/>
            </w14:solidFill>
          </w14:textFill>
        </w:rPr>
        <w:t>生产过程节能降耗。</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2025年年内预计以装置优化升级及检修期为契机，应用高效换热器技术、烟气余热回收技术、精馏系统对标节能优化，实现燃料气节约，降低能耗及碳排放。</w:t>
      </w:r>
    </w:p>
    <w:p w14:paraId="19C42565">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6.2.2 到2030年</w:t>
      </w:r>
    </w:p>
    <w:p w14:paraId="5AED295F">
      <w:pPr>
        <w:widowControl/>
        <w:spacing w:line="560" w:lineRule="exact"/>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（1）产业发展方案</w:t>
      </w:r>
    </w:p>
    <w:p w14:paraId="3E62FB47">
      <w:pPr>
        <w:widowControl/>
        <w:spacing w:line="600" w:lineRule="exact"/>
        <w:ind w:firstLine="562" w:firstLineChars="200"/>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pPr>
      <w:r>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现有烯烃产业链延伸。</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EVA</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扩能（</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10-&gt;14</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），新建</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10</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EVA</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装</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置</w:t>
      </w:r>
      <w:r>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t>。</w:t>
      </w:r>
    </w:p>
    <w:p w14:paraId="3E8189B8">
      <w:pPr>
        <w:widowControl/>
        <w:spacing w:line="600" w:lineRule="exact"/>
        <w:ind w:firstLine="562" w:firstLineChars="200"/>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pPr>
      <w:r>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扩大烯烃产业规模。</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建设</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100</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年二套乙烯，下游发展己烯</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、醋酸乙烯、茂金属聚乙烯、</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EVA</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POE</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弹性体、</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UHMWPE</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、丙烯酸、壬烯、</w:t>
      </w:r>
      <w:r>
        <w:rPr>
          <w:rFonts w:ascii="Times New Roman Regular" w:hAnsi="Times New Roman Regular" w:eastAsia="ArialMT" w:cs="Times New Roman Regular"/>
          <w:color w:val="000000" w:themeColor="text1"/>
          <w:kern w:val="0"/>
          <w:sz w:val="28"/>
          <w:szCs w:val="28"/>
          <w14:textFill>
            <w14:solidFill>
              <w14:schemeClr w14:val="tx1"/>
            </w14:solidFill>
          </w14:textFill>
        </w:rPr>
        <w:t>SEBS/SEPS</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等产品下游产品</w:t>
      </w:r>
      <w:r>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t>。</w:t>
      </w:r>
    </w:p>
    <w:p w14:paraId="726CE026">
      <w:pPr>
        <w:widowControl/>
        <w:spacing w:line="15" w:lineRule="auto"/>
        <w:ind w:firstLine="560" w:firstLineChars="200"/>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pPr>
      <w:r>
        <w:rPr>
          <w:rFonts w:ascii="Times New Roman Regular" w:hAnsi="Times New Roman Regular" w:eastAsia="Arial-BoldMT" w:cs="Times New Roman Regular"/>
          <w:color w:val="000000" w:themeColor="text1"/>
          <w:kern w:val="0"/>
          <w:sz w:val="28"/>
          <w:szCs w:val="28"/>
          <w:lang w:bidi="ar"/>
          <w14:textFill>
            <w14:solidFill>
              <w14:schemeClr w14:val="tx1"/>
            </w14:solidFill>
          </w14:textFill>
        </w:rPr>
        <w:t>PX</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规模提升。在现有重整装置及芳烃装置基础上，扩大联合芳烃装置</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规模，实现</w:t>
      </w:r>
      <w:r>
        <w:rPr>
          <w:rFonts w:ascii="Times New Roman Regular" w:hAnsi="Times New Roman Regular" w:eastAsia="ArialMT" w:cs="Times New Roman Regular"/>
          <w:color w:val="000000" w:themeColor="text1"/>
          <w:kern w:val="0"/>
          <w:sz w:val="28"/>
          <w:szCs w:val="28"/>
          <w14:textFill>
            <w14:solidFill>
              <w14:schemeClr w14:val="tx1"/>
            </w14:solidFill>
          </w14:textFill>
        </w:rPr>
        <w:t>PX</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产能从</w:t>
      </w:r>
      <w:r>
        <w:rPr>
          <w:rFonts w:ascii="Times New Roman Regular" w:hAnsi="Times New Roman Regular" w:eastAsia="ArialMT" w:cs="Times New Roman Regular"/>
          <w:color w:val="000000" w:themeColor="text1"/>
          <w:kern w:val="0"/>
          <w:sz w:val="28"/>
          <w:szCs w:val="28"/>
          <w14:textFill>
            <w14:solidFill>
              <w14:schemeClr w14:val="tx1"/>
            </w14:solidFill>
          </w14:textFill>
        </w:rPr>
        <w:t>80</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年扩大到</w:t>
      </w:r>
      <w:r>
        <w:rPr>
          <w:rFonts w:ascii="Times New Roman Regular" w:hAnsi="Times New Roman Regular" w:eastAsia="ArialMT" w:cs="Times New Roman Regular"/>
          <w:color w:val="000000" w:themeColor="text1"/>
          <w:kern w:val="0"/>
          <w:sz w:val="28"/>
          <w:szCs w:val="28"/>
          <w14:textFill>
            <w14:solidFill>
              <w14:schemeClr w14:val="tx1"/>
            </w14:solidFill>
          </w14:textFill>
        </w:rPr>
        <w:t>200</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年。</w:t>
      </w:r>
    </w:p>
    <w:p w14:paraId="65B23891">
      <w:pPr>
        <w:widowControl/>
        <w:spacing w:line="600" w:lineRule="exact"/>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（2）</w:t>
      </w: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新增能耗/碳排放来源</w:t>
      </w:r>
    </w:p>
    <w:p w14:paraId="7B18D808">
      <w:pPr>
        <w:widowControl/>
        <w:spacing w:line="600" w:lineRule="exact"/>
        <w:ind w:right="-2520" w:rightChars="-1200" w:firstLine="562"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现有烯烃产业链延伸。</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新增</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ArialMT" w:cs="Times New Roman Regular"/>
          <w:color w:val="000000" w:themeColor="text1"/>
          <w:kern w:val="0"/>
          <w:sz w:val="28"/>
          <w:szCs w:val="28"/>
          <w:lang w:eastAsia="zh" w:bidi="ar"/>
          <w14:textFill>
            <w14:solidFill>
              <w14:schemeClr w14:val="tx1"/>
            </w14:solidFill>
          </w14:textFill>
        </w:rPr>
        <w:t>0</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EVA</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，本装置年产 10 </w:t>
      </w:r>
    </w:p>
    <w:p w14:paraId="08213391">
      <w:pPr>
        <w:widowControl/>
        <w:spacing w:line="600" w:lineRule="exact"/>
        <w:ind w:right="-2520" w:rightChars="-1200" w:firstLine="560" w:firstLineChars="200"/>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 EVA 产品，年碳排放量为</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16.92万</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吨 CO</w:t>
      </w:r>
      <w:r>
        <w:rPr>
          <w:rFonts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w:t>
      </w:r>
    </w:p>
    <w:p w14:paraId="68E38D52">
      <w:pPr>
        <w:widowControl/>
        <w:spacing w:line="600" w:lineRule="exact"/>
        <w:ind w:firstLine="562" w:firstLineChars="200"/>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pPr>
      <w:r>
        <w:rPr>
          <w:rFonts w:ascii="Times New Roman Regular" w:hAnsi="Times New Roman Regular" w:eastAsia="仿宋_GB2312" w:cs="Times New Roman Regular"/>
          <w:b/>
          <w:bCs/>
          <w:color w:val="000000" w:themeColor="text1"/>
          <w:kern w:val="0"/>
          <w:sz w:val="28"/>
          <w:szCs w:val="28"/>
          <w:lang w:bidi="ar"/>
          <w14:textFill>
            <w14:solidFill>
              <w14:schemeClr w14:val="tx1"/>
            </w14:solidFill>
          </w14:textFill>
        </w:rPr>
        <w:t>二套乙烯及下游装置</w:t>
      </w:r>
      <w:r>
        <w:rPr>
          <w:rFonts w:ascii="Times New Roman Regular" w:hAnsi="Times New Roman Regular" w:eastAsia="仿宋_GB2312" w:cs="Times New Roman Regular"/>
          <w:b/>
          <w:bCs/>
          <w:color w:val="000000" w:themeColor="text1"/>
          <w:kern w:val="0"/>
          <w:sz w:val="28"/>
          <w:szCs w:val="28"/>
          <w:lang w:eastAsia="zh"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新增碳排放约</w:t>
      </w:r>
      <w:r>
        <w:rPr>
          <w:rFonts w:ascii="Times New Roman Regular" w:hAnsi="Times New Roman Regular" w:eastAsia="Arial-BoldMT" w:cs="Times New Roman Regular"/>
          <w:color w:val="000000" w:themeColor="text1"/>
          <w:kern w:val="0"/>
          <w:sz w:val="28"/>
          <w:szCs w:val="28"/>
          <w:lang w:bidi="ar"/>
          <w14:textFill>
            <w14:solidFill>
              <w14:schemeClr w14:val="tx1"/>
            </w14:solidFill>
          </w14:textFill>
        </w:rPr>
        <w:t>367</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Bold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w:t>
      </w:r>
      <w:r>
        <w:rPr>
          <w:rFonts w:ascii="Times New Roman Regular" w:hAnsi="Times New Roman Regular" w:eastAsia="仿宋_GB2312" w:cs="Times New Roman Regular"/>
          <w:b/>
          <w:bCs/>
          <w:color w:val="000000" w:themeColor="text1"/>
          <w:kern w:val="0"/>
          <w:sz w:val="28"/>
          <w:szCs w:val="28"/>
          <w:lang w:eastAsia="zh" w:bidi="ar"/>
          <w14:textFill>
            <w14:solidFill>
              <w14:schemeClr w14:val="tx1"/>
            </w14:solidFill>
          </w14:textFill>
        </w:rPr>
        <w:t>，</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100</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年乙烯装置，新增碳排放约</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120</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年，其中</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80%</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裂解炉直接排放，</w:t>
      </w:r>
      <w:r>
        <w:rPr>
          <w:rFonts w:ascii="Times New Roman Regular" w:hAnsi="Times New Roman Regular" w:eastAsia="ArialMT" w:cs="Times New Roman Regular"/>
          <w:color w:val="000000" w:themeColor="text1"/>
          <w:kern w:val="0"/>
          <w:sz w:val="28"/>
          <w:szCs w:val="28"/>
          <w:lang w:bidi="ar"/>
          <w14:textFill>
            <w14:solidFill>
              <w14:schemeClr w14:val="tx1"/>
            </w14:solidFill>
          </w14:textFill>
        </w:rPr>
        <w:t>20%</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间接排放</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烯烃下游装置带来的碳排放，增加碳排放约</w:t>
      </w:r>
      <w:r>
        <w:rPr>
          <w:rFonts w:ascii="Times New Roman Regular" w:hAnsi="Times New Roman Regular" w:eastAsia="ArialMT" w:cs="Times New Roman Regular"/>
          <w:color w:val="000000" w:themeColor="text1"/>
          <w:kern w:val="0"/>
          <w:sz w:val="28"/>
          <w:szCs w:val="28"/>
          <w14:textFill>
            <w14:solidFill>
              <w14:schemeClr w14:val="tx1"/>
            </w14:solidFill>
          </w14:textFill>
        </w:rPr>
        <w:t>247</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万吨</w:t>
      </w:r>
      <w:r>
        <w:rPr>
          <w:rFonts w:ascii="Times New Roman Regular" w:hAnsi="Times New Roman Regular" w:eastAsia="ArialMT" w:cs="Times New Roman Regular"/>
          <w:color w:val="000000" w:themeColor="text1"/>
          <w:kern w:val="0"/>
          <w:sz w:val="28"/>
          <w:szCs w:val="28"/>
          <w14:textFill>
            <w14:solidFill>
              <w14:schemeClr w14:val="tx1"/>
            </w14:solidFill>
          </w14:textFill>
        </w:rPr>
        <w:t>/</w:t>
      </w:r>
      <w:r>
        <w:rPr>
          <w:rFonts w:ascii="Times New Roman Regular" w:hAnsi="Times New Roman Regular" w:eastAsia="仿宋_GB2312" w:cs="Times New Roman Regular"/>
          <w:color w:val="000000" w:themeColor="text1"/>
          <w:kern w:val="0"/>
          <w:sz w:val="28"/>
          <w:szCs w:val="28"/>
          <w14:textFill>
            <w14:solidFill>
              <w14:schemeClr w14:val="tx1"/>
            </w14:solidFill>
          </w14:textFill>
        </w:rPr>
        <w:t>年，主要是间接排放</w:t>
      </w:r>
      <w:r>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t>。</w:t>
      </w:r>
    </w:p>
    <w:p w14:paraId="1D52F15B">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eastAsia="zh"/>
          <w14:textFill>
            <w14:solidFill>
              <w14:schemeClr w14:val="tx1"/>
            </w14:solidFill>
          </w14:textFill>
        </w:rPr>
        <w:t>芳烃扩能项目。本项目排放源和气体主要包括燃料燃烧二氧化碳排放、火炬燃料过程二氧化碳排放、企业净购入电力和热力等，共计增加二氧化碳排放49.59万吨。</w:t>
      </w:r>
    </w:p>
    <w:p w14:paraId="20819952">
      <w:pPr>
        <w:widowControl/>
        <w:spacing w:line="600" w:lineRule="exact"/>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eastAsia="zh" w:bidi="ar"/>
          <w14:textFill>
            <w14:solidFill>
              <w14:schemeClr w14:val="tx1"/>
            </w14:solidFill>
          </w14:textFill>
        </w:rPr>
        <w:t>（3）节能低碳措施</w:t>
      </w:r>
    </w:p>
    <w:p w14:paraId="19BAFD69">
      <w:pPr>
        <w:widowControl/>
        <w:spacing w:line="600" w:lineRule="exact"/>
        <w:ind w:firstLine="562" w:firstLineChars="200"/>
        <w:rPr>
          <w:rFonts w:ascii="Times New Roman Regular" w:hAnsi="Times New Roman Regular" w:eastAsia="仿宋_GB2312" w:cs="Times New Roman Regular"/>
          <w:color w:val="000000" w:themeColor="text1"/>
          <w:sz w:val="28"/>
          <w:szCs w:val="28"/>
          <w:lang w:eastAsia="zh"/>
          <w14:textFill>
            <w14:solidFill>
              <w14:schemeClr w14:val="tx1"/>
            </w14:solidFill>
          </w14:textFill>
        </w:rPr>
      </w:pPr>
      <w:r>
        <w:rPr>
          <w:rFonts w:ascii="Times New Roman Regular" w:hAnsi="Times New Roman Regular" w:eastAsia="仿宋_GB2312" w:cs="Times New Roman Regular"/>
          <w:b/>
          <w:bCs/>
          <w:color w:val="000000" w:themeColor="text1"/>
          <w:sz w:val="28"/>
          <w:szCs w:val="28"/>
          <w:lang w:eastAsia="zh"/>
          <w14:textFill>
            <w14:solidFill>
              <w14:schemeClr w14:val="tx1"/>
            </w14:solidFill>
          </w14:textFill>
        </w:rPr>
        <w:t>绿色电力供应降低间接排放。</w:t>
      </w:r>
      <w:r>
        <w:rPr>
          <w:rFonts w:ascii="Times New Roman Regular" w:hAnsi="Times New Roman Regular" w:eastAsia="仿宋_GB2312" w:cs="Times New Roman Regular"/>
          <w:color w:val="000000" w:themeColor="text1"/>
          <w:sz w:val="28"/>
          <w:szCs w:val="28"/>
          <w:lang w:eastAsia="zh"/>
          <w14:textFill>
            <w14:solidFill>
              <w14:schemeClr w14:val="tx1"/>
            </w14:solidFill>
          </w14:textFill>
        </w:rPr>
        <w:t>新建乙烯装置考虑提前通过绿色电力供应协议锁定上游绿色电力供应指标，该部分间接排放二氧化碳排放为0，此项措施预计实现减排量26.72万吨。</w:t>
      </w:r>
    </w:p>
    <w:p w14:paraId="629D4A6B">
      <w:pPr>
        <w:widowControl/>
        <w:snapToGrid w:val="0"/>
        <w:spacing w:before="156" w:beforeLines="50" w:after="156" w:afterLines="50" w:line="56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6.2.</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3</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节能降碳项目评估</w:t>
      </w:r>
    </w:p>
    <w:p w14:paraId="5B45B925">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按照企业目前设备运行和规划情况，建议企业按照源头减碳、过程控碳和末端固碳的思路开展相关节能降碳工作，可参照相关建议开展以下16个节能低碳项目的立项论证工作，16项节能低碳项目预计能实现260万吨二氧化碳排放减量，降低38.79万吨标准煤能耗。在相关情景测算中，按照保守方案及技术成熟度考虑，预计“十五五”期间落实减碳量91万吨二氧化碳，降耗量9.46万吨标准煤。</w:t>
      </w:r>
    </w:p>
    <w:p w14:paraId="3B982A95">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“十四五”期间，</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建议</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将结合生产装置实际和工艺优化需求，分领域分步骤落实绿色低碳项目，重点从以下方面推进：</w:t>
      </w:r>
    </w:p>
    <w:p w14:paraId="6E68302B">
      <w:pPr>
        <w:widowControl/>
        <w:numPr>
          <w:ilvl w:val="0"/>
          <w:numId w:val="2"/>
        </w:numPr>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能源利用优化：实施燃气锅炉改造、蒸汽管网优化、电机系统节能、余热回收等项目，降低单位能耗和碳排放。</w:t>
      </w:r>
    </w:p>
    <w:p w14:paraId="60547913">
      <w:pPr>
        <w:widowControl/>
        <w:numPr>
          <w:ilvl w:val="0"/>
          <w:numId w:val="2"/>
        </w:numPr>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电气化改造：推动乙烯“三机”电气化等用电替代方案，减少化石燃料直接燃烧排放。</w:t>
      </w:r>
    </w:p>
    <w:p w14:paraId="60192D11">
      <w:pPr>
        <w:widowControl/>
        <w:numPr>
          <w:ilvl w:val="0"/>
          <w:numId w:val="2"/>
        </w:numPr>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流程及系统优化：加强换热网络优化、废热锅炉技术改造，提升整体热效率。</w:t>
      </w:r>
    </w:p>
    <w:p w14:paraId="34140C8C">
      <w:pPr>
        <w:widowControl/>
        <w:numPr>
          <w:ilvl w:val="0"/>
          <w:numId w:val="2"/>
        </w:numPr>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碳资源化利用：研究布局高浓度二氧化碳捕集和食品级二氧化碳利用项目，推动二氧化碳资源化利用路径可行性。</w:t>
      </w:r>
    </w:p>
    <w:p w14:paraId="6A8C1F7A">
      <w:pPr>
        <w:widowControl/>
        <w:numPr>
          <w:ilvl w:val="0"/>
          <w:numId w:val="2"/>
        </w:numPr>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新建装置绿色设计：在新建项目中优先采用高效低碳工艺，预留电气化改造空间，降低全生命周期碳排放。</w:t>
      </w:r>
    </w:p>
    <w:p w14:paraId="5370313C">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其中，乙烯三机电机化建议优先在新建二套乙烯项目设计中采用，避免旧设备大规模拆改风险，一套乙烯改造可列入远期储备；</w:t>
      </w:r>
    </w:p>
    <w:p w14:paraId="47713D7C">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食品级二氧化碳方面，目前泉州已有福建凯美特气体公司（20万吨/年工业级、食品级二氧化碳项目）的液体二氧化碳、干冰等产品广泛应用于饮料、冷链物流等领域，年产值约1亿元。目前泉州石化周边重点有达利食品、可口可乐、百事可乐等相关饮料厂，但由于凯美特气已建立相关牢固供应网络，加上泉州目前已经在出口二氧化碳，说明内销市场相对饱和。食品级二氧化碳新进入5万吨项目需要错位竞争，建议加强与本地龙头企业合作，例如联手食品企业共建二氧化碳使用平台，确保下游消纳，因此建议近期按照3-5万吨规模级分布落地，结合下游合作意向灵活调整规模。</w:t>
      </w:r>
    </w:p>
    <w:p w14:paraId="29C2FCF6">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除食品级二氧化碳利用外，为匹配40万吨/年捕集能力，建议从以下利用场景及思路入手。</w:t>
      </w:r>
    </w:p>
    <w:p w14:paraId="66DA5F8B">
      <w:pPr>
        <w:widowControl/>
        <w:adjustRightInd w:val="0"/>
        <w:spacing w:line="600" w:lineRule="exact"/>
        <w:ind w:firstLine="400" w:firstLineChars="200"/>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lang w:val="en-US" w:eastAsia="zh-CN"/>
          <w14:textFill>
            <w14:solidFill>
              <w14:schemeClr w14:val="tx1"/>
            </w14:solidFill>
          </w14:textFill>
        </w:rPr>
        <w:t>3</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主要利用场景与潜力估算（下游去项可根据实际情况选择）</w:t>
      </w:r>
    </w:p>
    <w:tbl>
      <w:tblPr>
        <w:tblStyle w:val="17"/>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3840"/>
        <w:gridCol w:w="3195"/>
      </w:tblGrid>
      <w:tr w14:paraId="6624F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71" w:type="pct"/>
          </w:tcPr>
          <w:p w14:paraId="40CE94AC">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场景</w:t>
            </w:r>
          </w:p>
        </w:tc>
        <w:tc>
          <w:tcPr>
            <w:tcW w:w="2253" w:type="pct"/>
          </w:tcPr>
          <w:p w14:paraId="41712857">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年可消纳CO2规模（万吨）</w:t>
            </w:r>
          </w:p>
        </w:tc>
        <w:tc>
          <w:tcPr>
            <w:tcW w:w="1875" w:type="pct"/>
          </w:tcPr>
          <w:p w14:paraId="4EA283C4">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主要用途</w:t>
            </w:r>
          </w:p>
        </w:tc>
      </w:tr>
      <w:tr w14:paraId="67203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71" w:type="pct"/>
          </w:tcPr>
          <w:p w14:paraId="077714C7">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化工原料利用</w:t>
            </w:r>
          </w:p>
        </w:tc>
        <w:tc>
          <w:tcPr>
            <w:tcW w:w="2253" w:type="pct"/>
          </w:tcPr>
          <w:p w14:paraId="619235ED">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15-20</w:t>
            </w: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万吨/年</w:t>
            </w:r>
          </w:p>
        </w:tc>
        <w:tc>
          <w:tcPr>
            <w:tcW w:w="1875" w:type="pct"/>
          </w:tcPr>
          <w:p w14:paraId="21725737">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生产DMC、碳酸酯溶剂、尿素、甲醇。技术成熟、附加值高</w:t>
            </w:r>
          </w:p>
        </w:tc>
      </w:tr>
      <w:tr w14:paraId="017D6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71" w:type="pct"/>
          </w:tcPr>
          <w:p w14:paraId="3B294247">
            <w:pPr>
              <w:widowControl/>
              <w:snapToGrid w:val="0"/>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碳基电燃料应用</w:t>
            </w:r>
          </w:p>
        </w:tc>
        <w:tc>
          <w:tcPr>
            <w:tcW w:w="2253" w:type="pct"/>
          </w:tcPr>
          <w:p w14:paraId="65159C43">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5-10万吨/年</w:t>
            </w:r>
          </w:p>
        </w:tc>
        <w:tc>
          <w:tcPr>
            <w:tcW w:w="1875" w:type="pct"/>
          </w:tcPr>
          <w:p w14:paraId="73E5BC4F">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绿氢+CO₂合成绿色甲醇、航空燃料。</w:t>
            </w:r>
          </w:p>
        </w:tc>
      </w:tr>
      <w:tr w14:paraId="33833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71" w:type="pct"/>
          </w:tcPr>
          <w:p w14:paraId="5BA0C711">
            <w:pPr>
              <w:widowControl/>
              <w:snapToGrid w:val="0"/>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冷链物流与干冰</w:t>
            </w:r>
          </w:p>
        </w:tc>
        <w:tc>
          <w:tcPr>
            <w:tcW w:w="2253" w:type="pct"/>
          </w:tcPr>
          <w:p w14:paraId="0D288406">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2-5万吨/年</w:t>
            </w:r>
          </w:p>
        </w:tc>
        <w:tc>
          <w:tcPr>
            <w:tcW w:w="1875" w:type="pct"/>
          </w:tcPr>
          <w:p w14:paraId="2F3EB3A6">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食品、水产、医药冷链保鲜，泉州冷链产业扩张推动干冰需求稳步增长。</w:t>
            </w:r>
          </w:p>
        </w:tc>
      </w:tr>
      <w:tr w14:paraId="0381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71" w:type="pct"/>
          </w:tcPr>
          <w:p w14:paraId="0339CB4C">
            <w:pPr>
              <w:widowControl/>
              <w:snapToGrid w:val="0"/>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液态CO₂外销/出口</w:t>
            </w:r>
          </w:p>
        </w:tc>
        <w:tc>
          <w:tcPr>
            <w:tcW w:w="2253" w:type="pct"/>
          </w:tcPr>
          <w:p w14:paraId="45DBBC70">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5-8万吨/年</w:t>
            </w:r>
          </w:p>
        </w:tc>
        <w:tc>
          <w:tcPr>
            <w:tcW w:w="1875" w:type="pct"/>
          </w:tcPr>
          <w:p w14:paraId="1EE07AEC">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港口区位优势明显，可出口东南亚或调剂华南市场</w:t>
            </w:r>
          </w:p>
        </w:tc>
      </w:tr>
      <w:tr w14:paraId="2DC8D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71" w:type="pct"/>
          </w:tcPr>
          <w:p w14:paraId="7463D413">
            <w:pPr>
              <w:widowControl/>
              <w:snapToGrid w:val="0"/>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二氧化碳封存（兜底）</w:t>
            </w:r>
          </w:p>
        </w:tc>
        <w:tc>
          <w:tcPr>
            <w:tcW w:w="2253" w:type="pct"/>
          </w:tcPr>
          <w:p w14:paraId="0FBD67CA">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10万吨/年</w:t>
            </w:r>
          </w:p>
        </w:tc>
        <w:tc>
          <w:tcPr>
            <w:tcW w:w="1875" w:type="pct"/>
          </w:tcPr>
          <w:p w14:paraId="472AEC79">
            <w:pPr>
              <w:widowControl/>
              <w:snapToGrid w:val="0"/>
              <w:jc w:val="center"/>
              <w:rPr>
                <w:rFonts w:ascii="Times New Roman Regular" w:hAnsi="Times New Roman Regular" w:eastAsia="华文楷体" w:cs="Times New Roman Regular"/>
                <w:bCs/>
                <w:color w:val="000000" w:themeColor="text1"/>
                <w:kern w:val="0"/>
                <w:sz w:val="24"/>
                <w:szCs w:val="28"/>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4"/>
                <w:szCs w:val="28"/>
                <w:lang w:bidi="ar"/>
                <w14:textFill>
                  <w14:solidFill>
                    <w14:schemeClr w14:val="tx1"/>
                  </w14:solidFill>
                </w14:textFill>
              </w:rPr>
              <w:t>EOR驱油封存、咸水层封存，解决无法利用部分。</w:t>
            </w:r>
          </w:p>
        </w:tc>
      </w:tr>
    </w:tbl>
    <w:p w14:paraId="3958D70D">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sectPr>
          <w:headerReference r:id="rId13" w:type="default"/>
          <w:type w:val="continuous"/>
          <w:pgSz w:w="11906" w:h="16838"/>
          <w:pgMar w:top="1440" w:right="1800" w:bottom="1440" w:left="1800" w:header="851" w:footer="992" w:gutter="0"/>
          <w:pgNumType w:fmt="numberInDash"/>
          <w:cols w:space="425" w:num="1"/>
          <w:docGrid w:type="lines" w:linePitch="312" w:charSpace="0"/>
        </w:sectPr>
      </w:pPr>
    </w:p>
    <w:p w14:paraId="3197D9DC">
      <w:pPr>
        <w:widowControl/>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lang w:val="en-US" w:eastAsia="zh-CN"/>
          <w14:textFill>
            <w14:solidFill>
              <w14:schemeClr w14:val="tx1"/>
            </w14:solidFill>
          </w14:textFill>
        </w:rPr>
        <w:t>4</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节能低碳项目建议表</w:t>
      </w:r>
    </w:p>
    <w:tbl>
      <w:tblPr>
        <w:tblStyle w:val="16"/>
        <w:tblW w:w="4996" w:type="pct"/>
        <w:jc w:val="center"/>
        <w:tblLayout w:type="autofit"/>
        <w:tblCellMar>
          <w:top w:w="0" w:type="dxa"/>
          <w:left w:w="108" w:type="dxa"/>
          <w:bottom w:w="0" w:type="dxa"/>
          <w:right w:w="108" w:type="dxa"/>
        </w:tblCellMar>
      </w:tblPr>
      <w:tblGrid>
        <w:gridCol w:w="540"/>
        <w:gridCol w:w="1533"/>
        <w:gridCol w:w="717"/>
        <w:gridCol w:w="1176"/>
        <w:gridCol w:w="1309"/>
        <w:gridCol w:w="4985"/>
        <w:gridCol w:w="3903"/>
      </w:tblGrid>
      <w:tr w14:paraId="10142395">
        <w:trPr>
          <w:tblHeader/>
          <w:jc w:val="center"/>
        </w:trPr>
        <w:tc>
          <w:tcPr>
            <w:tcW w:w="191" w:type="pct"/>
            <w:tcBorders>
              <w:top w:val="single" w:color="000000" w:sz="12" w:space="0"/>
              <w:left w:val="nil"/>
              <w:bottom w:val="single" w:color="000000" w:sz="4" w:space="0"/>
              <w:right w:val="nil"/>
              <w:tl2br w:val="nil"/>
            </w:tcBorders>
            <w:shd w:val="clear" w:color="auto" w:fill="FFFFFF"/>
            <w:vAlign w:val="center"/>
          </w:tcPr>
          <w:p w14:paraId="0AF01B45">
            <w:pPr>
              <w:widowControl/>
              <w:snapToGrid w:val="0"/>
              <w:jc w:val="center"/>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序号</w:t>
            </w:r>
          </w:p>
        </w:tc>
        <w:tc>
          <w:tcPr>
            <w:tcW w:w="541" w:type="pct"/>
            <w:tcBorders>
              <w:top w:val="single" w:color="000000" w:sz="12" w:space="0"/>
              <w:left w:val="nil"/>
              <w:bottom w:val="single" w:color="000000" w:sz="4" w:space="0"/>
              <w:right w:val="nil"/>
            </w:tcBorders>
            <w:shd w:val="clear" w:color="auto" w:fill="FFFFFF"/>
            <w:vAlign w:val="center"/>
          </w:tcPr>
          <w:p w14:paraId="70F598BB">
            <w:pPr>
              <w:widowControl/>
              <w:snapToGrid w:val="0"/>
              <w:jc w:val="center"/>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项目</w:t>
            </w:r>
          </w:p>
        </w:tc>
        <w:tc>
          <w:tcPr>
            <w:tcW w:w="253" w:type="pct"/>
            <w:tcBorders>
              <w:top w:val="single" w:color="000000" w:sz="12" w:space="0"/>
              <w:left w:val="nil"/>
              <w:bottom w:val="single" w:color="000000" w:sz="4" w:space="0"/>
              <w:right w:val="nil"/>
            </w:tcBorders>
            <w:shd w:val="clear" w:color="auto" w:fill="FFFFFF"/>
            <w:vAlign w:val="center"/>
          </w:tcPr>
          <w:p w14:paraId="5DD1B0F9">
            <w:pPr>
              <w:widowControl/>
              <w:snapToGrid w:val="0"/>
              <w:jc w:val="center"/>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项目类型</w:t>
            </w:r>
          </w:p>
        </w:tc>
        <w:tc>
          <w:tcPr>
            <w:tcW w:w="415" w:type="pct"/>
            <w:tcBorders>
              <w:top w:val="single" w:color="000000" w:sz="12" w:space="0"/>
              <w:left w:val="nil"/>
              <w:bottom w:val="single" w:color="000000" w:sz="4" w:space="0"/>
              <w:right w:val="nil"/>
            </w:tcBorders>
            <w:shd w:val="clear" w:color="auto" w:fill="FFFFFF"/>
            <w:vAlign w:val="center"/>
          </w:tcPr>
          <w:p w14:paraId="04187B9B">
            <w:pPr>
              <w:widowControl/>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节能效果</w:t>
            </w:r>
          </w:p>
          <w:p w14:paraId="44F096F5">
            <w:pPr>
              <w:widowControl/>
              <w:snapToGrid w:val="0"/>
              <w:jc w:val="center"/>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（万吨标准煤）</w:t>
            </w:r>
          </w:p>
        </w:tc>
        <w:tc>
          <w:tcPr>
            <w:tcW w:w="462" w:type="pct"/>
            <w:tcBorders>
              <w:top w:val="single" w:color="000000" w:sz="12" w:space="0"/>
              <w:left w:val="nil"/>
              <w:bottom w:val="single" w:color="000000" w:sz="4" w:space="0"/>
              <w:right w:val="nil"/>
            </w:tcBorders>
            <w:shd w:val="clear" w:color="auto" w:fill="FFFFFF"/>
            <w:vAlign w:val="center"/>
          </w:tcPr>
          <w:p w14:paraId="7DC67C67">
            <w:pPr>
              <w:widowControl/>
              <w:snapToGrid w:val="0"/>
              <w:jc w:val="center"/>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降碳</w:t>
            </w:r>
            <w:r>
              <w:rPr>
                <w:rFonts w:hint="eastAsia" w:ascii="Times New Roman Regular" w:hAnsi="Times New Roman Regular" w:eastAsia="华文楷体" w:cs="Times New Roman Regular"/>
                <w:b/>
                <w:color w:val="000000" w:themeColor="text1"/>
                <w:kern w:val="0"/>
                <w:sz w:val="20"/>
                <w:szCs w:val="21"/>
                <w:lang w:bidi="ar"/>
                <w14:textFill>
                  <w14:solidFill>
                    <w14:schemeClr w14:val="tx1"/>
                  </w14:solidFill>
                </w14:textFill>
              </w:rPr>
              <w:t>效果</w:t>
            </w: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
                <w:color w:val="000000" w:themeColor="text1"/>
                <w:kern w:val="0"/>
                <w:sz w:val="20"/>
                <w:szCs w:val="21"/>
                <w:vertAlign w:val="subscript"/>
                <w:lang w:bidi="ar"/>
                <w14:textFill>
                  <w14:solidFill>
                    <w14:schemeClr w14:val="tx1"/>
                  </w14:solidFill>
                </w14:textFill>
              </w:rPr>
              <w:t>2</w:t>
            </w: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w:t>
            </w:r>
          </w:p>
        </w:tc>
        <w:tc>
          <w:tcPr>
            <w:tcW w:w="1758" w:type="pct"/>
            <w:tcBorders>
              <w:top w:val="single" w:color="000000" w:sz="12" w:space="0"/>
              <w:left w:val="nil"/>
              <w:bottom w:val="single" w:color="000000" w:sz="4" w:space="0"/>
              <w:right w:val="nil"/>
            </w:tcBorders>
            <w:shd w:val="clear" w:color="auto" w:fill="FFFFFF"/>
            <w:vAlign w:val="center"/>
          </w:tcPr>
          <w:p w14:paraId="6135A181">
            <w:pPr>
              <w:widowControl/>
              <w:snapToGrid w:val="0"/>
              <w:jc w:val="center"/>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t>备注</w:t>
            </w:r>
          </w:p>
        </w:tc>
        <w:tc>
          <w:tcPr>
            <w:tcW w:w="1377" w:type="pct"/>
            <w:tcBorders>
              <w:top w:val="single" w:color="000000" w:sz="12" w:space="0"/>
              <w:left w:val="nil"/>
              <w:bottom w:val="single" w:color="000000" w:sz="4" w:space="0"/>
              <w:right w:val="nil"/>
            </w:tcBorders>
            <w:shd w:val="clear" w:color="auto" w:fill="FFFFFF"/>
            <w:vAlign w:val="center"/>
          </w:tcPr>
          <w:p w14:paraId="2B582EF8">
            <w:pPr>
              <w:widowControl/>
              <w:snapToGrid w:val="0"/>
              <w:jc w:val="center"/>
              <w:rPr>
                <w:rFonts w:ascii="Times New Roman Regular" w:hAnsi="Times New Roman Regular" w:eastAsia="华文楷体" w:cs="Times New Roman Regular"/>
                <w:b/>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
                <w:color w:val="000000" w:themeColor="text1"/>
                <w:kern w:val="0"/>
                <w:sz w:val="20"/>
                <w:szCs w:val="21"/>
                <w:lang w:bidi="ar"/>
                <w14:textFill>
                  <w14:solidFill>
                    <w14:schemeClr w14:val="tx1"/>
                  </w14:solidFill>
                </w14:textFill>
              </w:rPr>
              <w:t>技术成熟度与落地性分析</w:t>
            </w:r>
          </w:p>
        </w:tc>
      </w:tr>
      <w:tr w14:paraId="7741811A">
        <w:tblPrEx>
          <w:tblCellMar>
            <w:top w:w="0" w:type="dxa"/>
            <w:left w:w="108" w:type="dxa"/>
            <w:bottom w:w="0" w:type="dxa"/>
            <w:right w:w="108" w:type="dxa"/>
          </w:tblCellMar>
        </w:tblPrEx>
        <w:trPr>
          <w:trHeight w:val="305" w:hRule="atLeast"/>
          <w:jc w:val="center"/>
        </w:trPr>
        <w:tc>
          <w:tcPr>
            <w:tcW w:w="3622" w:type="pct"/>
            <w:gridSpan w:val="6"/>
            <w:tcBorders>
              <w:top w:val="single" w:color="000000" w:sz="4" w:space="0"/>
              <w:left w:val="nil"/>
              <w:bottom w:val="nil"/>
              <w:right w:val="nil"/>
            </w:tcBorders>
            <w:shd w:val="clear" w:color="auto" w:fill="FFFFFF"/>
            <w:vAlign w:val="center"/>
          </w:tcPr>
          <w:p w14:paraId="22AC3B56">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一、源头减碳项目</w:t>
            </w:r>
          </w:p>
        </w:tc>
        <w:tc>
          <w:tcPr>
            <w:tcW w:w="1377" w:type="pct"/>
            <w:tcBorders>
              <w:top w:val="single" w:color="000000" w:sz="4" w:space="0"/>
              <w:left w:val="nil"/>
              <w:bottom w:val="nil"/>
              <w:right w:val="nil"/>
            </w:tcBorders>
            <w:shd w:val="clear" w:color="auto" w:fill="FFFFFF"/>
            <w:vAlign w:val="center"/>
          </w:tcPr>
          <w:p w14:paraId="7B441177">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2A4E823B">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2D93F93F">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541" w:type="pct"/>
            <w:tcBorders>
              <w:top w:val="nil"/>
              <w:left w:val="nil"/>
              <w:bottom w:val="nil"/>
              <w:right w:val="nil"/>
            </w:tcBorders>
            <w:shd w:val="clear" w:color="auto" w:fill="FFFFFF"/>
            <w:vAlign w:val="center"/>
          </w:tcPr>
          <w:p w14:paraId="283BC13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泉州厂内闲置面积光伏发电（12.25MWp）</w:t>
            </w:r>
          </w:p>
        </w:tc>
        <w:tc>
          <w:tcPr>
            <w:tcW w:w="253" w:type="pct"/>
            <w:tcBorders>
              <w:top w:val="nil"/>
              <w:left w:val="nil"/>
              <w:bottom w:val="nil"/>
              <w:right w:val="nil"/>
            </w:tcBorders>
            <w:shd w:val="clear" w:color="auto" w:fill="FFFFFF"/>
            <w:vAlign w:val="center"/>
          </w:tcPr>
          <w:p w14:paraId="35FA6DE8">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低碳能源</w:t>
            </w:r>
          </w:p>
        </w:tc>
        <w:tc>
          <w:tcPr>
            <w:tcW w:w="415" w:type="pct"/>
            <w:tcBorders>
              <w:top w:val="nil"/>
              <w:left w:val="nil"/>
              <w:bottom w:val="nil"/>
              <w:right w:val="nil"/>
            </w:tcBorders>
            <w:shd w:val="clear" w:color="auto" w:fill="FFFFFF"/>
            <w:vAlign w:val="center"/>
          </w:tcPr>
          <w:p w14:paraId="2A56023A">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0.37</w:t>
            </w:r>
          </w:p>
        </w:tc>
        <w:tc>
          <w:tcPr>
            <w:tcW w:w="462" w:type="pct"/>
            <w:tcBorders>
              <w:top w:val="nil"/>
              <w:left w:val="nil"/>
              <w:bottom w:val="nil"/>
              <w:right w:val="nil"/>
            </w:tcBorders>
            <w:shd w:val="clear" w:color="auto" w:fill="FFFFFF"/>
            <w:vAlign w:val="center"/>
          </w:tcPr>
          <w:p w14:paraId="5F4622CC">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0.99</w:t>
            </w:r>
          </w:p>
        </w:tc>
        <w:tc>
          <w:tcPr>
            <w:tcW w:w="1758" w:type="pct"/>
            <w:tcBorders>
              <w:top w:val="nil"/>
              <w:left w:val="nil"/>
              <w:bottom w:val="nil"/>
              <w:right w:val="nil"/>
            </w:tcBorders>
            <w:shd w:val="clear" w:color="auto" w:fill="FFFFFF"/>
            <w:vAlign w:val="center"/>
          </w:tcPr>
          <w:p w14:paraId="050C31F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本项目总投资6467.13万元，年平均发电量12276MWh</w:t>
            </w:r>
          </w:p>
        </w:tc>
        <w:tc>
          <w:tcPr>
            <w:tcW w:w="3903" w:type="dxa"/>
            <w:tcBorders>
              <w:top w:val="nil"/>
              <w:left w:val="nil"/>
              <w:bottom w:val="nil"/>
              <w:right w:val="nil"/>
            </w:tcBorders>
            <w:shd w:val="clear" w:color="auto" w:fill="FFFFFF"/>
            <w:vAlign w:val="center"/>
          </w:tcPr>
          <w:p w14:paraId="53BA5C21">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0956D5C7">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55063F6F">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541" w:type="pct"/>
            <w:tcBorders>
              <w:top w:val="nil"/>
              <w:left w:val="nil"/>
              <w:bottom w:val="nil"/>
              <w:right w:val="nil"/>
            </w:tcBorders>
            <w:shd w:val="clear" w:color="auto" w:fill="FFFFFF"/>
            <w:vAlign w:val="center"/>
          </w:tcPr>
          <w:p w14:paraId="246FB80B">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园区滞洪区集中式光伏项目</w:t>
            </w:r>
          </w:p>
        </w:tc>
        <w:tc>
          <w:tcPr>
            <w:tcW w:w="253" w:type="pct"/>
            <w:tcBorders>
              <w:top w:val="nil"/>
              <w:left w:val="nil"/>
              <w:bottom w:val="nil"/>
              <w:right w:val="nil"/>
            </w:tcBorders>
            <w:shd w:val="clear" w:color="auto" w:fill="FFFFFF"/>
            <w:vAlign w:val="center"/>
          </w:tcPr>
          <w:p w14:paraId="19ACC301">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低碳能源</w:t>
            </w:r>
          </w:p>
        </w:tc>
        <w:tc>
          <w:tcPr>
            <w:tcW w:w="415" w:type="pct"/>
            <w:tcBorders>
              <w:top w:val="nil"/>
              <w:left w:val="nil"/>
              <w:bottom w:val="nil"/>
              <w:right w:val="nil"/>
            </w:tcBorders>
            <w:shd w:val="clear" w:color="auto" w:fill="FFFFFF"/>
            <w:vAlign w:val="center"/>
          </w:tcPr>
          <w:p w14:paraId="29F2903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8.26</w:t>
            </w:r>
          </w:p>
        </w:tc>
        <w:tc>
          <w:tcPr>
            <w:tcW w:w="462" w:type="pct"/>
            <w:tcBorders>
              <w:top w:val="nil"/>
              <w:left w:val="nil"/>
              <w:bottom w:val="nil"/>
              <w:right w:val="nil"/>
            </w:tcBorders>
            <w:shd w:val="clear" w:color="auto" w:fill="FFFFFF"/>
            <w:vAlign w:val="center"/>
          </w:tcPr>
          <w:p w14:paraId="1989AB21">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20.83</w:t>
            </w:r>
          </w:p>
        </w:tc>
        <w:tc>
          <w:tcPr>
            <w:tcW w:w="1758" w:type="pct"/>
            <w:tcBorders>
              <w:top w:val="nil"/>
              <w:left w:val="nil"/>
              <w:bottom w:val="nil"/>
              <w:right w:val="nil"/>
            </w:tcBorders>
            <w:shd w:val="clear" w:color="auto" w:fill="FFFFFF"/>
            <w:vAlign w:val="center"/>
          </w:tcPr>
          <w:p w14:paraId="29547463">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根据绿电供应框架协议，为二套乙烯项目落实所需绿电资源</w:t>
            </w:r>
          </w:p>
        </w:tc>
        <w:tc>
          <w:tcPr>
            <w:tcW w:w="3903" w:type="dxa"/>
            <w:tcBorders>
              <w:top w:val="nil"/>
              <w:left w:val="nil"/>
              <w:bottom w:val="nil"/>
              <w:right w:val="nil"/>
            </w:tcBorders>
            <w:shd w:val="clear" w:color="auto" w:fill="FFFFFF"/>
            <w:vAlign w:val="center"/>
          </w:tcPr>
          <w:p w14:paraId="69372156">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中</w:t>
            </w:r>
          </w:p>
        </w:tc>
      </w:tr>
      <w:tr w14:paraId="64445E0B">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197E4FD0">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541" w:type="pct"/>
            <w:tcBorders>
              <w:top w:val="nil"/>
              <w:left w:val="nil"/>
              <w:bottom w:val="nil"/>
              <w:right w:val="nil"/>
            </w:tcBorders>
            <w:shd w:val="clear" w:color="auto" w:fill="FFFFFF"/>
            <w:vAlign w:val="center"/>
          </w:tcPr>
          <w:p w14:paraId="2AF896F7">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外购绿色电力</w:t>
            </w:r>
          </w:p>
        </w:tc>
        <w:tc>
          <w:tcPr>
            <w:tcW w:w="253" w:type="pct"/>
            <w:tcBorders>
              <w:top w:val="nil"/>
              <w:left w:val="nil"/>
              <w:bottom w:val="nil"/>
              <w:right w:val="nil"/>
            </w:tcBorders>
            <w:shd w:val="clear" w:color="auto" w:fill="FFFFFF"/>
            <w:vAlign w:val="center"/>
          </w:tcPr>
          <w:p w14:paraId="67D07BEA">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低碳能源</w:t>
            </w:r>
          </w:p>
        </w:tc>
        <w:tc>
          <w:tcPr>
            <w:tcW w:w="415" w:type="pct"/>
            <w:tcBorders>
              <w:top w:val="nil"/>
              <w:left w:val="nil"/>
              <w:bottom w:val="nil"/>
              <w:right w:val="nil"/>
            </w:tcBorders>
            <w:shd w:val="clear" w:color="auto" w:fill="FFFFFF"/>
            <w:vAlign w:val="center"/>
          </w:tcPr>
          <w:p w14:paraId="70A73535">
            <w:pPr>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p>
        </w:tc>
        <w:tc>
          <w:tcPr>
            <w:tcW w:w="462" w:type="pct"/>
            <w:tcBorders>
              <w:top w:val="nil"/>
              <w:left w:val="nil"/>
              <w:bottom w:val="nil"/>
              <w:right w:val="nil"/>
            </w:tcBorders>
            <w:shd w:val="clear" w:color="auto" w:fill="FFFFFF"/>
            <w:vAlign w:val="center"/>
          </w:tcPr>
          <w:p w14:paraId="38304026">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26.72</w:t>
            </w:r>
          </w:p>
        </w:tc>
        <w:tc>
          <w:tcPr>
            <w:tcW w:w="1758" w:type="pct"/>
            <w:tcBorders>
              <w:top w:val="nil"/>
              <w:left w:val="nil"/>
              <w:bottom w:val="nil"/>
              <w:right w:val="nil"/>
            </w:tcBorders>
            <w:shd w:val="clear" w:color="auto" w:fill="FFFFFF"/>
            <w:vAlign w:val="center"/>
          </w:tcPr>
          <w:p w14:paraId="057D02ED">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按照绿电外购量占20%的数据，需外购4.98亿度电力，需投资1494万元/年。</w:t>
            </w:r>
          </w:p>
        </w:tc>
        <w:tc>
          <w:tcPr>
            <w:tcW w:w="3903" w:type="dxa"/>
            <w:tcBorders>
              <w:top w:val="nil"/>
              <w:left w:val="nil"/>
              <w:bottom w:val="nil"/>
              <w:right w:val="nil"/>
            </w:tcBorders>
            <w:shd w:val="clear" w:color="auto" w:fill="FFFFFF"/>
            <w:vAlign w:val="center"/>
          </w:tcPr>
          <w:p w14:paraId="2B38F0AE">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0AC96372">
        <w:tblPrEx>
          <w:tblCellMar>
            <w:top w:w="0" w:type="dxa"/>
            <w:left w:w="108" w:type="dxa"/>
            <w:bottom w:w="0" w:type="dxa"/>
            <w:right w:w="108" w:type="dxa"/>
          </w:tblCellMar>
        </w:tblPrEx>
        <w:trPr>
          <w:trHeight w:val="168" w:hRule="atLeast"/>
          <w:jc w:val="center"/>
        </w:trPr>
        <w:tc>
          <w:tcPr>
            <w:tcW w:w="5000" w:type="pct"/>
            <w:gridSpan w:val="7"/>
            <w:tcBorders>
              <w:top w:val="nil"/>
              <w:left w:val="nil"/>
              <w:bottom w:val="nil"/>
              <w:right w:val="nil"/>
            </w:tcBorders>
            <w:shd w:val="clear" w:color="auto" w:fill="FFFFFF"/>
            <w:vAlign w:val="center"/>
          </w:tcPr>
          <w:p w14:paraId="0BE58BA5">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二、过程降碳</w:t>
            </w:r>
          </w:p>
        </w:tc>
      </w:tr>
      <w:tr w14:paraId="2FC25DDE">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7E7EDC26">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541" w:type="pct"/>
            <w:tcBorders>
              <w:top w:val="nil"/>
              <w:left w:val="nil"/>
              <w:bottom w:val="nil"/>
              <w:right w:val="nil"/>
            </w:tcBorders>
            <w:shd w:val="clear" w:color="auto" w:fill="FFFFFF"/>
            <w:vAlign w:val="center"/>
          </w:tcPr>
          <w:p w14:paraId="672E3FD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换热网络集成优化</w:t>
            </w:r>
          </w:p>
        </w:tc>
        <w:tc>
          <w:tcPr>
            <w:tcW w:w="253" w:type="pct"/>
            <w:tcBorders>
              <w:top w:val="nil"/>
              <w:left w:val="nil"/>
              <w:bottom w:val="nil"/>
              <w:right w:val="nil"/>
            </w:tcBorders>
            <w:shd w:val="clear" w:color="auto" w:fill="FFFFFF"/>
            <w:vAlign w:val="center"/>
          </w:tcPr>
          <w:p w14:paraId="181D0FAF">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能效提升</w:t>
            </w:r>
          </w:p>
        </w:tc>
        <w:tc>
          <w:tcPr>
            <w:tcW w:w="415" w:type="pct"/>
            <w:tcBorders>
              <w:top w:val="nil"/>
              <w:left w:val="nil"/>
              <w:bottom w:val="nil"/>
              <w:right w:val="nil"/>
            </w:tcBorders>
            <w:shd w:val="clear" w:color="auto" w:fill="FFFFFF"/>
            <w:vAlign w:val="center"/>
          </w:tcPr>
          <w:p w14:paraId="725E9CF4">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7.69</w:t>
            </w:r>
          </w:p>
        </w:tc>
        <w:tc>
          <w:tcPr>
            <w:tcW w:w="462" w:type="pct"/>
            <w:tcBorders>
              <w:top w:val="nil"/>
              <w:left w:val="nil"/>
              <w:bottom w:val="nil"/>
              <w:right w:val="nil"/>
            </w:tcBorders>
            <w:shd w:val="clear" w:color="auto" w:fill="FFFFFF"/>
            <w:vAlign w:val="center"/>
          </w:tcPr>
          <w:p w14:paraId="32F15B30">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w:t>
            </w:r>
          </w:p>
        </w:tc>
        <w:tc>
          <w:tcPr>
            <w:tcW w:w="1758" w:type="pct"/>
            <w:tcBorders>
              <w:top w:val="nil"/>
              <w:left w:val="nil"/>
              <w:bottom w:val="nil"/>
              <w:right w:val="nil"/>
            </w:tcBorders>
            <w:shd w:val="clear" w:color="auto" w:fill="FFFFFF"/>
            <w:vAlign w:val="center"/>
          </w:tcPr>
          <w:p w14:paraId="58CCCCB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预计提高换热终温2-4℃，节省公用工程用量3%-10%，减少碳排放20万吨/年</w:t>
            </w:r>
          </w:p>
        </w:tc>
        <w:tc>
          <w:tcPr>
            <w:tcW w:w="3903" w:type="dxa"/>
            <w:tcBorders>
              <w:top w:val="nil"/>
              <w:left w:val="nil"/>
              <w:bottom w:val="nil"/>
              <w:right w:val="nil"/>
            </w:tcBorders>
            <w:shd w:val="clear" w:color="auto" w:fill="FFFFFF"/>
            <w:vAlign w:val="center"/>
          </w:tcPr>
          <w:p w14:paraId="4FCB764B">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1F8C1C59">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1F92F47B">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541" w:type="pct"/>
            <w:tcBorders>
              <w:top w:val="nil"/>
              <w:left w:val="nil"/>
              <w:bottom w:val="nil"/>
              <w:right w:val="nil"/>
            </w:tcBorders>
            <w:shd w:val="clear" w:color="auto" w:fill="FFFFFF"/>
            <w:vAlign w:val="center"/>
          </w:tcPr>
          <w:p w14:paraId="41263B5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蒸汽动力系统优化</w:t>
            </w:r>
          </w:p>
        </w:tc>
        <w:tc>
          <w:tcPr>
            <w:tcW w:w="253" w:type="pct"/>
            <w:tcBorders>
              <w:top w:val="nil"/>
              <w:left w:val="nil"/>
              <w:bottom w:val="nil"/>
              <w:right w:val="nil"/>
            </w:tcBorders>
            <w:shd w:val="clear" w:color="auto" w:fill="FFFFFF"/>
            <w:vAlign w:val="center"/>
          </w:tcPr>
          <w:p w14:paraId="0DB807B9">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能效提升</w:t>
            </w:r>
          </w:p>
        </w:tc>
        <w:tc>
          <w:tcPr>
            <w:tcW w:w="415" w:type="pct"/>
            <w:tcBorders>
              <w:top w:val="nil"/>
              <w:left w:val="nil"/>
              <w:bottom w:val="nil"/>
              <w:right w:val="nil"/>
            </w:tcBorders>
            <w:shd w:val="clear" w:color="auto" w:fill="FFFFFF"/>
            <w:vAlign w:val="center"/>
          </w:tcPr>
          <w:p w14:paraId="1CE4B98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1.38</w:t>
            </w:r>
          </w:p>
        </w:tc>
        <w:tc>
          <w:tcPr>
            <w:tcW w:w="462" w:type="pct"/>
            <w:tcBorders>
              <w:top w:val="nil"/>
              <w:left w:val="nil"/>
              <w:bottom w:val="nil"/>
              <w:right w:val="nil"/>
            </w:tcBorders>
            <w:shd w:val="clear" w:color="auto" w:fill="FFFFFF"/>
            <w:vAlign w:val="center"/>
          </w:tcPr>
          <w:p w14:paraId="3DFC31E0">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3.58</w:t>
            </w:r>
          </w:p>
        </w:tc>
        <w:tc>
          <w:tcPr>
            <w:tcW w:w="1758" w:type="pct"/>
            <w:tcBorders>
              <w:top w:val="nil"/>
              <w:left w:val="nil"/>
              <w:bottom w:val="nil"/>
              <w:right w:val="nil"/>
            </w:tcBorders>
            <w:shd w:val="clear" w:color="auto" w:fill="FFFFFF"/>
            <w:vAlign w:val="center"/>
          </w:tcPr>
          <w:p w14:paraId="4BD8D64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开展蒸汽动力系统优化，可实现节能14-21千克标油/吨蒸汽，减少碳排放3.58万吨/年</w:t>
            </w:r>
          </w:p>
        </w:tc>
        <w:tc>
          <w:tcPr>
            <w:tcW w:w="3903" w:type="dxa"/>
            <w:tcBorders>
              <w:top w:val="nil"/>
              <w:left w:val="nil"/>
              <w:bottom w:val="nil"/>
              <w:right w:val="nil"/>
            </w:tcBorders>
            <w:shd w:val="clear" w:color="auto" w:fill="FFFFFF"/>
            <w:vAlign w:val="center"/>
          </w:tcPr>
          <w:p w14:paraId="477F54BF">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504A4DE8">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53EA2CAA">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w:t>
            </w:r>
          </w:p>
        </w:tc>
        <w:tc>
          <w:tcPr>
            <w:tcW w:w="541" w:type="pct"/>
            <w:tcBorders>
              <w:top w:val="nil"/>
              <w:left w:val="nil"/>
              <w:bottom w:val="nil"/>
              <w:right w:val="nil"/>
            </w:tcBorders>
            <w:shd w:val="clear" w:color="auto" w:fill="FFFFFF"/>
            <w:vAlign w:val="center"/>
          </w:tcPr>
          <w:p w14:paraId="5B9D578F">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低温余热高效利用</w:t>
            </w:r>
          </w:p>
        </w:tc>
        <w:tc>
          <w:tcPr>
            <w:tcW w:w="253" w:type="pct"/>
            <w:tcBorders>
              <w:top w:val="nil"/>
              <w:left w:val="nil"/>
              <w:bottom w:val="nil"/>
              <w:right w:val="nil"/>
            </w:tcBorders>
            <w:shd w:val="clear" w:color="auto" w:fill="FFFFFF"/>
            <w:vAlign w:val="center"/>
          </w:tcPr>
          <w:p w14:paraId="02662904">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能效提升</w:t>
            </w:r>
          </w:p>
        </w:tc>
        <w:tc>
          <w:tcPr>
            <w:tcW w:w="415" w:type="pct"/>
            <w:tcBorders>
              <w:top w:val="nil"/>
              <w:left w:val="nil"/>
              <w:bottom w:val="nil"/>
              <w:right w:val="nil"/>
            </w:tcBorders>
            <w:shd w:val="clear" w:color="auto" w:fill="FFFFFF"/>
            <w:vAlign w:val="center"/>
          </w:tcPr>
          <w:p w14:paraId="41B07344">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1.92</w:t>
            </w:r>
          </w:p>
        </w:tc>
        <w:tc>
          <w:tcPr>
            <w:tcW w:w="462" w:type="pct"/>
            <w:tcBorders>
              <w:top w:val="nil"/>
              <w:left w:val="nil"/>
              <w:bottom w:val="nil"/>
              <w:right w:val="nil"/>
            </w:tcBorders>
            <w:shd w:val="clear" w:color="auto" w:fill="FFFFFF"/>
            <w:vAlign w:val="center"/>
          </w:tcPr>
          <w:p w14:paraId="34671E6B">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1758" w:type="pct"/>
            <w:tcBorders>
              <w:top w:val="nil"/>
              <w:left w:val="nil"/>
              <w:bottom w:val="nil"/>
              <w:right w:val="nil"/>
            </w:tcBorders>
            <w:shd w:val="clear" w:color="auto" w:fill="FFFFFF"/>
            <w:vAlign w:val="center"/>
          </w:tcPr>
          <w:p w14:paraId="69AFB3E6">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通过低温余热高效利用技术开展优化，提高回收利用率10%可减少5万吨/年</w:t>
            </w:r>
          </w:p>
        </w:tc>
        <w:tc>
          <w:tcPr>
            <w:tcW w:w="3903" w:type="dxa"/>
            <w:tcBorders>
              <w:top w:val="nil"/>
              <w:left w:val="nil"/>
              <w:bottom w:val="nil"/>
              <w:right w:val="nil"/>
            </w:tcBorders>
            <w:shd w:val="clear" w:color="auto" w:fill="FFFFFF"/>
            <w:vAlign w:val="center"/>
          </w:tcPr>
          <w:p w14:paraId="66584E8A">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32E341AD">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09B8C2E3">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w:t>
            </w:r>
          </w:p>
        </w:tc>
        <w:tc>
          <w:tcPr>
            <w:tcW w:w="541" w:type="pct"/>
            <w:tcBorders>
              <w:top w:val="nil"/>
              <w:left w:val="nil"/>
              <w:bottom w:val="nil"/>
              <w:right w:val="nil"/>
            </w:tcBorders>
            <w:shd w:val="clear" w:color="auto" w:fill="FFFFFF"/>
            <w:vAlign w:val="center"/>
          </w:tcPr>
          <w:p w14:paraId="5333626E">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氢气资源高效利用项目</w:t>
            </w:r>
          </w:p>
        </w:tc>
        <w:tc>
          <w:tcPr>
            <w:tcW w:w="253" w:type="pct"/>
            <w:tcBorders>
              <w:top w:val="nil"/>
              <w:left w:val="nil"/>
              <w:bottom w:val="nil"/>
              <w:right w:val="nil"/>
            </w:tcBorders>
            <w:shd w:val="clear" w:color="auto" w:fill="FFFFFF"/>
            <w:vAlign w:val="center"/>
          </w:tcPr>
          <w:p w14:paraId="760006DD">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原料优化</w:t>
            </w:r>
          </w:p>
        </w:tc>
        <w:tc>
          <w:tcPr>
            <w:tcW w:w="415" w:type="pct"/>
            <w:tcBorders>
              <w:top w:val="nil"/>
              <w:left w:val="nil"/>
              <w:bottom w:val="nil"/>
              <w:right w:val="nil"/>
            </w:tcBorders>
            <w:shd w:val="clear" w:color="auto" w:fill="FFFFFF"/>
            <w:vAlign w:val="center"/>
          </w:tcPr>
          <w:p w14:paraId="064F053D">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c>
          <w:tcPr>
            <w:tcW w:w="462" w:type="pct"/>
            <w:tcBorders>
              <w:top w:val="nil"/>
              <w:left w:val="nil"/>
              <w:bottom w:val="nil"/>
              <w:right w:val="nil"/>
            </w:tcBorders>
            <w:shd w:val="clear" w:color="auto" w:fill="FFFFFF"/>
            <w:vAlign w:val="center"/>
          </w:tcPr>
          <w:p w14:paraId="44964D8A">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1758" w:type="pct"/>
            <w:tcBorders>
              <w:top w:val="nil"/>
              <w:left w:val="nil"/>
              <w:bottom w:val="nil"/>
              <w:right w:val="nil"/>
            </w:tcBorders>
            <w:shd w:val="clear" w:color="auto" w:fill="FFFFFF"/>
            <w:vAlign w:val="center"/>
          </w:tcPr>
          <w:p w14:paraId="25CBF29C">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乙烯裂解、PX产能规模扩大后，新增副产氢气2万吨，替代渣油/煤制氢可降低碳排放40万吨。</w:t>
            </w:r>
          </w:p>
        </w:tc>
        <w:tc>
          <w:tcPr>
            <w:tcW w:w="3903" w:type="dxa"/>
            <w:tcBorders>
              <w:top w:val="nil"/>
              <w:left w:val="nil"/>
              <w:bottom w:val="nil"/>
              <w:right w:val="nil"/>
            </w:tcBorders>
            <w:shd w:val="clear" w:color="auto" w:fill="FFFFFF"/>
            <w:vAlign w:val="center"/>
          </w:tcPr>
          <w:p w14:paraId="70106805">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低</w:t>
            </w:r>
          </w:p>
        </w:tc>
      </w:tr>
      <w:tr w14:paraId="13045360">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050B784D">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w:t>
            </w:r>
          </w:p>
        </w:tc>
        <w:tc>
          <w:tcPr>
            <w:tcW w:w="541" w:type="pct"/>
            <w:tcBorders>
              <w:top w:val="nil"/>
              <w:left w:val="nil"/>
              <w:bottom w:val="nil"/>
              <w:right w:val="nil"/>
            </w:tcBorders>
            <w:shd w:val="clear" w:color="auto" w:fill="FFFFFF"/>
            <w:vAlign w:val="center"/>
          </w:tcPr>
          <w:p w14:paraId="72195B7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应用高效换热器技术</w:t>
            </w:r>
          </w:p>
        </w:tc>
        <w:tc>
          <w:tcPr>
            <w:tcW w:w="253" w:type="pct"/>
            <w:tcBorders>
              <w:top w:val="nil"/>
              <w:left w:val="nil"/>
              <w:bottom w:val="nil"/>
              <w:right w:val="nil"/>
            </w:tcBorders>
            <w:shd w:val="clear" w:color="auto" w:fill="FFFFFF"/>
            <w:vAlign w:val="center"/>
          </w:tcPr>
          <w:p w14:paraId="0D874964">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技术改造</w:t>
            </w:r>
          </w:p>
        </w:tc>
        <w:tc>
          <w:tcPr>
            <w:tcW w:w="415" w:type="pct"/>
            <w:tcBorders>
              <w:top w:val="nil"/>
              <w:left w:val="nil"/>
              <w:bottom w:val="nil"/>
              <w:right w:val="nil"/>
            </w:tcBorders>
            <w:shd w:val="clear" w:color="auto" w:fill="FFFFFF"/>
            <w:vAlign w:val="center"/>
          </w:tcPr>
          <w:p w14:paraId="4B014604">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0.28</w:t>
            </w:r>
          </w:p>
        </w:tc>
        <w:tc>
          <w:tcPr>
            <w:tcW w:w="462" w:type="pct"/>
            <w:tcBorders>
              <w:top w:val="nil"/>
              <w:left w:val="nil"/>
              <w:bottom w:val="nil"/>
              <w:right w:val="nil"/>
            </w:tcBorders>
            <w:shd w:val="clear" w:color="auto" w:fill="FFFFFF"/>
            <w:vAlign w:val="center"/>
          </w:tcPr>
          <w:p w14:paraId="745BCFC8">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1.19</w:t>
            </w:r>
          </w:p>
        </w:tc>
        <w:tc>
          <w:tcPr>
            <w:tcW w:w="1758" w:type="pct"/>
            <w:tcBorders>
              <w:top w:val="nil"/>
              <w:left w:val="nil"/>
              <w:bottom w:val="nil"/>
              <w:right w:val="nil"/>
            </w:tcBorders>
            <w:shd w:val="clear" w:color="auto" w:fill="FFFFFF"/>
            <w:vAlign w:val="center"/>
          </w:tcPr>
          <w:p w14:paraId="55CAB1DB">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将重整进料换热器从板式换热器更换为缠绕管换热器，提高重整进料换热温度，从而降低重整进料加热炉（F-201）的热负荷。</w:t>
            </w:r>
          </w:p>
        </w:tc>
        <w:tc>
          <w:tcPr>
            <w:tcW w:w="3903" w:type="dxa"/>
            <w:tcBorders>
              <w:top w:val="nil"/>
              <w:left w:val="nil"/>
              <w:bottom w:val="nil"/>
              <w:right w:val="nil"/>
            </w:tcBorders>
            <w:shd w:val="clear" w:color="auto" w:fill="FFFFFF"/>
            <w:vAlign w:val="center"/>
          </w:tcPr>
          <w:p w14:paraId="5263E378">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0C18F7DA">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7CAAAE73">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w:t>
            </w:r>
          </w:p>
        </w:tc>
        <w:tc>
          <w:tcPr>
            <w:tcW w:w="541" w:type="pct"/>
            <w:tcBorders>
              <w:top w:val="nil"/>
              <w:left w:val="nil"/>
              <w:bottom w:val="nil"/>
              <w:right w:val="nil"/>
            </w:tcBorders>
            <w:shd w:val="clear" w:color="auto" w:fill="FFFFFF"/>
            <w:vAlign w:val="center"/>
          </w:tcPr>
          <w:p w14:paraId="15F9CE8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烟气余热回收利用技术</w:t>
            </w:r>
          </w:p>
        </w:tc>
        <w:tc>
          <w:tcPr>
            <w:tcW w:w="253" w:type="pct"/>
            <w:tcBorders>
              <w:top w:val="nil"/>
              <w:left w:val="nil"/>
              <w:bottom w:val="nil"/>
              <w:right w:val="nil"/>
            </w:tcBorders>
            <w:shd w:val="clear" w:color="auto" w:fill="FFFFFF"/>
            <w:vAlign w:val="center"/>
          </w:tcPr>
          <w:p w14:paraId="2A93C978">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技术改造</w:t>
            </w:r>
          </w:p>
        </w:tc>
        <w:tc>
          <w:tcPr>
            <w:tcW w:w="415" w:type="pct"/>
            <w:tcBorders>
              <w:top w:val="nil"/>
              <w:left w:val="nil"/>
              <w:bottom w:val="nil"/>
              <w:right w:val="nil"/>
            </w:tcBorders>
            <w:shd w:val="clear" w:color="auto" w:fill="FFFFFF"/>
            <w:vAlign w:val="center"/>
          </w:tcPr>
          <w:p w14:paraId="0496FFDC">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0.15</w:t>
            </w:r>
          </w:p>
        </w:tc>
        <w:tc>
          <w:tcPr>
            <w:tcW w:w="462" w:type="pct"/>
            <w:tcBorders>
              <w:top w:val="nil"/>
              <w:left w:val="nil"/>
              <w:bottom w:val="nil"/>
              <w:right w:val="nil"/>
            </w:tcBorders>
            <w:shd w:val="clear" w:color="auto" w:fill="FFFFFF"/>
            <w:vAlign w:val="center"/>
          </w:tcPr>
          <w:p w14:paraId="4F0C3C1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0.61</w:t>
            </w:r>
          </w:p>
        </w:tc>
        <w:tc>
          <w:tcPr>
            <w:tcW w:w="1758" w:type="pct"/>
            <w:tcBorders>
              <w:top w:val="nil"/>
              <w:left w:val="nil"/>
              <w:bottom w:val="nil"/>
              <w:right w:val="nil"/>
            </w:tcBorders>
            <w:shd w:val="clear" w:color="auto" w:fill="FFFFFF"/>
            <w:vAlign w:val="center"/>
          </w:tcPr>
          <w:p w14:paraId="78F784B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预计实施渣油加氢和煤油加氢装置空气预热器改造，预计共节约燃料气647吨</w:t>
            </w:r>
          </w:p>
        </w:tc>
        <w:tc>
          <w:tcPr>
            <w:tcW w:w="3903" w:type="dxa"/>
            <w:tcBorders>
              <w:top w:val="nil"/>
              <w:left w:val="nil"/>
              <w:bottom w:val="nil"/>
              <w:right w:val="nil"/>
            </w:tcBorders>
            <w:shd w:val="clear" w:color="auto" w:fill="FFFFFF"/>
            <w:vAlign w:val="center"/>
          </w:tcPr>
          <w:p w14:paraId="2EE2F13E">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11CC9292">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6A06B36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541" w:type="pct"/>
            <w:tcBorders>
              <w:top w:val="nil"/>
              <w:left w:val="nil"/>
              <w:bottom w:val="nil"/>
              <w:right w:val="nil"/>
            </w:tcBorders>
            <w:shd w:val="clear" w:color="auto" w:fill="FFFFFF"/>
            <w:vAlign w:val="center"/>
          </w:tcPr>
          <w:p w14:paraId="60581E2E">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精馏系统对标节能优化</w:t>
            </w:r>
          </w:p>
        </w:tc>
        <w:tc>
          <w:tcPr>
            <w:tcW w:w="253" w:type="pct"/>
            <w:tcBorders>
              <w:top w:val="nil"/>
              <w:left w:val="nil"/>
              <w:bottom w:val="nil"/>
              <w:right w:val="nil"/>
            </w:tcBorders>
            <w:shd w:val="clear" w:color="auto" w:fill="FFFFFF"/>
            <w:vAlign w:val="center"/>
          </w:tcPr>
          <w:p w14:paraId="4FB175A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技术改造</w:t>
            </w:r>
          </w:p>
        </w:tc>
        <w:tc>
          <w:tcPr>
            <w:tcW w:w="415" w:type="pct"/>
            <w:tcBorders>
              <w:top w:val="nil"/>
              <w:left w:val="nil"/>
              <w:bottom w:val="nil"/>
              <w:right w:val="nil"/>
            </w:tcBorders>
            <w:shd w:val="clear" w:color="auto" w:fill="FFFFFF"/>
            <w:vAlign w:val="center"/>
          </w:tcPr>
          <w:p w14:paraId="47C8D083">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0.24</w:t>
            </w:r>
          </w:p>
        </w:tc>
        <w:tc>
          <w:tcPr>
            <w:tcW w:w="462" w:type="pct"/>
            <w:tcBorders>
              <w:top w:val="nil"/>
              <w:left w:val="nil"/>
              <w:bottom w:val="nil"/>
              <w:right w:val="nil"/>
            </w:tcBorders>
            <w:shd w:val="clear" w:color="auto" w:fill="FFFFFF"/>
            <w:vAlign w:val="center"/>
          </w:tcPr>
          <w:p w14:paraId="04EB782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1.09</w:t>
            </w:r>
          </w:p>
        </w:tc>
        <w:tc>
          <w:tcPr>
            <w:tcW w:w="1758" w:type="pct"/>
            <w:tcBorders>
              <w:top w:val="nil"/>
              <w:left w:val="nil"/>
              <w:bottom w:val="nil"/>
              <w:right w:val="nil"/>
            </w:tcBorders>
            <w:shd w:val="clear" w:color="auto" w:fill="FFFFFF"/>
            <w:vAlign w:val="center"/>
          </w:tcPr>
          <w:p w14:paraId="227F0E1A">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通过对重要精馏塔进行建模及对标分析，优化精馏过程操作参数（塔压、回流比），进行精馏系统节能优化。预计减少精馏系统再沸蒸汽消耗3~5t/h，年节蒸汽25200吨，效益265万元/年</w:t>
            </w:r>
          </w:p>
        </w:tc>
        <w:tc>
          <w:tcPr>
            <w:tcW w:w="3903" w:type="dxa"/>
            <w:tcBorders>
              <w:top w:val="nil"/>
              <w:left w:val="nil"/>
              <w:bottom w:val="nil"/>
              <w:right w:val="nil"/>
            </w:tcBorders>
            <w:shd w:val="clear" w:color="auto" w:fill="FFFFFF"/>
            <w:vAlign w:val="center"/>
          </w:tcPr>
          <w:p w14:paraId="03991C8C">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高</w:t>
            </w:r>
          </w:p>
        </w:tc>
      </w:tr>
      <w:tr w14:paraId="7318B87C">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400F629B">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w:t>
            </w:r>
          </w:p>
        </w:tc>
        <w:tc>
          <w:tcPr>
            <w:tcW w:w="541" w:type="pct"/>
            <w:tcBorders>
              <w:top w:val="nil"/>
              <w:left w:val="nil"/>
              <w:bottom w:val="nil"/>
              <w:right w:val="nil"/>
            </w:tcBorders>
            <w:shd w:val="clear" w:color="auto" w:fill="FFFFFF"/>
            <w:vAlign w:val="center"/>
          </w:tcPr>
          <w:p w14:paraId="4BBBB77D">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原油优化降碳</w:t>
            </w:r>
          </w:p>
        </w:tc>
        <w:tc>
          <w:tcPr>
            <w:tcW w:w="253" w:type="pct"/>
            <w:tcBorders>
              <w:top w:val="nil"/>
              <w:left w:val="nil"/>
              <w:bottom w:val="nil"/>
              <w:right w:val="nil"/>
            </w:tcBorders>
            <w:shd w:val="clear" w:color="auto" w:fill="FFFFFF"/>
            <w:vAlign w:val="center"/>
          </w:tcPr>
          <w:p w14:paraId="08AE8B41">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原料优化</w:t>
            </w:r>
          </w:p>
        </w:tc>
        <w:tc>
          <w:tcPr>
            <w:tcW w:w="415" w:type="pct"/>
            <w:tcBorders>
              <w:top w:val="nil"/>
              <w:left w:val="nil"/>
              <w:bottom w:val="nil"/>
              <w:right w:val="nil"/>
            </w:tcBorders>
            <w:shd w:val="clear" w:color="auto" w:fill="FFFFFF"/>
            <w:vAlign w:val="center"/>
          </w:tcPr>
          <w:p w14:paraId="7E7411F6">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w:t>
            </w:r>
          </w:p>
        </w:tc>
        <w:tc>
          <w:tcPr>
            <w:tcW w:w="462" w:type="pct"/>
            <w:tcBorders>
              <w:top w:val="nil"/>
              <w:left w:val="nil"/>
              <w:bottom w:val="nil"/>
              <w:right w:val="nil"/>
            </w:tcBorders>
            <w:shd w:val="clear" w:color="auto" w:fill="FFFFFF"/>
            <w:vAlign w:val="center"/>
          </w:tcPr>
          <w:p w14:paraId="0CF9125A">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w:t>
            </w:r>
          </w:p>
        </w:tc>
        <w:tc>
          <w:tcPr>
            <w:tcW w:w="1758" w:type="pct"/>
            <w:tcBorders>
              <w:top w:val="nil"/>
              <w:left w:val="nil"/>
              <w:bottom w:val="nil"/>
              <w:right w:val="nil"/>
            </w:tcBorders>
            <w:shd w:val="clear" w:color="auto" w:fill="FFFFFF"/>
            <w:vAlign w:val="center"/>
          </w:tcPr>
          <w:p w14:paraId="396C2441">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通过原油优化，可以降低全厂加工过程能耗，同时降低碳排放水平，可以实现全厂碳排放降低同时效益提升的总流程综合优化。</w:t>
            </w:r>
          </w:p>
        </w:tc>
        <w:tc>
          <w:tcPr>
            <w:tcW w:w="3903" w:type="dxa"/>
            <w:tcBorders>
              <w:top w:val="nil"/>
              <w:left w:val="nil"/>
              <w:bottom w:val="nil"/>
              <w:right w:val="nil"/>
            </w:tcBorders>
            <w:shd w:val="clear" w:color="auto" w:fill="FFFFFF"/>
            <w:vAlign w:val="center"/>
          </w:tcPr>
          <w:p w14:paraId="4FAF61D9">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低</w:t>
            </w:r>
          </w:p>
        </w:tc>
      </w:tr>
      <w:tr w14:paraId="64A59BB0">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5699FE2B">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w:t>
            </w:r>
          </w:p>
        </w:tc>
        <w:tc>
          <w:tcPr>
            <w:tcW w:w="541" w:type="pct"/>
            <w:tcBorders>
              <w:top w:val="nil"/>
              <w:left w:val="nil"/>
              <w:bottom w:val="nil"/>
              <w:right w:val="nil"/>
            </w:tcBorders>
            <w:shd w:val="clear" w:color="auto" w:fill="FFFFFF"/>
            <w:vAlign w:val="center"/>
          </w:tcPr>
          <w:p w14:paraId="6676BF17">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烯烃原料轻质化和多元化</w:t>
            </w:r>
          </w:p>
        </w:tc>
        <w:tc>
          <w:tcPr>
            <w:tcW w:w="253" w:type="pct"/>
            <w:tcBorders>
              <w:top w:val="nil"/>
              <w:left w:val="nil"/>
              <w:bottom w:val="nil"/>
              <w:right w:val="nil"/>
            </w:tcBorders>
            <w:shd w:val="clear" w:color="auto" w:fill="FFFFFF"/>
            <w:vAlign w:val="center"/>
          </w:tcPr>
          <w:p w14:paraId="483E0264">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系统优化</w:t>
            </w:r>
          </w:p>
        </w:tc>
        <w:tc>
          <w:tcPr>
            <w:tcW w:w="415" w:type="pct"/>
            <w:tcBorders>
              <w:top w:val="nil"/>
              <w:left w:val="nil"/>
              <w:bottom w:val="nil"/>
              <w:right w:val="nil"/>
            </w:tcBorders>
            <w:shd w:val="clear" w:color="auto" w:fill="FFFFFF"/>
            <w:vAlign w:val="center"/>
          </w:tcPr>
          <w:p w14:paraId="58467194">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w:t>
            </w:r>
          </w:p>
        </w:tc>
        <w:tc>
          <w:tcPr>
            <w:tcW w:w="462" w:type="pct"/>
            <w:tcBorders>
              <w:top w:val="nil"/>
              <w:left w:val="nil"/>
              <w:bottom w:val="nil"/>
              <w:right w:val="nil"/>
            </w:tcBorders>
            <w:shd w:val="clear" w:color="auto" w:fill="FFFFFF"/>
            <w:vAlign w:val="center"/>
          </w:tcPr>
          <w:p w14:paraId="797219AC">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30</w:t>
            </w:r>
          </w:p>
        </w:tc>
        <w:tc>
          <w:tcPr>
            <w:tcW w:w="1758" w:type="pct"/>
            <w:tcBorders>
              <w:top w:val="nil"/>
              <w:left w:val="nil"/>
              <w:bottom w:val="nil"/>
              <w:right w:val="nil"/>
            </w:tcBorders>
            <w:shd w:val="clear" w:color="auto" w:fill="FFFFFF"/>
            <w:vAlign w:val="center"/>
          </w:tcPr>
          <w:p w14:paraId="1793632C">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外购轻烃作为乙烷裂解原料，相对石脑油裂解，轻烃裂解每吨乙烯可减少 0.2~0.4 吨碳排放，预计原料轻质化可降低碳排放30~50 万吨。</w:t>
            </w:r>
          </w:p>
        </w:tc>
        <w:tc>
          <w:tcPr>
            <w:tcW w:w="3903" w:type="dxa"/>
            <w:tcBorders>
              <w:top w:val="nil"/>
              <w:left w:val="nil"/>
              <w:bottom w:val="nil"/>
              <w:right w:val="nil"/>
            </w:tcBorders>
            <w:shd w:val="clear" w:color="auto" w:fill="FFFFFF"/>
            <w:vAlign w:val="center"/>
          </w:tcPr>
          <w:p w14:paraId="2A5F3F9E">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低</w:t>
            </w:r>
          </w:p>
        </w:tc>
      </w:tr>
      <w:tr w14:paraId="1B85CB18">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28E0533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w:t>
            </w:r>
          </w:p>
        </w:tc>
        <w:tc>
          <w:tcPr>
            <w:tcW w:w="541" w:type="pct"/>
            <w:tcBorders>
              <w:top w:val="nil"/>
              <w:left w:val="nil"/>
              <w:bottom w:val="nil"/>
              <w:right w:val="nil"/>
            </w:tcBorders>
            <w:shd w:val="clear" w:color="auto" w:fill="FFFFFF"/>
            <w:vAlign w:val="center"/>
          </w:tcPr>
          <w:p w14:paraId="7E8D8D9E">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乙烯三机电气化</w:t>
            </w:r>
          </w:p>
        </w:tc>
        <w:tc>
          <w:tcPr>
            <w:tcW w:w="253" w:type="pct"/>
            <w:tcBorders>
              <w:top w:val="nil"/>
              <w:left w:val="nil"/>
              <w:bottom w:val="nil"/>
              <w:right w:val="nil"/>
            </w:tcBorders>
            <w:shd w:val="clear" w:color="auto" w:fill="FFFFFF"/>
            <w:vAlign w:val="center"/>
          </w:tcPr>
          <w:p w14:paraId="1266786C">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系统优化</w:t>
            </w:r>
          </w:p>
        </w:tc>
        <w:tc>
          <w:tcPr>
            <w:tcW w:w="415" w:type="pct"/>
            <w:tcBorders>
              <w:top w:val="nil"/>
              <w:left w:val="nil"/>
              <w:bottom w:val="nil"/>
              <w:right w:val="nil"/>
            </w:tcBorders>
            <w:shd w:val="clear" w:color="auto" w:fill="FFFFFF"/>
            <w:vAlign w:val="center"/>
          </w:tcPr>
          <w:p w14:paraId="35F5A8D0">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w:t>
            </w:r>
          </w:p>
        </w:tc>
        <w:tc>
          <w:tcPr>
            <w:tcW w:w="462" w:type="pct"/>
            <w:tcBorders>
              <w:top w:val="nil"/>
              <w:left w:val="nil"/>
              <w:bottom w:val="nil"/>
              <w:right w:val="nil"/>
            </w:tcBorders>
            <w:shd w:val="clear" w:color="auto" w:fill="FFFFFF"/>
            <w:vAlign w:val="center"/>
          </w:tcPr>
          <w:p w14:paraId="7A904FDF">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1758" w:type="pct"/>
            <w:tcBorders>
              <w:top w:val="nil"/>
              <w:left w:val="nil"/>
              <w:bottom w:val="nil"/>
              <w:right w:val="nil"/>
            </w:tcBorders>
            <w:shd w:val="clear" w:color="auto" w:fill="FFFFFF"/>
            <w:vAlign w:val="center"/>
          </w:tcPr>
          <w:p w14:paraId="0FE56A63">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新建乙烯装置乙烯三机（乙烯裂解气压缩机、乙烯压缩、丙烯压缩机）采用电驱动方案，乙烯三机电气化，同时优化全厂蒸汽系统，高效利用乙烯副产蒸汽。</w:t>
            </w:r>
          </w:p>
        </w:tc>
        <w:tc>
          <w:tcPr>
            <w:tcW w:w="3903" w:type="dxa"/>
            <w:tcBorders>
              <w:top w:val="nil"/>
              <w:left w:val="nil"/>
              <w:bottom w:val="nil"/>
              <w:right w:val="nil"/>
            </w:tcBorders>
            <w:shd w:val="clear" w:color="auto" w:fill="FFFFFF"/>
            <w:vAlign w:val="center"/>
          </w:tcPr>
          <w:p w14:paraId="1E0575C6">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FF0000"/>
                <w:kern w:val="0"/>
                <w:sz w:val="20"/>
                <w:szCs w:val="20"/>
                <w:lang w:bidi="ar"/>
              </w:rPr>
              <w:t>中</w:t>
            </w:r>
          </w:p>
        </w:tc>
      </w:tr>
      <w:tr w14:paraId="2A9CFBA9">
        <w:tblPrEx>
          <w:tblCellMar>
            <w:top w:w="0" w:type="dxa"/>
            <w:left w:w="108" w:type="dxa"/>
            <w:bottom w:w="0" w:type="dxa"/>
            <w:right w:w="108" w:type="dxa"/>
          </w:tblCellMar>
        </w:tblPrEx>
        <w:trPr>
          <w:jc w:val="center"/>
        </w:trPr>
        <w:tc>
          <w:tcPr>
            <w:tcW w:w="5000" w:type="pct"/>
            <w:gridSpan w:val="7"/>
            <w:tcBorders>
              <w:top w:val="nil"/>
              <w:left w:val="nil"/>
              <w:bottom w:val="nil"/>
              <w:right w:val="nil"/>
            </w:tcBorders>
            <w:shd w:val="clear" w:color="auto" w:fill="FFFFFF"/>
            <w:vAlign w:val="center"/>
          </w:tcPr>
          <w:p w14:paraId="75011C61">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三、末端固碳</w:t>
            </w:r>
          </w:p>
        </w:tc>
      </w:tr>
      <w:tr w14:paraId="00C00924">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51F04749">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w:t>
            </w:r>
          </w:p>
        </w:tc>
        <w:tc>
          <w:tcPr>
            <w:tcW w:w="541" w:type="pct"/>
            <w:tcBorders>
              <w:top w:val="nil"/>
              <w:left w:val="nil"/>
              <w:bottom w:val="nil"/>
              <w:right w:val="nil"/>
            </w:tcBorders>
            <w:shd w:val="clear" w:color="auto" w:fill="FFFFFF"/>
            <w:vAlign w:val="center"/>
          </w:tcPr>
          <w:p w14:paraId="79DDC759">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高浓度二氧化碳捕集项目</w:t>
            </w:r>
          </w:p>
        </w:tc>
        <w:tc>
          <w:tcPr>
            <w:tcW w:w="253" w:type="pct"/>
            <w:tcBorders>
              <w:top w:val="nil"/>
              <w:left w:val="nil"/>
              <w:bottom w:val="nil"/>
              <w:right w:val="nil"/>
            </w:tcBorders>
            <w:shd w:val="clear" w:color="auto" w:fill="FFFFFF"/>
            <w:vAlign w:val="center"/>
          </w:tcPr>
          <w:p w14:paraId="2086F7AA">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碳捕集</w:t>
            </w:r>
          </w:p>
        </w:tc>
        <w:tc>
          <w:tcPr>
            <w:tcW w:w="415" w:type="pct"/>
            <w:tcBorders>
              <w:top w:val="nil"/>
              <w:left w:val="nil"/>
              <w:bottom w:val="nil"/>
              <w:right w:val="nil"/>
            </w:tcBorders>
            <w:shd w:val="clear" w:color="auto" w:fill="FFFFFF"/>
            <w:vAlign w:val="center"/>
          </w:tcPr>
          <w:p w14:paraId="6209EC87">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w:t>
            </w:r>
          </w:p>
        </w:tc>
        <w:tc>
          <w:tcPr>
            <w:tcW w:w="462" w:type="pct"/>
            <w:tcBorders>
              <w:top w:val="nil"/>
              <w:left w:val="nil"/>
              <w:bottom w:val="nil"/>
              <w:right w:val="nil"/>
            </w:tcBorders>
            <w:shd w:val="clear" w:color="auto" w:fill="FFFFFF"/>
            <w:vAlign w:val="center"/>
          </w:tcPr>
          <w:p w14:paraId="7B302455">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40</w:t>
            </w:r>
          </w:p>
        </w:tc>
        <w:tc>
          <w:tcPr>
            <w:tcW w:w="1758" w:type="pct"/>
            <w:tcBorders>
              <w:top w:val="nil"/>
              <w:left w:val="nil"/>
              <w:bottom w:val="nil"/>
              <w:right w:val="nil"/>
            </w:tcBorders>
            <w:shd w:val="clear" w:color="auto" w:fill="FFFFFF"/>
            <w:vAlign w:val="center"/>
          </w:tcPr>
          <w:p w14:paraId="5DCE3D83">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制氢及合成氨装置副产二氧化碳浓度高，捕集成本较低，建设高浓度二氧化碳捕集装置，到2030年碳捕集规模达到40万吨/年，后续进一步扩大规模。</w:t>
            </w:r>
          </w:p>
        </w:tc>
        <w:tc>
          <w:tcPr>
            <w:tcW w:w="3903" w:type="dxa"/>
            <w:tcBorders>
              <w:top w:val="nil"/>
              <w:left w:val="nil"/>
              <w:bottom w:val="nil"/>
              <w:right w:val="nil"/>
            </w:tcBorders>
            <w:shd w:val="clear" w:color="auto" w:fill="FFFFFF"/>
            <w:vAlign w:val="center"/>
          </w:tcPr>
          <w:p w14:paraId="0D9C2880">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低</w:t>
            </w:r>
          </w:p>
        </w:tc>
      </w:tr>
      <w:tr w14:paraId="42F4969A">
        <w:tblPrEx>
          <w:tblCellMar>
            <w:top w:w="0" w:type="dxa"/>
            <w:left w:w="108" w:type="dxa"/>
            <w:bottom w:w="0" w:type="dxa"/>
            <w:right w:w="108" w:type="dxa"/>
          </w:tblCellMar>
        </w:tblPrEx>
        <w:trPr>
          <w:jc w:val="center"/>
        </w:trPr>
        <w:tc>
          <w:tcPr>
            <w:tcW w:w="191" w:type="pct"/>
            <w:tcBorders>
              <w:top w:val="nil"/>
              <w:left w:val="nil"/>
              <w:bottom w:val="nil"/>
              <w:right w:val="nil"/>
            </w:tcBorders>
            <w:shd w:val="clear" w:color="auto" w:fill="FFFFFF"/>
            <w:vAlign w:val="center"/>
          </w:tcPr>
          <w:p w14:paraId="5FAA4632">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w:t>
            </w:r>
          </w:p>
        </w:tc>
        <w:tc>
          <w:tcPr>
            <w:tcW w:w="541" w:type="pct"/>
            <w:tcBorders>
              <w:top w:val="nil"/>
              <w:left w:val="nil"/>
              <w:bottom w:val="nil"/>
              <w:right w:val="nil"/>
            </w:tcBorders>
            <w:shd w:val="clear" w:color="auto" w:fill="FFFFFF"/>
            <w:vAlign w:val="center"/>
          </w:tcPr>
          <w:p w14:paraId="4AB56C2C">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食品级二氧化碳</w:t>
            </w:r>
          </w:p>
        </w:tc>
        <w:tc>
          <w:tcPr>
            <w:tcW w:w="253" w:type="pct"/>
            <w:tcBorders>
              <w:top w:val="nil"/>
              <w:left w:val="nil"/>
              <w:bottom w:val="nil"/>
              <w:right w:val="nil"/>
            </w:tcBorders>
            <w:shd w:val="clear" w:color="auto" w:fill="FFFFFF"/>
            <w:vAlign w:val="center"/>
          </w:tcPr>
          <w:p w14:paraId="16F9BF78">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二氧化碳化学利用</w:t>
            </w:r>
          </w:p>
        </w:tc>
        <w:tc>
          <w:tcPr>
            <w:tcW w:w="415" w:type="pct"/>
            <w:tcBorders>
              <w:top w:val="nil"/>
              <w:left w:val="nil"/>
              <w:bottom w:val="nil"/>
              <w:right w:val="nil"/>
            </w:tcBorders>
            <w:shd w:val="clear" w:color="auto" w:fill="FFFFFF"/>
            <w:vAlign w:val="center"/>
          </w:tcPr>
          <w:p w14:paraId="116AD3A7">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462" w:type="pct"/>
            <w:tcBorders>
              <w:top w:val="nil"/>
              <w:left w:val="nil"/>
              <w:bottom w:val="nil"/>
              <w:right w:val="nil"/>
            </w:tcBorders>
            <w:shd w:val="clear" w:color="auto" w:fill="FFFFFF"/>
            <w:vAlign w:val="center"/>
          </w:tcPr>
          <w:p w14:paraId="7088B9D7">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w:t>
            </w:r>
          </w:p>
        </w:tc>
        <w:tc>
          <w:tcPr>
            <w:tcW w:w="1758" w:type="pct"/>
            <w:tcBorders>
              <w:top w:val="nil"/>
              <w:left w:val="nil"/>
              <w:bottom w:val="nil"/>
              <w:right w:val="nil"/>
            </w:tcBorders>
            <w:shd w:val="clear" w:color="auto" w:fill="FFFFFF"/>
            <w:vAlign w:val="center"/>
          </w:tcPr>
          <w:p w14:paraId="127A50E8">
            <w:pPr>
              <w:widowControl/>
              <w:snapToGrid w:val="0"/>
              <w:jc w:val="center"/>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到2030年，形成食品级二氧化碳产能5万吨/年，实现碳减排5万吨/年。</w:t>
            </w:r>
          </w:p>
        </w:tc>
        <w:tc>
          <w:tcPr>
            <w:tcW w:w="3903" w:type="dxa"/>
            <w:tcBorders>
              <w:top w:val="nil"/>
              <w:left w:val="nil"/>
              <w:bottom w:val="nil"/>
              <w:right w:val="nil"/>
            </w:tcBorders>
            <w:shd w:val="clear" w:color="auto" w:fill="FFFFFF"/>
            <w:vAlign w:val="center"/>
          </w:tcPr>
          <w:p w14:paraId="2DB7D51C">
            <w:pPr>
              <w:widowControl/>
              <w:jc w:val="center"/>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华文楷体" w:hAnsi="华文楷体" w:eastAsia="华文楷体" w:cs="华文楷体"/>
                <w:color w:val="000000"/>
                <w:kern w:val="0"/>
                <w:sz w:val="20"/>
                <w:szCs w:val="20"/>
                <w:lang w:bidi="ar"/>
              </w:rPr>
              <w:t>低</w:t>
            </w:r>
          </w:p>
        </w:tc>
      </w:tr>
      <w:tr w14:paraId="69C46F84">
        <w:tblPrEx>
          <w:tblCellMar>
            <w:top w:w="0" w:type="dxa"/>
            <w:left w:w="108" w:type="dxa"/>
            <w:bottom w:w="0" w:type="dxa"/>
            <w:right w:w="108" w:type="dxa"/>
          </w:tblCellMar>
        </w:tblPrEx>
        <w:trPr>
          <w:jc w:val="center"/>
        </w:trPr>
        <w:tc>
          <w:tcPr>
            <w:tcW w:w="191" w:type="pct"/>
            <w:tcBorders>
              <w:top w:val="nil"/>
              <w:left w:val="nil"/>
              <w:bottom w:val="single" w:color="000000" w:sz="12" w:space="0"/>
              <w:right w:val="nil"/>
            </w:tcBorders>
            <w:shd w:val="clear" w:color="auto" w:fill="FFFFFF"/>
            <w:vAlign w:val="center"/>
          </w:tcPr>
          <w:p w14:paraId="4240356C">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w:t>
            </w:r>
          </w:p>
        </w:tc>
        <w:tc>
          <w:tcPr>
            <w:tcW w:w="541" w:type="pct"/>
            <w:tcBorders>
              <w:top w:val="nil"/>
              <w:left w:val="nil"/>
              <w:bottom w:val="single" w:color="000000" w:sz="12" w:space="0"/>
              <w:right w:val="nil"/>
            </w:tcBorders>
            <w:shd w:val="clear" w:color="auto" w:fill="FFFFFF"/>
            <w:vAlign w:val="center"/>
          </w:tcPr>
          <w:p w14:paraId="686F06CB">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二氧化碳基合成材料</w:t>
            </w:r>
          </w:p>
        </w:tc>
        <w:tc>
          <w:tcPr>
            <w:tcW w:w="253" w:type="pct"/>
            <w:tcBorders>
              <w:top w:val="nil"/>
              <w:left w:val="nil"/>
              <w:bottom w:val="single" w:color="000000" w:sz="12" w:space="0"/>
              <w:right w:val="nil"/>
            </w:tcBorders>
            <w:shd w:val="clear" w:color="auto" w:fill="FFFFFF"/>
            <w:vAlign w:val="center"/>
          </w:tcPr>
          <w:p w14:paraId="1F0D8AB0">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二氧化碳化学利用</w:t>
            </w:r>
          </w:p>
        </w:tc>
        <w:tc>
          <w:tcPr>
            <w:tcW w:w="415" w:type="pct"/>
            <w:tcBorders>
              <w:top w:val="nil"/>
              <w:left w:val="nil"/>
              <w:bottom w:val="single" w:color="000000" w:sz="12" w:space="0"/>
              <w:right w:val="nil"/>
            </w:tcBorders>
            <w:shd w:val="clear" w:color="auto" w:fill="FFFFFF"/>
            <w:vAlign w:val="center"/>
          </w:tcPr>
          <w:p w14:paraId="35CB42A1">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462" w:type="pct"/>
            <w:tcBorders>
              <w:top w:val="nil"/>
              <w:left w:val="nil"/>
              <w:bottom w:val="single" w:color="000000" w:sz="12" w:space="0"/>
              <w:right w:val="nil"/>
            </w:tcBorders>
            <w:shd w:val="clear" w:color="auto" w:fill="FFFFFF"/>
            <w:vAlign w:val="center"/>
          </w:tcPr>
          <w:p w14:paraId="74E0C16C">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w:t>
            </w:r>
          </w:p>
        </w:tc>
        <w:tc>
          <w:tcPr>
            <w:tcW w:w="1758" w:type="pct"/>
            <w:tcBorders>
              <w:top w:val="nil"/>
              <w:left w:val="nil"/>
              <w:bottom w:val="single" w:color="000000" w:sz="12" w:space="0"/>
              <w:right w:val="nil"/>
            </w:tcBorders>
            <w:shd w:val="clear" w:color="auto" w:fill="FFFFFF"/>
            <w:vAlign w:val="center"/>
          </w:tcPr>
          <w:p w14:paraId="23DBB889">
            <w:pPr>
              <w:widowControl/>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到2030年，形成 PPC、PPCP 可降解塑料产能 10 万吨/年，实现碳减排4 万吨/年。</w:t>
            </w:r>
          </w:p>
        </w:tc>
        <w:tc>
          <w:tcPr>
            <w:tcW w:w="3903" w:type="dxa"/>
            <w:tcBorders>
              <w:top w:val="nil"/>
              <w:left w:val="nil"/>
              <w:bottom w:val="single" w:color="000000" w:sz="12" w:space="0"/>
              <w:right w:val="nil"/>
            </w:tcBorders>
            <w:shd w:val="clear" w:color="auto" w:fill="FFFFFF"/>
            <w:vAlign w:val="center"/>
          </w:tcPr>
          <w:p w14:paraId="24E00122">
            <w:pPr>
              <w:widowControl/>
              <w:jc w:val="center"/>
              <w:textAlignment w:val="center"/>
              <w:rPr>
                <w:rFonts w:ascii="华文楷体" w:hAnsi="华文楷体" w:eastAsia="华文楷体" w:cs="华文楷体"/>
                <w:color w:val="000000"/>
                <w:kern w:val="0"/>
                <w:sz w:val="20"/>
                <w:szCs w:val="20"/>
                <w:lang w:bidi="ar"/>
              </w:rPr>
            </w:pPr>
            <w:r>
              <w:rPr>
                <w:rFonts w:hint="eastAsia" w:ascii="华文楷体" w:hAnsi="华文楷体" w:eastAsia="华文楷体" w:cs="华文楷体"/>
                <w:color w:val="000000"/>
                <w:kern w:val="0"/>
                <w:sz w:val="20"/>
                <w:szCs w:val="20"/>
                <w:lang w:bidi="ar"/>
              </w:rPr>
              <w:t>低</w:t>
            </w:r>
          </w:p>
        </w:tc>
      </w:tr>
    </w:tbl>
    <w:p w14:paraId="10E34589">
      <w:pPr>
        <w:widowControl/>
        <w:spacing w:line="600" w:lineRule="exact"/>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sectPr>
          <w:headerReference r:id="rId14" w:type="default"/>
          <w:pgSz w:w="16838" w:h="11906" w:orient="landscape"/>
          <w:pgMar w:top="1800" w:right="1440" w:bottom="1800" w:left="1440" w:header="851" w:footer="992" w:gutter="0"/>
          <w:pgNumType w:fmt="numberInDash"/>
          <w:cols w:space="425" w:num="1"/>
          <w:docGrid w:type="lines" w:linePitch="312" w:charSpace="0"/>
        </w:sectPr>
      </w:pPr>
    </w:p>
    <w:p w14:paraId="1A0CD558">
      <w:pPr>
        <w:widowControl/>
        <w:spacing w:line="600" w:lineRule="exact"/>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p>
    <w:p w14:paraId="713C4D33">
      <w:pPr>
        <w:widowControl/>
        <w:spacing w:line="600" w:lineRule="exact"/>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sectPr>
          <w:type w:val="continuous"/>
          <w:pgSz w:w="16838" w:h="11906" w:orient="landscape"/>
          <w:pgMar w:top="1800" w:right="1440" w:bottom="1800" w:left="1440" w:header="851" w:footer="992" w:gutter="0"/>
          <w:pgNumType w:fmt="numberInDash"/>
          <w:cols w:space="425" w:num="1"/>
          <w:docGrid w:type="lines" w:linePitch="312" w:charSpace="0"/>
        </w:sectPr>
      </w:pPr>
    </w:p>
    <w:p w14:paraId="71F2CC12">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67" w:name="_Toc1062051882"/>
      <w:r>
        <w:rPr>
          <w:rFonts w:ascii="Times New Roman Regular" w:hAnsi="Times New Roman Regular" w:eastAsia="黑体" w:cs="Times New Roman Regular"/>
          <w:color w:val="000000" w:themeColor="text1"/>
          <w:sz w:val="28"/>
          <w:szCs w:val="28"/>
          <w:lang w:bidi="ar"/>
          <w14:textFill>
            <w14:solidFill>
              <w14:schemeClr w14:val="tx1"/>
            </w14:solidFill>
          </w14:textFill>
        </w:rPr>
        <w:t>6.</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3</w:t>
      </w:r>
      <w:r>
        <w:rPr>
          <w:rFonts w:ascii="Times New Roman Regular" w:hAnsi="Times New Roman Regular" w:eastAsia="黑体" w:cs="Times New Roman Regular"/>
          <w:color w:val="000000" w:themeColor="text1"/>
          <w:sz w:val="28"/>
          <w:szCs w:val="28"/>
          <w:lang w:bidi="ar"/>
          <w14:textFill>
            <w14:solidFill>
              <w14:schemeClr w14:val="tx1"/>
            </w14:solidFill>
          </w14:textFill>
        </w:rPr>
        <w:t xml:space="preserve"> </w:t>
      </w:r>
      <w:bookmarkEnd w:id="167"/>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坚持科技创新，做好低碳技术储备</w:t>
      </w:r>
    </w:p>
    <w:p w14:paraId="3282FEC4">
      <w:pPr>
        <w:widowControl/>
        <w:spacing w:line="60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6.3.1石油化工先进低碳技术</w:t>
      </w:r>
    </w:p>
    <w:p w14:paraId="1100F725">
      <w:pPr>
        <w:widowControl/>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（1）炼油提升电气化率</w:t>
      </w:r>
    </w:p>
    <w:p w14:paraId="13F16598">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随着“双碳”政策深化，提升电气化率是降低碳排放的必然举措，国际能源署（IEA）发布的《能源效率2020》和国际可再生能源署（IRENA）2021年发布的《全球石化化工行业的零碳路径》研究报告均表明，实现石化行业零排放所需的技术中，清洁发电和电气化技术贡献最大。</w:t>
      </w:r>
    </w:p>
    <w:p w14:paraId="10412BB0">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主要电气化技术方向有用电代替燃料加热、电驱动、电催化等。炼化企业在稳妥有序推动电伴热、电加热、电力驱动、以电代汽的基础上，全面研究炼化再电气化的系统创新，按照节能提效、电锅炉改造、蒸汽透平改电驱、电加热炉改造、电化学工艺改造顺序开展。</w:t>
      </w:r>
    </w:p>
    <w:p w14:paraId="1BE286AD">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07EF0715">
      <w:pPr>
        <w:widowControl/>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（2）高效节能乙烯生产技术</w:t>
      </w:r>
    </w:p>
    <w:p w14:paraId="1ABCDB7B">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实现乙烯行业深层次碳减排，需要在原料端、工艺端、燃料端协同推进，对高效节能技术、装置原料的优质化和多元化高值利用及绿电驱动和加热技术开展研究，形成系列绿色低碳乙烯生产技术。</w:t>
      </w:r>
    </w:p>
    <w:p w14:paraId="56E54C0F">
      <w:pPr>
        <w:widowControl/>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6.3.2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.1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开发原油直接裂解制乙烯技术</w:t>
      </w:r>
    </w:p>
    <w:p w14:paraId="0431890D">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发改委颁布《高耗能行业重点领域节能降碳改造升级实施指南-发改产业〔2022〕200号》文件要求推动原油直接裂解技术开发应用。开发了原油高效馏分分离技术、宽馏分油裂解产物预测技术及原油裂解耦合传热技术，跨过炼油，原油直接进入乙烯装置进行裂解，吨乙烯能耗减少约20千克标油;研究分析了世界上代表性的53种原油特性，并根据不同原油性质，开发出三种原油直接裂解工艺路线，研究形成百万吨级原油直接裂解制乙烯工艺包</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p>
    <w:p w14:paraId="4E376C25">
      <w:pPr>
        <w:widowControl/>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6.3.2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乙烷热裂</w:t>
      </w:r>
    </w:p>
    <w:p w14:paraId="68E67A9D">
      <w:pPr>
        <w:widowControl/>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随着美国页岩气革命及我国部分较高乙烷含量天然气的开发，乙烷作为最优质的裂解原料，其竞争优势得到了充分的体现，但乙烷分子键能高、结构稳定，裂解过程中具有吸热强度大、单程转化率低、焦层致密等特点，且乙烷裂解气中汽油及燃料油产量低，存在急冷水系统杂质难处理、乙烯高效回收难等挑战。</w:t>
      </w:r>
    </w:p>
    <w:p w14:paraId="69AA2E81">
      <w:pPr>
        <w:widowControl/>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聚焦如下方面攻关，研发出百万吨级乙烷裂解制乙烯成套技术，为天然气中乙烷资源的高值利用提供了重要的技术支撑。</w:t>
      </w:r>
    </w:p>
    <w:p w14:paraId="112881D9">
      <w:pPr>
        <w:widowControl/>
        <w:numPr>
          <w:ilvl w:val="0"/>
          <w:numId w:val="3"/>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开发出高效的乙烷裂解制乙烯技术</w:t>
      </w:r>
    </w:p>
    <w:p w14:paraId="56EDD5A7">
      <w:pPr>
        <w:widowControl/>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针对乙烷裂解的特点，创建了乙烷裂解反应、热传递和介质流动的构效关系，创建了乙烷裂解反应-传热耦合模型，开发出乙烯收率高、运行周期长的乙烷裂解技术;针对乙烷/水汽体系中水汽分压高的特点，创新开发出乙烷原料增湿技术，降低裂解能耗。</w:t>
      </w:r>
    </w:p>
    <w:p w14:paraId="4A060830">
      <w:pPr>
        <w:widowControl/>
        <w:numPr>
          <w:ilvl w:val="0"/>
          <w:numId w:val="3"/>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开发出高效的前脱乙烷前加氢分离技术</w:t>
      </w:r>
    </w:p>
    <w:p w14:paraId="4A0135B7">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乙烷是生产乙烯的最优原料。传统的蒸汽裂解工艺能耗高，碳排放量大。乙烷催化氧化脱氢属于催化工艺，具有碳排放低、能耗低、选择性好等优势。通过和常规蒸汽裂解/移动床催化裂解工艺耦合，实现乙烷原料及循环乙烷的高效利用，开辟一条绿色低成本乙烯发展路子，为老乙烯装置改造和未来新建乙烯生产能力提供技术新思路。</w:t>
      </w:r>
    </w:p>
    <w:p w14:paraId="65E51E02">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2025年6月30日，辽阳石化公司全球首套3000吨/年乙烷氧化脱氢制乙烯（EDH）工业试验装置顺利中交，该中试装置采用的EDH技术，由辽阳石化公司和中国科学院大连化学物理研究所共同研发。装置以乙烷和氧气为主要原料，借助高效催化剂在不同工况条件下的精准转化，产出高纯度的聚合级乙烯，同时副产乙酸等化工原料。</w:t>
      </w:r>
    </w:p>
    <w:p w14:paraId="20533E8B">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7C7B54F9">
      <w:pPr>
        <w:widowControl/>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（3）生物基产业发展</w:t>
      </w:r>
    </w:p>
    <w:p w14:paraId="19500B81">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生物基材料是替代石化基材料、降低碳足迹的重要路径。其来源包括农业废弃物、纤维素、生物油、淀粉、植物油等多种可再生资源，具有可降解、可循环、碳中性等特征，是发展绿色低碳制造的重要组成部分。</w:t>
      </w:r>
    </w:p>
    <w:p w14:paraId="5C320663">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主要发展方向包括：</w:t>
      </w:r>
    </w:p>
    <w:p w14:paraId="3E803F35">
      <w:pPr>
        <w:widowControl/>
        <w:numPr>
          <w:ilvl w:val="0"/>
          <w:numId w:val="4"/>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生物基单体与高分子材料：如聚乳酸（PLA）、聚羟基脂肪酸酯（PHA）、生物基聚酰胺、生物基PET等，具备良好的降解性或可循环特性，应用于包装、纺织、汽车和消费品等领域。</w:t>
      </w:r>
    </w:p>
    <w:p w14:paraId="2E75ED68">
      <w:pPr>
        <w:widowControl/>
        <w:numPr>
          <w:ilvl w:val="0"/>
          <w:numId w:val="4"/>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生物基平台化学品：通过生物转化或催化工艺，将生物质转化为乙醇、乳酸、丁醇、戊糖醛、糠醛、琥珀酸等平台化学品，为下游化工原料替代提供基础。</w:t>
      </w:r>
    </w:p>
    <w:p w14:paraId="33FF44CA">
      <w:pPr>
        <w:widowControl/>
        <w:numPr>
          <w:ilvl w:val="0"/>
          <w:numId w:val="4"/>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绿色制备工艺：采用酶催化、发酵、微生物合成等生物工艺，降低生产过程能耗和排放，减少对石化原料的依赖。</w:t>
      </w:r>
    </w:p>
    <w:p w14:paraId="5CA5B491">
      <w:pPr>
        <w:widowControl/>
        <w:numPr>
          <w:ilvl w:val="0"/>
          <w:numId w:val="4"/>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产业链协同与规模化：推动农业、林业、化工、消费品行业上下游协作，建立稳定的生物质原料供应体系，开发国产装备和工艺包，降低成本、提升产品竞争力。</w:t>
      </w:r>
    </w:p>
    <w:p w14:paraId="28B5DC48">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3A5E045E">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我国已将生物基材料作为新材料产业发展的重点方向，发布多项支持政策，鼓励产能布局、技术攻关和应用推广。预计到2030年，生物基材料产能将实现百万吨级，替代石化基材料比例显著提升，为“双碳”目标实现贡献绿色原料解决方案。</w:t>
      </w:r>
    </w:p>
    <w:p w14:paraId="44C89D4E">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433477D8">
      <w:pPr>
        <w:widowControl/>
        <w:numPr>
          <w:ilvl w:val="255"/>
          <w:numId w:val="0"/>
        </w:numPr>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（4）</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塑料废弃物化学回收</w:t>
      </w:r>
    </w:p>
    <w:p w14:paraId="329B85FE">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塑料废弃物的高值化、资源化利用，是实现碳达峰碳中和目标的重要方向。相比填埋和焚烧发电等传统处理方式，化学回收可实现聚合物的原料化回收和闭环利用，是未来塑料循环经济的关键技术路径。</w:t>
      </w:r>
    </w:p>
    <w:p w14:paraId="79F21D7F">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塑料废弃物来源广泛、组分复杂，包含聚烯烃、PVC、PS、PET等多种类型，常伴随杂质、添加剂和高氯组分，给回收利用带来挑战。传统的机械回收存在多次熔融降解、难以处理混合废塑料等局限，难以满足高质量再利用需求。</w:t>
      </w:r>
    </w:p>
    <w:p w14:paraId="3F3A7727">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化学回收通过热解、解聚、催化裂解、溶剂溶解等技术，将混合废塑料转化为小分子烃类，再经过分离和精制，可获得可用于蒸汽裂解的石脑油替代料或单体原料，从而实现塑料“原料化再生”。化学回收不仅可降低塑料废弃物的环境风险，避免焚烧产生的温室气体排放，还能减少对化石原料的依赖。</w:t>
      </w:r>
    </w:p>
    <w:p w14:paraId="7EE71907">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主要技术发展方向包括：</w:t>
      </w:r>
    </w:p>
    <w:p w14:paraId="4ACA02E1">
      <w:pPr>
        <w:widowControl/>
        <w:numPr>
          <w:ilvl w:val="0"/>
          <w:numId w:val="5"/>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高效预处理与分选技术：去除金属、PVC、氯化物、水分和其他杂质，降低催化剂失活和设备腐蚀风险。</w:t>
      </w:r>
    </w:p>
    <w:p w14:paraId="36500758">
      <w:pPr>
        <w:widowControl/>
        <w:numPr>
          <w:ilvl w:val="0"/>
          <w:numId w:val="5"/>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热解裂解技术：精准控制温度和停留时间，实现高选择性产物分布，减少结焦结碳，提高收率和运行周期。</w:t>
      </w:r>
    </w:p>
    <w:p w14:paraId="30B3199A">
      <w:pPr>
        <w:widowControl/>
        <w:numPr>
          <w:ilvl w:val="0"/>
          <w:numId w:val="5"/>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催化解聚技术：开发高效耐氯催化剂体系，实现低温高选择性裂解，提升能效和产品品质。</w:t>
      </w:r>
    </w:p>
    <w:p w14:paraId="57A04933">
      <w:pPr>
        <w:widowControl/>
        <w:numPr>
          <w:ilvl w:val="0"/>
          <w:numId w:val="5"/>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高纯度产物分离与精制：脱除氯、硫、氧等杂质，实现下游装置可接收的原料质量。</w:t>
      </w:r>
    </w:p>
    <w:p w14:paraId="54C43567">
      <w:pPr>
        <w:widowControl/>
        <w:numPr>
          <w:ilvl w:val="0"/>
          <w:numId w:val="5"/>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集成化工艺包与规模化装置：实现预处理、裂解、分离和精制单元的高效耦合。</w:t>
      </w:r>
    </w:p>
    <w:p w14:paraId="7E976243">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我国正在规划和推动5–10年内形成500万吨/年废塑料制化工原料能力，通过替代石脑油裂解原料实现千万吨级二氧化碳减排潜力，支持石化行业原料低碳转型和塑料循环经济发展。</w:t>
      </w:r>
    </w:p>
    <w:p w14:paraId="7FC46CF4">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化学回收技术的推广仍面临废料来源组分复杂、预处理成本高、设备耐腐蚀和催化剂寿命要求高、投资成本和经济性验证等挑战，需要在工艺优化、装备国产化、标准体系建设和政策激励机制等方面持续攻关。</w:t>
      </w:r>
    </w:p>
    <w:p w14:paraId="286404FC">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15CF755F">
      <w:pPr>
        <w:widowControl/>
        <w:spacing w:line="60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6.3.2石化化工行业未来节能降碳技术储备清单</w:t>
      </w:r>
    </w:p>
    <w:p w14:paraId="7E3317D9">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为支撑“双碳”目标，实现石化化工行业本质减碳，需围绕能源利用低碳化、原料结构低碳化、工艺流程优化、末端碳捕集利用封存（CCUS）等方向建立前沿技术储备体系。结合国际国内技术发展趋势，建议建立分层次、分业务条线的“低碳技术三级储备清单”，如下表所示。</w:t>
      </w:r>
    </w:p>
    <w:p w14:paraId="75C0684E">
      <w:pPr>
        <w:widowControl/>
        <w:numPr>
          <w:ilvl w:val="255"/>
          <w:numId w:val="0"/>
        </w:numPr>
        <w:adjustRightInd w:val="0"/>
        <w:spacing w:line="600" w:lineRule="exact"/>
        <w:ind w:firstLine="400" w:firstLineChars="200"/>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lang w:val="en-US" w:eastAsia="zh-CN"/>
          <w14:textFill>
            <w14:solidFill>
              <w14:schemeClr w14:val="tx1"/>
            </w14:solidFill>
          </w14:textFill>
        </w:rPr>
        <w:t>5</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三级储备清单</w:t>
      </w:r>
    </w:p>
    <w:tbl>
      <w:tblPr>
        <w:tblStyle w:val="16"/>
        <w:tblW w:w="0" w:type="auto"/>
        <w:tblCellSpacing w:w="15" w:type="dxa"/>
        <w:tblInd w:w="0" w:type="dxa"/>
        <w:tblLayout w:type="autofit"/>
        <w:tblCellMar>
          <w:top w:w="15" w:type="dxa"/>
          <w:left w:w="15" w:type="dxa"/>
          <w:bottom w:w="15" w:type="dxa"/>
          <w:right w:w="15" w:type="dxa"/>
        </w:tblCellMar>
      </w:tblPr>
      <w:tblGrid>
        <w:gridCol w:w="692"/>
        <w:gridCol w:w="753"/>
        <w:gridCol w:w="3229"/>
        <w:gridCol w:w="3722"/>
      </w:tblGrid>
      <w:tr w14:paraId="6065FEE7">
        <w:tblPrEx>
          <w:tblCellMar>
            <w:top w:w="15" w:type="dxa"/>
            <w:left w:w="15" w:type="dxa"/>
            <w:bottom w:w="15" w:type="dxa"/>
            <w:right w:w="15" w:type="dxa"/>
          </w:tblCellMar>
        </w:tblPrEx>
        <w:trPr>
          <w:tblHeader/>
          <w:tblCellSpacing w:w="15" w:type="dxa"/>
        </w:trPr>
        <w:tc>
          <w:tcPr>
            <w:tcW w:w="668" w:type="dxa"/>
            <w:shd w:val="clear" w:color="auto" w:fill="auto"/>
            <w:vAlign w:val="center"/>
          </w:tcPr>
          <w:p w14:paraId="5FFBA243">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层级</w:t>
            </w:r>
          </w:p>
        </w:tc>
        <w:tc>
          <w:tcPr>
            <w:tcW w:w="748" w:type="dxa"/>
            <w:shd w:val="clear" w:color="auto" w:fill="auto"/>
            <w:vAlign w:val="center"/>
          </w:tcPr>
          <w:p w14:paraId="04F94C0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业务条线</w:t>
            </w:r>
          </w:p>
        </w:tc>
        <w:tc>
          <w:tcPr>
            <w:tcW w:w="0" w:type="auto"/>
            <w:shd w:val="clear" w:color="auto" w:fill="auto"/>
            <w:vAlign w:val="center"/>
          </w:tcPr>
          <w:p w14:paraId="727E3837">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技术方向</w:t>
            </w:r>
          </w:p>
        </w:tc>
        <w:tc>
          <w:tcPr>
            <w:tcW w:w="0" w:type="auto"/>
            <w:shd w:val="clear" w:color="auto" w:fill="auto"/>
            <w:vAlign w:val="center"/>
          </w:tcPr>
          <w:p w14:paraId="2074D98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主要路径及实施要点</w:t>
            </w:r>
          </w:p>
        </w:tc>
      </w:tr>
      <w:tr w14:paraId="40B6C001">
        <w:tblPrEx>
          <w:tblCellMar>
            <w:top w:w="15" w:type="dxa"/>
            <w:left w:w="15" w:type="dxa"/>
            <w:bottom w:w="15" w:type="dxa"/>
            <w:right w:w="15" w:type="dxa"/>
          </w:tblCellMar>
        </w:tblPrEx>
        <w:trPr>
          <w:tblCellSpacing w:w="15" w:type="dxa"/>
        </w:trPr>
        <w:tc>
          <w:tcPr>
            <w:tcW w:w="668" w:type="dxa"/>
            <w:vMerge w:val="restart"/>
            <w:shd w:val="clear" w:color="auto" w:fill="auto"/>
            <w:vAlign w:val="center"/>
          </w:tcPr>
          <w:p w14:paraId="04CA42C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4060D7B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124B0E11">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p w14:paraId="47ED765C">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近期可推广</w:t>
            </w:r>
          </w:p>
        </w:tc>
        <w:tc>
          <w:tcPr>
            <w:tcW w:w="748" w:type="dxa"/>
            <w:shd w:val="clear" w:color="auto" w:fill="auto"/>
            <w:vAlign w:val="center"/>
          </w:tcPr>
          <w:p w14:paraId="052E9670">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炼油</w:t>
            </w:r>
          </w:p>
        </w:tc>
        <w:tc>
          <w:tcPr>
            <w:tcW w:w="0" w:type="auto"/>
            <w:shd w:val="clear" w:color="auto" w:fill="auto"/>
            <w:vAlign w:val="center"/>
          </w:tcPr>
          <w:p w14:paraId="0ED4A52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电气化提升、电加热炉改造</w:t>
            </w:r>
          </w:p>
        </w:tc>
        <w:tc>
          <w:tcPr>
            <w:tcW w:w="0" w:type="auto"/>
            <w:shd w:val="clear" w:color="auto" w:fill="auto"/>
            <w:vAlign w:val="center"/>
          </w:tcPr>
          <w:p w14:paraId="4F65AB5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电锅炉、电伴热、电加热炉、电驱动透平，匹配绿电采购</w:t>
            </w:r>
          </w:p>
        </w:tc>
      </w:tr>
      <w:tr w14:paraId="63DA2172">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06C36CC6">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65018FF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炼油</w:t>
            </w:r>
          </w:p>
        </w:tc>
        <w:tc>
          <w:tcPr>
            <w:tcW w:w="3331" w:type="dxa"/>
            <w:shd w:val="clear" w:color="auto" w:fill="auto"/>
            <w:vAlign w:val="center"/>
          </w:tcPr>
          <w:p w14:paraId="7DC21F9E">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高效分离膜技术</w:t>
            </w:r>
          </w:p>
        </w:tc>
        <w:tc>
          <w:tcPr>
            <w:tcW w:w="3499" w:type="dxa"/>
            <w:shd w:val="clear" w:color="auto" w:fill="auto"/>
            <w:vAlign w:val="center"/>
          </w:tcPr>
          <w:p w14:paraId="5A9AEA28">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脱盐水回用、常减压分离优化，降低能耗</w:t>
            </w:r>
          </w:p>
        </w:tc>
      </w:tr>
      <w:tr w14:paraId="042A6D4D">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21DDD97D">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7FFEAB8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炼油</w:t>
            </w:r>
          </w:p>
        </w:tc>
        <w:tc>
          <w:tcPr>
            <w:tcW w:w="3331" w:type="dxa"/>
            <w:shd w:val="clear" w:color="auto" w:fill="auto"/>
            <w:vAlign w:val="center"/>
          </w:tcPr>
          <w:p w14:paraId="284C1DC3">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催化裂化催化剂升级</w:t>
            </w:r>
          </w:p>
        </w:tc>
        <w:tc>
          <w:tcPr>
            <w:tcW w:w="3499" w:type="dxa"/>
            <w:shd w:val="clear" w:color="auto" w:fill="auto"/>
            <w:vAlign w:val="center"/>
          </w:tcPr>
          <w:p w14:paraId="66FD8F33">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高选择性、低焦炭产率催化剂，减少氢耗、CO₂排放</w:t>
            </w:r>
          </w:p>
        </w:tc>
      </w:tr>
      <w:tr w14:paraId="2CB366E3">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6A5DA22B">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63ED5825">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乙烯生产</w:t>
            </w:r>
          </w:p>
        </w:tc>
        <w:tc>
          <w:tcPr>
            <w:tcW w:w="3331" w:type="dxa"/>
            <w:shd w:val="clear" w:color="auto" w:fill="auto"/>
            <w:vAlign w:val="center"/>
          </w:tcPr>
          <w:p w14:paraId="71B2D54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原油直接裂解</w:t>
            </w:r>
          </w:p>
        </w:tc>
        <w:tc>
          <w:tcPr>
            <w:tcW w:w="3499" w:type="dxa"/>
            <w:shd w:val="clear" w:color="auto" w:fill="auto"/>
            <w:vAlign w:val="center"/>
          </w:tcPr>
          <w:p w14:paraId="0944D1A5">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跨炼化一体化设计，20kg标油/t乙烯能耗下降</w:t>
            </w:r>
          </w:p>
        </w:tc>
      </w:tr>
      <w:tr w14:paraId="36E33307">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316220C9">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5BF7586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乙烯生产</w:t>
            </w:r>
          </w:p>
        </w:tc>
        <w:tc>
          <w:tcPr>
            <w:tcW w:w="3331" w:type="dxa"/>
            <w:shd w:val="clear" w:color="auto" w:fill="auto"/>
            <w:vAlign w:val="center"/>
          </w:tcPr>
          <w:p w14:paraId="5586495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乙烷热裂解技术改进</w:t>
            </w:r>
          </w:p>
        </w:tc>
        <w:tc>
          <w:tcPr>
            <w:tcW w:w="3499" w:type="dxa"/>
            <w:shd w:val="clear" w:color="auto" w:fill="auto"/>
            <w:vAlign w:val="center"/>
          </w:tcPr>
          <w:p w14:paraId="44D58861">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高效裂解炉、增湿工艺、高效冷凝回收系统</w:t>
            </w:r>
          </w:p>
        </w:tc>
      </w:tr>
      <w:tr w14:paraId="7E5FE6DB">
        <w:tblPrEx>
          <w:tblCellMar>
            <w:top w:w="15" w:type="dxa"/>
            <w:left w:w="15" w:type="dxa"/>
            <w:bottom w:w="15" w:type="dxa"/>
            <w:right w:w="15" w:type="dxa"/>
          </w:tblCellMar>
        </w:tblPrEx>
        <w:trPr>
          <w:tblCellSpacing w:w="15" w:type="dxa"/>
        </w:trPr>
        <w:tc>
          <w:tcPr>
            <w:tcW w:w="668" w:type="dxa"/>
            <w:vMerge w:val="restart"/>
            <w:shd w:val="clear" w:color="auto" w:fill="auto"/>
            <w:vAlign w:val="center"/>
          </w:tcPr>
          <w:p w14:paraId="5242CC34">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中长期攻关</w:t>
            </w:r>
          </w:p>
        </w:tc>
        <w:tc>
          <w:tcPr>
            <w:tcW w:w="748" w:type="dxa"/>
            <w:shd w:val="clear" w:color="auto" w:fill="auto"/>
            <w:vAlign w:val="center"/>
          </w:tcPr>
          <w:p w14:paraId="346FCCD9">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乙烯生产</w:t>
            </w:r>
          </w:p>
        </w:tc>
        <w:tc>
          <w:tcPr>
            <w:tcW w:w="0" w:type="auto"/>
            <w:shd w:val="clear" w:color="auto" w:fill="auto"/>
            <w:vAlign w:val="center"/>
          </w:tcPr>
          <w:p w14:paraId="671F8013">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电裂解炉+绿电直供</w:t>
            </w:r>
          </w:p>
        </w:tc>
        <w:tc>
          <w:tcPr>
            <w:tcW w:w="0" w:type="auto"/>
            <w:shd w:val="clear" w:color="auto" w:fill="auto"/>
            <w:vAlign w:val="center"/>
          </w:tcPr>
          <w:p w14:paraId="74B19075">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电加热裂解炉技术开发，绿电配套直供模式</w:t>
            </w:r>
          </w:p>
        </w:tc>
      </w:tr>
      <w:tr w14:paraId="3CCEA284">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371452C8">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54EE6336">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炼油/烯烃生产</w:t>
            </w:r>
          </w:p>
        </w:tc>
        <w:tc>
          <w:tcPr>
            <w:tcW w:w="3331" w:type="dxa"/>
            <w:shd w:val="clear" w:color="auto" w:fill="auto"/>
            <w:vAlign w:val="center"/>
          </w:tcPr>
          <w:p w14:paraId="01BB566B">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CCUS技术耦合</w:t>
            </w:r>
          </w:p>
        </w:tc>
        <w:tc>
          <w:tcPr>
            <w:tcW w:w="3499" w:type="dxa"/>
            <w:shd w:val="clear" w:color="auto" w:fill="auto"/>
            <w:vAlign w:val="center"/>
          </w:tcPr>
          <w:p w14:paraId="67FACD98">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加氢裂化、加氢精制尾气CO₂捕集，配套封存或利用</w:t>
            </w:r>
          </w:p>
        </w:tc>
      </w:tr>
      <w:tr w14:paraId="523FF5F6">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45F59403">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7C55766D">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化工</w:t>
            </w:r>
          </w:p>
        </w:tc>
        <w:tc>
          <w:tcPr>
            <w:tcW w:w="3331" w:type="dxa"/>
            <w:shd w:val="clear" w:color="auto" w:fill="auto"/>
            <w:vAlign w:val="center"/>
          </w:tcPr>
          <w:p w14:paraId="20159AA7">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绿氢制氨、绿氢加氢工艺</w:t>
            </w:r>
          </w:p>
        </w:tc>
        <w:tc>
          <w:tcPr>
            <w:tcW w:w="3499" w:type="dxa"/>
            <w:shd w:val="clear" w:color="auto" w:fill="auto"/>
            <w:vAlign w:val="center"/>
          </w:tcPr>
          <w:p w14:paraId="6A7B6964">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采用可再生电解水制氢替代化石原料</w:t>
            </w:r>
          </w:p>
        </w:tc>
      </w:tr>
      <w:tr w14:paraId="3473F0F8">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411381C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71768A4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化工</w:t>
            </w:r>
          </w:p>
        </w:tc>
        <w:tc>
          <w:tcPr>
            <w:tcW w:w="3331" w:type="dxa"/>
            <w:shd w:val="clear" w:color="auto" w:fill="auto"/>
            <w:vAlign w:val="center"/>
          </w:tcPr>
          <w:p w14:paraId="40FA747D">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废塑料化学回收</w:t>
            </w:r>
          </w:p>
        </w:tc>
        <w:tc>
          <w:tcPr>
            <w:tcW w:w="3499" w:type="dxa"/>
            <w:shd w:val="clear" w:color="auto" w:fill="auto"/>
            <w:vAlign w:val="center"/>
          </w:tcPr>
          <w:p w14:paraId="2534C36C">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热解、催化裂解技术，产出石脑油替代原料，与蒸汽裂解装置耦合</w:t>
            </w:r>
          </w:p>
        </w:tc>
      </w:tr>
      <w:tr w14:paraId="4814FB4B">
        <w:tblPrEx>
          <w:tblCellMar>
            <w:top w:w="15" w:type="dxa"/>
            <w:left w:w="15" w:type="dxa"/>
            <w:bottom w:w="15" w:type="dxa"/>
            <w:right w:w="15" w:type="dxa"/>
          </w:tblCellMar>
        </w:tblPrEx>
        <w:trPr>
          <w:tblCellSpacing w:w="15" w:type="dxa"/>
        </w:trPr>
        <w:tc>
          <w:tcPr>
            <w:tcW w:w="668" w:type="dxa"/>
            <w:vMerge w:val="restart"/>
            <w:shd w:val="clear" w:color="auto" w:fill="auto"/>
            <w:vAlign w:val="center"/>
          </w:tcPr>
          <w:p w14:paraId="5B33C077">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前沿研发</w:t>
            </w:r>
          </w:p>
        </w:tc>
        <w:tc>
          <w:tcPr>
            <w:tcW w:w="748" w:type="dxa"/>
            <w:shd w:val="clear" w:color="auto" w:fill="auto"/>
            <w:vAlign w:val="center"/>
          </w:tcPr>
          <w:p w14:paraId="1F40B1E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炼化/烯烃</w:t>
            </w:r>
          </w:p>
        </w:tc>
        <w:tc>
          <w:tcPr>
            <w:tcW w:w="0" w:type="auto"/>
            <w:shd w:val="clear" w:color="auto" w:fill="auto"/>
            <w:vAlign w:val="center"/>
          </w:tcPr>
          <w:p w14:paraId="4F11A1F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电化学工艺、低碳催化路线</w:t>
            </w:r>
          </w:p>
        </w:tc>
        <w:tc>
          <w:tcPr>
            <w:tcW w:w="0" w:type="auto"/>
            <w:shd w:val="clear" w:color="auto" w:fill="auto"/>
            <w:vAlign w:val="center"/>
          </w:tcPr>
          <w:p w14:paraId="61803BED">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电催化脱氢、电解合成，CO₂原料化利用</w:t>
            </w:r>
          </w:p>
        </w:tc>
      </w:tr>
      <w:tr w14:paraId="25B6CA99">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75B425E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49D66F31">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炼化/化工</w:t>
            </w:r>
          </w:p>
        </w:tc>
        <w:tc>
          <w:tcPr>
            <w:tcW w:w="3331" w:type="dxa"/>
            <w:shd w:val="clear" w:color="auto" w:fill="auto"/>
            <w:vAlign w:val="center"/>
          </w:tcPr>
          <w:p w14:paraId="03E40355">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生物基原料及替代路线</w:t>
            </w:r>
          </w:p>
        </w:tc>
        <w:tc>
          <w:tcPr>
            <w:tcW w:w="3499" w:type="dxa"/>
            <w:shd w:val="clear" w:color="auto" w:fill="auto"/>
            <w:vAlign w:val="center"/>
          </w:tcPr>
          <w:p w14:paraId="4843BC16">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生物基烯烃、生物基芳烃生产工艺开发</w:t>
            </w:r>
          </w:p>
        </w:tc>
      </w:tr>
      <w:tr w14:paraId="3337EFE4">
        <w:tblPrEx>
          <w:tblCellMar>
            <w:top w:w="15" w:type="dxa"/>
            <w:left w:w="15" w:type="dxa"/>
            <w:bottom w:w="15" w:type="dxa"/>
            <w:right w:w="15" w:type="dxa"/>
          </w:tblCellMar>
        </w:tblPrEx>
        <w:trPr>
          <w:tblCellSpacing w:w="15" w:type="dxa"/>
        </w:trPr>
        <w:tc>
          <w:tcPr>
            <w:tcW w:w="668" w:type="dxa"/>
            <w:vMerge w:val="continue"/>
            <w:shd w:val="clear" w:color="auto" w:fill="auto"/>
            <w:vAlign w:val="center"/>
          </w:tcPr>
          <w:p w14:paraId="105DFB6E">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c>
          <w:tcPr>
            <w:tcW w:w="748" w:type="dxa"/>
            <w:shd w:val="clear" w:color="auto" w:fill="auto"/>
            <w:vAlign w:val="center"/>
          </w:tcPr>
          <w:p w14:paraId="72C9688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全流程</w:t>
            </w:r>
          </w:p>
        </w:tc>
        <w:tc>
          <w:tcPr>
            <w:tcW w:w="3331" w:type="dxa"/>
            <w:shd w:val="clear" w:color="auto" w:fill="auto"/>
            <w:vAlign w:val="center"/>
          </w:tcPr>
          <w:p w14:paraId="6260955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数字化与工艺集成优化</w:t>
            </w:r>
          </w:p>
        </w:tc>
        <w:tc>
          <w:tcPr>
            <w:tcW w:w="3499" w:type="dxa"/>
            <w:shd w:val="clear" w:color="auto" w:fill="auto"/>
            <w:vAlign w:val="center"/>
          </w:tcPr>
          <w:p w14:paraId="06C8C26E">
            <w:pPr>
              <w:widowControl/>
              <w:snapToGrid w:val="0"/>
              <w:spacing w:beforeAutospacing="1" w:afterAutospacing="1"/>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APC、流程模拟、碳足迹优化、全流程能效管控</w:t>
            </w:r>
          </w:p>
        </w:tc>
      </w:tr>
    </w:tbl>
    <w:p w14:paraId="5DC6E3C6">
      <w:pPr>
        <w:widowControl/>
        <w:spacing w:line="600" w:lineRule="exact"/>
        <w:outlineLvl w:val="2"/>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6.3.3 增量乙烯项目规划科技创新实施方向</w:t>
      </w:r>
    </w:p>
    <w:p w14:paraId="377B8539">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为推进泉州石化新建乙烯项目的低碳高效发展，需融入多项科技创新举措，可从以下创新实施方向入手。</w:t>
      </w:r>
    </w:p>
    <w:p w14:paraId="11BCF369">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（1）电加热裂解炉与绿电直供模式</w:t>
      </w:r>
    </w:p>
    <w:p w14:paraId="7DD3CF91">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传统裂解炉以化石燃料燃烧为热源，是乙烯生产碳排放的最大来源。电加热裂解炉以可再生电力直接加热，理论上可减少90%以上的炉膛CO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排放，已被国际巨头BASF/SABIC、Shell等在欧洲开展工业示范。泉州项目可结合福建沿海风电、核电资源规划绿电直供，设计阶段预留电加热改造空间，实现分步替代传统燃烧加热，为未来深度脱碳打下基础。</w:t>
      </w:r>
    </w:p>
    <w:p w14:paraId="3A592F96">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（2）废塑料化学回收装置配套</w:t>
      </w:r>
    </w:p>
    <w:p w14:paraId="33D1AC09">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废塑料化学回收通过热解、催化裂解等技术将混合废塑料转化为可裂解油料，作为乙烯生产原料，实现石脑油部分替代和闭环再生。国际上壳牌新加坡、SABIC欧洲均已建成万吨级以上示范装置，国内如浙江科茂已成功投运年产4万吨装置。福建具备塑料产业基础和垃圾分类政策优势，泉州项目可规划配套建设化学回收装置，实现塑料废弃物资源化，减少固废焚烧排放。</w:t>
      </w:r>
    </w:p>
    <w:p w14:paraId="6D54280F">
      <w:pPr>
        <w:widowControl/>
        <w:numPr>
          <w:ilvl w:val="255"/>
          <w:numId w:val="0"/>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（3）乙烷裂解优化利用</w:t>
      </w:r>
    </w:p>
    <w:p w14:paraId="592F3881">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乙烷裂解路线因乙烯收率高、流程简单、单位能耗和碳排放低于石脑油裂解，已成为全球乙烯扩能的重要方向。国内已建成多个百万吨级乙烷裂解项目，实现进口乙烷高效利用。泉州沿海区位有利于乙烷进口接收设施建设，建议规划乙烷/轻烃灵活进料方案，提升原料结构“轻质化”，降低整体碳足迹。</w:t>
      </w:r>
    </w:p>
    <w:p w14:paraId="1710D042">
      <w:pPr>
        <w:widowControl/>
        <w:numPr>
          <w:ilvl w:val="0"/>
          <w:numId w:val="6"/>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CCUS碳捕集利用与封存</w:t>
      </w:r>
    </w:p>
    <w:p w14:paraId="72B48F11">
      <w:pPr>
        <w:widowControl/>
        <w:numPr>
          <w:ilvl w:val="255"/>
          <w:numId w:val="0"/>
        </w:numPr>
        <w:adjustRightInd w:val="0"/>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乙烯生产排放的CO₂可通过CCUS技术实现捕集和封存或利用，是减少难以替代排放的关键路径。国内已有齐鲁石化-胜利油田百万吨级CCUS全流程示范项目，显示了炼化行业可行性。泉州项目可重点规划制氢装置尾气、裂解炉烟气等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源的捕集接口，结合区域储存潜力或跨省运输，实现“先小规模、后成网络”分步推进。</w:t>
      </w:r>
    </w:p>
    <w:p w14:paraId="40F6C92F">
      <w:pPr>
        <w:numPr>
          <w:ilvl w:val="0"/>
          <w:numId w:val="6"/>
        </w:numPr>
        <w:adjustRightInd w:val="0"/>
        <w:spacing w:line="600" w:lineRule="exact"/>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生物基原料路线探索</w:t>
      </w:r>
    </w:p>
    <w:p w14:paraId="5D00BDCD">
      <w:pPr>
        <w:pStyle w:val="14"/>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引入生物乙醇脱水制乙烯或生物石脑油掺炼等技术，是实现化石原料减量、提升产品绿色属性的重要方向。巴西Braskem公司已实现生物乙烯商业化，我国中原石化、中韩石化均已完成首批生物基聚烯烃、芳烃生产验证。泉州项目可引入小规模乙醇制乙烯单元或规划生物石脑油掺炼比例，生产生物基聚乙烯、聚丙烯等高附加值产品。</w:t>
      </w:r>
    </w:p>
    <w:p w14:paraId="2ACBF810">
      <w:pPr>
        <w:widowControl/>
        <w:numPr>
          <w:ilvl w:val="255"/>
          <w:numId w:val="0"/>
        </w:numPr>
        <w:adjustRightInd w:val="0"/>
        <w:spacing w:line="600" w:lineRule="exact"/>
        <w:ind w:firstLine="400" w:firstLineChars="200"/>
        <w:jc w:val="center"/>
        <w:rPr>
          <w:rFonts w:ascii="Times New Roman Regular" w:hAnsi="Times New Roman Regular" w:eastAsia="黑体"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lang w:val="en-US" w:eastAsia="zh-CN"/>
          <w14:textFill>
            <w14:solidFill>
              <w14:schemeClr w14:val="tx1"/>
            </w14:solidFill>
          </w14:textFill>
        </w:rPr>
        <w:t>6</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增量乙烯项目规划科技创新实施方向</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3"/>
        <w:gridCol w:w="1248"/>
        <w:gridCol w:w="1535"/>
        <w:gridCol w:w="1203"/>
        <w:gridCol w:w="1361"/>
        <w:gridCol w:w="1198"/>
        <w:gridCol w:w="1184"/>
      </w:tblGrid>
      <w:tr w14:paraId="5BE4A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793" w:type="dxa"/>
            <w:vAlign w:val="top"/>
          </w:tcPr>
          <w:p w14:paraId="3B84386D">
            <w:pPr>
              <w:keepNext w:val="0"/>
              <w:keepLines w:val="0"/>
              <w:widowControl/>
              <w:suppressLineNumbers w:val="0"/>
              <w:snapToGrid w:val="0"/>
              <w:spacing w:before="0" w:beforeAutospacing="0" w:after="0" w:afterAutospacing="0" w:line="240" w:lineRule="auto"/>
              <w:ind w:left="0" w:leftChars="0" w:right="0" w:rightChars="0"/>
              <w:jc w:val="center"/>
              <w:textAlignment w:val="auto"/>
              <w:rPr>
                <w:rFonts w:hint="eastAsia"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i w:val="0"/>
                <w:iCs w:val="0"/>
                <w:caps w:val="0"/>
                <w:color w:val="000000" w:themeColor="text1"/>
                <w:spacing w:val="0"/>
                <w:kern w:val="0"/>
                <w:sz w:val="20"/>
                <w:szCs w:val="21"/>
                <w:vertAlign w:val="baseline"/>
                <w:lang w:val="en-US" w:eastAsia="zh-CN" w:bidi="ar"/>
                <w14:textFill>
                  <w14:solidFill>
                    <w14:schemeClr w14:val="tx1"/>
                  </w14:solidFill>
                </w14:textFill>
              </w:rPr>
              <w:t>序号</w:t>
            </w:r>
          </w:p>
        </w:tc>
        <w:tc>
          <w:tcPr>
            <w:tcW w:w="1248" w:type="dxa"/>
            <w:vAlign w:val="top"/>
          </w:tcPr>
          <w:p w14:paraId="2C012FFD">
            <w:pPr>
              <w:keepNext w:val="0"/>
              <w:keepLines w:val="0"/>
              <w:widowControl/>
              <w:suppressLineNumbers w:val="0"/>
              <w:snapToGrid w:val="0"/>
              <w:spacing w:before="0" w:beforeAutospacing="0" w:after="0" w:afterAutospacing="0" w:line="240" w:lineRule="auto"/>
              <w:ind w:left="0" w:leftChars="0" w:right="0" w:rightChars="0"/>
              <w:jc w:val="center"/>
              <w:textAlignment w:val="auto"/>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i w:val="0"/>
                <w:iCs w:val="0"/>
                <w:caps w:val="0"/>
                <w:color w:val="000000" w:themeColor="text1"/>
                <w:spacing w:val="0"/>
                <w:kern w:val="0"/>
                <w:sz w:val="20"/>
                <w:szCs w:val="21"/>
                <w:vertAlign w:val="baseline"/>
                <w:lang w:val="en-US" w:eastAsia="zh-CN" w:bidi="ar"/>
                <w14:textFill>
                  <w14:solidFill>
                    <w14:schemeClr w14:val="tx1"/>
                  </w14:solidFill>
                </w14:textFill>
              </w:rPr>
              <w:t>科技创新方向</w:t>
            </w:r>
          </w:p>
        </w:tc>
        <w:tc>
          <w:tcPr>
            <w:tcW w:w="1535" w:type="dxa"/>
            <w:vAlign w:val="top"/>
          </w:tcPr>
          <w:p w14:paraId="3D5D9CE3">
            <w:pPr>
              <w:keepNext w:val="0"/>
              <w:keepLines w:val="0"/>
              <w:widowControl/>
              <w:suppressLineNumbers w:val="0"/>
              <w:snapToGrid w:val="0"/>
              <w:spacing w:before="0" w:beforeAutospacing="0" w:after="0" w:afterAutospacing="0" w:line="240" w:lineRule="auto"/>
              <w:ind w:left="0" w:leftChars="0" w:right="0" w:rightChars="0"/>
              <w:jc w:val="center"/>
              <w:textAlignment w:val="auto"/>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i w:val="0"/>
                <w:iCs w:val="0"/>
                <w:caps w:val="0"/>
                <w:color w:val="000000" w:themeColor="text1"/>
                <w:spacing w:val="0"/>
                <w:kern w:val="0"/>
                <w:sz w:val="20"/>
                <w:szCs w:val="21"/>
                <w:vertAlign w:val="baseline"/>
                <w:lang w:val="en-US" w:eastAsia="zh-CN" w:bidi="ar"/>
                <w14:textFill>
                  <w14:solidFill>
                    <w14:schemeClr w14:val="tx1"/>
                  </w14:solidFill>
                </w14:textFill>
              </w:rPr>
              <w:t>技术核心与路径</w:t>
            </w:r>
          </w:p>
        </w:tc>
        <w:tc>
          <w:tcPr>
            <w:tcW w:w="1203" w:type="dxa"/>
            <w:vAlign w:val="top"/>
          </w:tcPr>
          <w:p w14:paraId="3564C8D6">
            <w:pPr>
              <w:keepNext w:val="0"/>
              <w:keepLines w:val="0"/>
              <w:widowControl/>
              <w:suppressLineNumbers w:val="0"/>
              <w:snapToGrid w:val="0"/>
              <w:spacing w:before="0" w:beforeAutospacing="0" w:after="0" w:afterAutospacing="0" w:line="240" w:lineRule="auto"/>
              <w:ind w:left="0" w:leftChars="0" w:right="0" w:rightChars="0"/>
              <w:jc w:val="center"/>
              <w:textAlignment w:val="auto"/>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i w:val="0"/>
                <w:iCs w:val="0"/>
                <w:caps w:val="0"/>
                <w:color w:val="000000" w:themeColor="text1"/>
                <w:spacing w:val="0"/>
                <w:kern w:val="0"/>
                <w:sz w:val="20"/>
                <w:szCs w:val="21"/>
                <w:vertAlign w:val="baseline"/>
                <w:lang w:val="en-US" w:eastAsia="zh-CN" w:bidi="ar"/>
                <w14:textFill>
                  <w14:solidFill>
                    <w14:schemeClr w14:val="tx1"/>
                  </w14:solidFill>
                </w14:textFill>
              </w:rPr>
              <w:t>碳减排潜力</w:t>
            </w:r>
          </w:p>
        </w:tc>
        <w:tc>
          <w:tcPr>
            <w:tcW w:w="1361" w:type="dxa"/>
            <w:vAlign w:val="top"/>
          </w:tcPr>
          <w:p w14:paraId="17A72FAA">
            <w:pPr>
              <w:keepNext w:val="0"/>
              <w:keepLines w:val="0"/>
              <w:widowControl/>
              <w:suppressLineNumbers w:val="0"/>
              <w:snapToGrid w:val="0"/>
              <w:spacing w:before="0" w:beforeAutospacing="0" w:after="0" w:afterAutospacing="0" w:line="240" w:lineRule="auto"/>
              <w:ind w:left="0" w:leftChars="0" w:right="0" w:rightChars="0"/>
              <w:jc w:val="center"/>
              <w:textAlignment w:val="auto"/>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i w:val="0"/>
                <w:iCs w:val="0"/>
                <w:caps w:val="0"/>
                <w:color w:val="000000" w:themeColor="text1"/>
                <w:spacing w:val="0"/>
                <w:kern w:val="0"/>
                <w:sz w:val="20"/>
                <w:szCs w:val="21"/>
                <w:vertAlign w:val="baseline"/>
                <w:lang w:val="en-US" w:eastAsia="zh-CN" w:bidi="ar"/>
                <w14:textFill>
                  <w14:solidFill>
                    <w14:schemeClr w14:val="tx1"/>
                  </w14:solidFill>
                </w14:textFill>
              </w:rPr>
              <w:t>国际/国内示范项目</w:t>
            </w:r>
          </w:p>
        </w:tc>
        <w:tc>
          <w:tcPr>
            <w:tcW w:w="1198" w:type="dxa"/>
            <w:vAlign w:val="top"/>
          </w:tcPr>
          <w:p w14:paraId="3FA5BA0E">
            <w:pPr>
              <w:keepNext w:val="0"/>
              <w:keepLines w:val="0"/>
              <w:widowControl/>
              <w:suppressLineNumbers w:val="0"/>
              <w:snapToGrid w:val="0"/>
              <w:spacing w:before="0" w:beforeAutospacing="0" w:after="0" w:afterAutospacing="0" w:line="240" w:lineRule="auto"/>
              <w:ind w:left="0" w:leftChars="0" w:right="0" w:rightChars="0"/>
              <w:jc w:val="center"/>
              <w:textAlignment w:val="auto"/>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i w:val="0"/>
                <w:iCs w:val="0"/>
                <w:caps w:val="0"/>
                <w:color w:val="000000" w:themeColor="text1"/>
                <w:spacing w:val="0"/>
                <w:kern w:val="0"/>
                <w:sz w:val="20"/>
                <w:szCs w:val="21"/>
                <w:vertAlign w:val="baseline"/>
                <w:lang w:val="en-US" w:eastAsia="zh-CN" w:bidi="ar"/>
                <w14:textFill>
                  <w14:solidFill>
                    <w14:schemeClr w14:val="tx1"/>
                  </w14:solidFill>
                </w14:textFill>
              </w:rPr>
              <w:t>泉州项目适配性</w:t>
            </w:r>
          </w:p>
        </w:tc>
        <w:tc>
          <w:tcPr>
            <w:tcW w:w="1184" w:type="dxa"/>
            <w:vAlign w:val="top"/>
          </w:tcPr>
          <w:p w14:paraId="2FA9214D">
            <w:pPr>
              <w:keepNext w:val="0"/>
              <w:keepLines w:val="0"/>
              <w:widowControl/>
              <w:suppressLineNumbers w:val="0"/>
              <w:snapToGrid w:val="0"/>
              <w:spacing w:before="0" w:beforeAutospacing="0" w:after="0" w:afterAutospacing="0" w:line="240" w:lineRule="auto"/>
              <w:ind w:left="0" w:leftChars="0" w:right="0" w:rightChars="0"/>
              <w:jc w:val="center"/>
              <w:textAlignment w:val="auto"/>
              <w:rPr>
                <w:rFonts w:ascii="Times New Roman Regular" w:hAnsi="Times New Roman Regular" w:eastAsia="华文楷体" w:cs="Times New Roman Regular"/>
                <w:bCs/>
                <w:color w:val="000000" w:themeColor="text1"/>
                <w:kern w:val="0"/>
                <w:sz w:val="20"/>
                <w:szCs w:val="21"/>
                <w:vertAlign w:val="baseline"/>
                <w:lang w:bidi="ar"/>
                <w14:textFill>
                  <w14:solidFill>
                    <w14:schemeClr w14:val="tx1"/>
                  </w14:solidFill>
                </w14:textFill>
              </w:rPr>
            </w:pPr>
            <w:r>
              <w:rPr>
                <w:rFonts w:hint="default" w:ascii="Times New Roman Regular" w:hAnsi="Times New Roman Regular" w:eastAsia="华文楷体" w:cs="Times New Roman Regular"/>
                <w:b w:val="0"/>
                <w:bCs/>
                <w:i w:val="0"/>
                <w:iCs w:val="0"/>
                <w:caps w:val="0"/>
                <w:color w:val="000000" w:themeColor="text1"/>
                <w:spacing w:val="0"/>
                <w:kern w:val="0"/>
                <w:sz w:val="20"/>
                <w:szCs w:val="21"/>
                <w:vertAlign w:val="baseline"/>
                <w:lang w:val="en-US" w:eastAsia="zh-CN" w:bidi="ar"/>
                <w14:textFill>
                  <w14:solidFill>
                    <w14:schemeClr w14:val="tx1"/>
                  </w14:solidFill>
                </w14:textFill>
              </w:rPr>
              <w:t>实施建议</w:t>
            </w:r>
          </w:p>
        </w:tc>
      </w:tr>
      <w:tr w14:paraId="23D20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tcPr>
          <w:p w14:paraId="7E9B6C92">
            <w:pPr>
              <w:pStyle w:val="14"/>
              <w:jc w:val="cente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val="en-US" w:eastAsia="zh-CN" w:bidi="ar"/>
                <w14:textFill>
                  <w14:solidFill>
                    <w14:schemeClr w14:val="tx1"/>
                  </w14:solidFill>
                </w14:textFill>
              </w:rPr>
              <w:t>1</w:t>
            </w:r>
          </w:p>
        </w:tc>
        <w:tc>
          <w:tcPr>
            <w:tcW w:w="1248" w:type="dxa"/>
          </w:tcPr>
          <w:p w14:paraId="4D5070B4">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电加热裂解炉 + 绿电直供</w:t>
            </w:r>
          </w:p>
        </w:tc>
        <w:tc>
          <w:tcPr>
            <w:tcW w:w="1535" w:type="dxa"/>
          </w:tcPr>
          <w:p w14:paraId="4321E751">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以可再生电力替代化石燃料燃烧加热裂解炉，实现热源电气化</w:t>
            </w:r>
          </w:p>
        </w:tc>
        <w:tc>
          <w:tcPr>
            <w:tcW w:w="1203" w:type="dxa"/>
          </w:tcPr>
          <w:p w14:paraId="28987757">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炉膛CO₂排放减少90%以上</w:t>
            </w:r>
          </w:p>
        </w:tc>
        <w:tc>
          <w:tcPr>
            <w:tcW w:w="1361" w:type="dxa"/>
          </w:tcPr>
          <w:p w14:paraId="1E761CA1">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BASF/SABIC（欧洲）、Shell（荷兰）已开展工业示范</w:t>
            </w:r>
          </w:p>
        </w:tc>
        <w:tc>
          <w:tcPr>
            <w:tcW w:w="1198" w:type="dxa"/>
          </w:tcPr>
          <w:p w14:paraId="1005DFBE">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福建沿海风电、核电资源丰富，具备绿电直供条件</w:t>
            </w:r>
          </w:p>
        </w:tc>
        <w:tc>
          <w:tcPr>
            <w:tcW w:w="1184" w:type="dxa"/>
          </w:tcPr>
          <w:p w14:paraId="5EA8062B">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t>设计阶段预留电加热接口与负荷空间，分步改造传统裂解炉，优先试点1台炉改造</w:t>
            </w:r>
          </w:p>
        </w:tc>
      </w:tr>
      <w:tr w14:paraId="12399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tcPr>
          <w:p w14:paraId="78DC4446">
            <w:pPr>
              <w:pStyle w:val="14"/>
              <w:jc w:val="cente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val="en-US" w:eastAsia="zh-CN" w:bidi="ar"/>
                <w14:textFill>
                  <w14:solidFill>
                    <w14:schemeClr w14:val="tx1"/>
                  </w14:solidFill>
                </w14:textFill>
              </w:rPr>
              <w:t>2</w:t>
            </w:r>
          </w:p>
        </w:tc>
        <w:tc>
          <w:tcPr>
            <w:tcW w:w="1248" w:type="dxa"/>
          </w:tcPr>
          <w:p w14:paraId="50A5DBF2">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废塑料化学回收装置配套</w:t>
            </w:r>
          </w:p>
        </w:tc>
        <w:tc>
          <w:tcPr>
            <w:tcW w:w="1535" w:type="dxa"/>
          </w:tcPr>
          <w:p w14:paraId="4A247264">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通过热解/催化裂解将混合废塑料转化为裂解原料油，替代部分石脑油</w:t>
            </w:r>
          </w:p>
        </w:tc>
        <w:tc>
          <w:tcPr>
            <w:tcW w:w="1203" w:type="dxa"/>
          </w:tcPr>
          <w:p w14:paraId="5A9D3AB2">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减少固废焚烧排放，间接降低原料碳强度</w:t>
            </w:r>
          </w:p>
        </w:tc>
        <w:tc>
          <w:tcPr>
            <w:tcW w:w="1361" w:type="dxa"/>
          </w:tcPr>
          <w:p w14:paraId="10E1DD93">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壳牌新加坡、SABIC欧洲万吨级装置；浙江科茂4万吨/年装置已投运</w:t>
            </w:r>
          </w:p>
        </w:tc>
        <w:tc>
          <w:tcPr>
            <w:tcW w:w="1198" w:type="dxa"/>
          </w:tcPr>
          <w:p w14:paraId="719B3DB7">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福建塑料产业集中，垃圾分类政策推进，废塑料原料来源稳定</w:t>
            </w:r>
          </w:p>
        </w:tc>
        <w:tc>
          <w:tcPr>
            <w:tcW w:w="1184" w:type="dxa"/>
          </w:tcPr>
          <w:p w14:paraId="60EA518D">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t>规划配套10万吨/年化学回收装置，优先处理本地废塑料，与乙烯装置形成“闭环循环”</w:t>
            </w:r>
          </w:p>
        </w:tc>
      </w:tr>
      <w:tr w14:paraId="78C8B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tcPr>
          <w:p w14:paraId="2A4306B9">
            <w:pPr>
              <w:pStyle w:val="14"/>
              <w:jc w:val="cente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val="en-US" w:eastAsia="zh-CN" w:bidi="ar"/>
                <w14:textFill>
                  <w14:solidFill>
                    <w14:schemeClr w14:val="tx1"/>
                  </w14:solidFill>
                </w14:textFill>
              </w:rPr>
              <w:t>3</w:t>
            </w:r>
          </w:p>
        </w:tc>
        <w:tc>
          <w:tcPr>
            <w:tcW w:w="1248" w:type="dxa"/>
          </w:tcPr>
          <w:p w14:paraId="6B2E315B">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乙烷裂解优化利用</w:t>
            </w:r>
          </w:p>
        </w:tc>
        <w:tc>
          <w:tcPr>
            <w:tcW w:w="1535" w:type="dxa"/>
          </w:tcPr>
          <w:p w14:paraId="47E46028">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采用乙烷为原料裂解制乙烯，收率高、流程短、能耗低</w:t>
            </w:r>
          </w:p>
        </w:tc>
        <w:tc>
          <w:tcPr>
            <w:tcW w:w="1203" w:type="dxa"/>
          </w:tcPr>
          <w:p w14:paraId="6D4E8C16">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单位乙烯碳排放比石脑油路线低20–30%</w:t>
            </w:r>
          </w:p>
        </w:tc>
        <w:tc>
          <w:tcPr>
            <w:tcW w:w="1361" w:type="dxa"/>
          </w:tcPr>
          <w:p w14:paraId="0A267F87">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美国、中东广泛采用；国内如连云港、榆林百万吨级项目已投产</w:t>
            </w:r>
          </w:p>
        </w:tc>
        <w:tc>
          <w:tcPr>
            <w:tcW w:w="1198" w:type="dxa"/>
          </w:tcPr>
          <w:p w14:paraId="0F121F4B">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泉州沿海区位便于进口乙烷接收与储运，具备建设乙烷码头条件</w:t>
            </w:r>
          </w:p>
        </w:tc>
        <w:tc>
          <w:tcPr>
            <w:tcW w:w="1184" w:type="dxa"/>
          </w:tcPr>
          <w:p w14:paraId="5CC93BB0">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t>规划“乙烷+石脑油”双原料灵活进料系统，提升轻质化比例至30–50%，降低整体碳足迹</w:t>
            </w:r>
          </w:p>
        </w:tc>
      </w:tr>
      <w:tr w14:paraId="4AD13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tcPr>
          <w:p w14:paraId="4C2AFF0D">
            <w:pPr>
              <w:pStyle w:val="14"/>
              <w:jc w:val="cente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val="en-US" w:eastAsia="zh-CN" w:bidi="ar"/>
                <w14:textFill>
                  <w14:solidFill>
                    <w14:schemeClr w14:val="tx1"/>
                  </w14:solidFill>
                </w14:textFill>
              </w:rPr>
              <w:t>4</w:t>
            </w:r>
          </w:p>
        </w:tc>
        <w:tc>
          <w:tcPr>
            <w:tcW w:w="1248" w:type="dxa"/>
          </w:tcPr>
          <w:p w14:paraId="0C104AF3">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CCUS碳捕集利用与封存</w:t>
            </w:r>
          </w:p>
        </w:tc>
        <w:tc>
          <w:tcPr>
            <w:tcW w:w="1535" w:type="dxa"/>
          </w:tcPr>
          <w:p w14:paraId="40185273">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捕集裂解炉烟气、制氢尾气等CO₂，进行封存或资源化利用</w:t>
            </w:r>
          </w:p>
        </w:tc>
        <w:tc>
          <w:tcPr>
            <w:tcW w:w="1203" w:type="dxa"/>
          </w:tcPr>
          <w:p w14:paraId="65AFC21A">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可减排难以替代的工艺CO₂，实现深度脱碳</w:t>
            </w:r>
          </w:p>
        </w:tc>
        <w:tc>
          <w:tcPr>
            <w:tcW w:w="1361" w:type="dxa"/>
          </w:tcPr>
          <w:p w14:paraId="78CFAAF6">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齐鲁石化-胜利油田百万吨级CCUS项目（国内最大）</w:t>
            </w:r>
          </w:p>
        </w:tc>
        <w:tc>
          <w:tcPr>
            <w:tcW w:w="1198" w:type="dxa"/>
          </w:tcPr>
          <w:p w14:paraId="0443E8F2">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福建近海具备潜在CO₂封存地质条件，可连接国家CCUS网络</w:t>
            </w:r>
          </w:p>
        </w:tc>
        <w:tc>
          <w:tcPr>
            <w:tcW w:w="1184" w:type="dxa"/>
          </w:tcPr>
          <w:p w14:paraId="0AE0D239">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t>预留CO₂捕集接口，先期试点5–10万吨/年捕集规模，探索与周边油田合作驱油或近海封存</w:t>
            </w:r>
          </w:p>
        </w:tc>
      </w:tr>
      <w:tr w14:paraId="3C9CA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3" w:type="dxa"/>
          </w:tcPr>
          <w:p w14:paraId="26BC40DC">
            <w:pPr>
              <w:pStyle w:val="14"/>
              <w:jc w:val="cente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val="en-US" w:eastAsia="zh-CN" w:bidi="ar"/>
                <w14:textFill>
                  <w14:solidFill>
                    <w14:schemeClr w14:val="tx1"/>
                  </w14:solidFill>
                </w14:textFill>
              </w:rPr>
              <w:t>5</w:t>
            </w:r>
          </w:p>
        </w:tc>
        <w:tc>
          <w:tcPr>
            <w:tcW w:w="1248" w:type="dxa"/>
          </w:tcPr>
          <w:p w14:paraId="0AC78D00">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生物基原料路线探索</w:t>
            </w:r>
          </w:p>
        </w:tc>
        <w:tc>
          <w:tcPr>
            <w:tcW w:w="1535" w:type="dxa"/>
          </w:tcPr>
          <w:p w14:paraId="07A0BC65">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引入生物乙醇脱水制乙烯或生物石脑油掺炼，替代化石原料</w:t>
            </w:r>
          </w:p>
        </w:tc>
        <w:tc>
          <w:tcPr>
            <w:tcW w:w="1203" w:type="dxa"/>
          </w:tcPr>
          <w:p w14:paraId="49038312">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实现原料减碳，产品具备绿色认证属性</w:t>
            </w:r>
          </w:p>
        </w:tc>
        <w:tc>
          <w:tcPr>
            <w:tcW w:w="1361" w:type="dxa"/>
          </w:tcPr>
          <w:p w14:paraId="65AFE9A5">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巴西Braskem生物乙烯商业化；中原石化、中韩石化完成生物基聚烯烃验证</w:t>
            </w:r>
          </w:p>
        </w:tc>
        <w:tc>
          <w:tcPr>
            <w:tcW w:w="1198" w:type="dxa"/>
          </w:tcPr>
          <w:p w14:paraId="35A2DE56">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ascii="Times New Roman Regular" w:hAnsi="Times New Roman Regular" w:eastAsia="华文楷体" w:cs="Times New Roman Regular"/>
                <w:bCs/>
                <w:i w:val="0"/>
                <w:iCs w:val="0"/>
                <w:caps w:val="0"/>
                <w:color w:val="000000" w:themeColor="text1"/>
                <w:spacing w:val="0"/>
                <w:sz w:val="20"/>
                <w:szCs w:val="21"/>
                <w:shd w:val="clear" w:fill="auto"/>
                <w:lang w:bidi="ar"/>
                <w14:textFill>
                  <w14:solidFill>
                    <w14:schemeClr w14:val="tx1"/>
                  </w14:solidFill>
                </w14:textFill>
              </w:rPr>
              <w:t>福建非粮乙醇原料（如木薯、秸秆）潜力大，可对接绿色供应链</w:t>
            </w:r>
          </w:p>
        </w:tc>
        <w:tc>
          <w:tcPr>
            <w:tcW w:w="1184" w:type="dxa"/>
          </w:tcPr>
          <w:p w14:paraId="72A9855D">
            <w:pPr>
              <w:pStyle w:val="14"/>
              <w:jc w:val="center"/>
              <w:rPr>
                <w:rFonts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pPr>
            <w:r>
              <w:rPr>
                <w:rFonts w:hint="eastAsia" w:ascii="Times New Roman Regular" w:hAnsi="Times New Roman Regular" w:eastAsia="华文楷体" w:cs="Times New Roman Regular"/>
                <w:bCs/>
                <w:color w:val="000000" w:themeColor="text1"/>
                <w:sz w:val="20"/>
                <w:szCs w:val="21"/>
                <w:vertAlign w:val="baseline"/>
                <w:lang w:bidi="ar"/>
                <w14:textFill>
                  <w14:solidFill>
                    <w14:schemeClr w14:val="tx1"/>
                  </w14:solidFill>
                </w14:textFill>
              </w:rPr>
              <w:t>建设5万吨/年生物乙醇制乙烯示范单元，或规划10%生物石脑油掺炼比例，生产生物基PE/PP高端产品</w:t>
            </w:r>
          </w:p>
        </w:tc>
      </w:tr>
    </w:tbl>
    <w:p w14:paraId="67935A0D">
      <w:pPr>
        <w:pStyle w:val="14"/>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p>
    <w:p w14:paraId="4ABA4844">
      <w:pPr>
        <w:widowControl/>
        <w:spacing w:line="560" w:lineRule="exact"/>
        <w:outlineLvl w:val="0"/>
        <w:rPr>
          <w:rFonts w:ascii="Times New Roman Regular" w:hAnsi="Times New Roman Regular" w:eastAsia="方正公文小标宋" w:cs="Times New Roman Regular"/>
          <w:color w:val="000000" w:themeColor="text1"/>
          <w:sz w:val="28"/>
          <w:szCs w:val="28"/>
          <w:lang w:bidi="ar"/>
          <w14:textFill>
            <w14:solidFill>
              <w14:schemeClr w14:val="tx1"/>
            </w14:solidFill>
          </w14:textFill>
        </w:rPr>
      </w:pPr>
      <w:bookmarkStart w:id="168" w:name="_Toc21906910"/>
      <w:r>
        <w:rPr>
          <w:rFonts w:ascii="Times New Roman Regular" w:hAnsi="Times New Roman Regular" w:eastAsia="方正公文小标宋" w:cs="Times New Roman Regular"/>
          <w:color w:val="000000" w:themeColor="text1"/>
          <w:sz w:val="28"/>
          <w:szCs w:val="28"/>
          <w14:textFill>
            <w14:solidFill>
              <w14:schemeClr w14:val="tx1"/>
            </w14:solidFill>
          </w14:textFill>
        </w:rPr>
        <w:t>七、实施效果分析</w:t>
      </w:r>
      <w:bookmarkEnd w:id="168"/>
    </w:p>
    <w:p w14:paraId="72CBEAC0">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69" w:name="_Toc1637749144"/>
      <w:bookmarkStart w:id="170" w:name="_Toc20658"/>
      <w:bookmarkStart w:id="171" w:name="_Toc1659757148"/>
      <w:bookmarkStart w:id="172" w:name="_Toc969732733"/>
      <w:bookmarkStart w:id="173" w:name="_Toc2065987968"/>
      <w:r>
        <w:rPr>
          <w:rFonts w:ascii="Times New Roman Regular" w:hAnsi="Times New Roman Regular" w:eastAsia="黑体" w:cs="Times New Roman Regular"/>
          <w:color w:val="000000" w:themeColor="text1"/>
          <w:sz w:val="28"/>
          <w:szCs w:val="28"/>
          <w:lang w:bidi="ar"/>
          <w14:textFill>
            <w14:solidFill>
              <w14:schemeClr w14:val="tx1"/>
            </w14:solidFill>
          </w14:textFill>
        </w:rPr>
        <w:t>7.</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1</w:t>
      </w:r>
      <w:r>
        <w:rPr>
          <w:rFonts w:ascii="Times New Roman Regular" w:hAnsi="Times New Roman Regular" w:eastAsia="黑体" w:cs="Times New Roman Regular"/>
          <w:color w:val="000000" w:themeColor="text1"/>
          <w:sz w:val="28"/>
          <w:szCs w:val="28"/>
          <w:lang w:bidi="ar"/>
          <w14:textFill>
            <w14:solidFill>
              <w14:schemeClr w14:val="tx1"/>
            </w14:solidFill>
          </w14:textFill>
        </w:rPr>
        <w:t xml:space="preserve"> 碳达峰情景预测</w:t>
      </w:r>
      <w:bookmarkEnd w:id="169"/>
      <w:bookmarkEnd w:id="170"/>
      <w:bookmarkEnd w:id="171"/>
      <w:bookmarkEnd w:id="172"/>
      <w:bookmarkEnd w:id="173"/>
    </w:p>
    <w:p w14:paraId="74FE576B">
      <w:pPr>
        <w:widowControl/>
        <w:snapToGrid w:val="0"/>
        <w:spacing w:before="156" w:beforeLines="50" w:after="156" w:afterLines="50" w:line="560" w:lineRule="exact"/>
        <w:outlineLvl w:val="2"/>
        <w:rPr>
          <w:rFonts w:ascii="Times New Roman Regular" w:hAnsi="Times New Roman Regular" w:eastAsia="黑体" w:cs="Times New Roman Regular"/>
          <w:color w:val="000000" w:themeColor="text1"/>
          <w:sz w:val="28"/>
          <w:szCs w:val="28"/>
          <w:lang w:bidi="ar"/>
          <w14:textFill>
            <w14:solidFill>
              <w14:schemeClr w14:val="tx1"/>
            </w14:solidFill>
          </w14:textFill>
        </w:rPr>
      </w:pP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7</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 测算模型说明</w:t>
      </w:r>
    </w:p>
    <w:p w14:paraId="172291D5">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目前通用碳达峰情景的模拟方法包括“自上而下”模拟方法以及“自下而上”模拟方法，其中“自上而下”模拟方法是基于国民经济和社会发展综合规划进行模拟的，这类方法是</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以</w:t>
      </w:r>
      <w:r>
        <w:rPr>
          <w:rFonts w:ascii="Times New Roman Regular" w:hAnsi="Times New Roman Regular" w:eastAsia="仿宋_GB2312" w:cs="Times New Roman Regular"/>
          <w:color w:val="000000" w:themeColor="text1"/>
          <w:sz w:val="28"/>
          <w:szCs w:val="28"/>
          <w14:textFill>
            <w14:solidFill>
              <w14:schemeClr w14:val="tx1"/>
            </w14:solidFill>
          </w14:textFill>
        </w:rPr>
        <w:t>目前的社会经济发展状况为基准，预估未来的经济增长、能源消耗等因素，进而评估可能的碳排放趋势；“自下而上”模拟方法是从被评价对象的碳排放基准出发，根据各部门、行业、企业可选用的节能减排措施，从而确定合适的碳达峰目标以及节能减排措施，因此主要适用于对峰值目标和实现目标的方法途径进行具体测算。因此，从中化能源的实际情况和本研究报告的主要目的出发，公司适用于采用“自下而上”模拟方法进行对应的峰值目标测算，其中LEAP模型（Long-range Energy Alternatives Planning System）为该模拟方法中的典型代表之一，该模型不仅适用于国家、省、市不同尺度范围的碳排放水平估算和时间预测等研究，也适用于高耗能企业的碳排放测算。LEAP拥有灵活的结构，使用者可以根据研究对象特点、数据的可得性、分析的目的和类型等来构造模型结构和数据结构，用来分析不同情景下的能源消耗和温室气体排放。</w:t>
      </w:r>
    </w:p>
    <w:p w14:paraId="2821F88D">
      <w:pPr>
        <w:widowControl/>
        <w:jc w:val="center"/>
        <w:rPr>
          <w:rFonts w:ascii="Times New Roman Regular" w:hAnsi="Times New Roman Regular" w:eastAsia="黑体" w:cs="Times New Roman Regular"/>
          <w:color w:val="000000" w:themeColor="text1"/>
          <w:sz w:val="28"/>
          <w:szCs w:val="28"/>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不同碳达峰模拟预测方法对比</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1" w:type="dxa"/>
          <w:left w:w="108" w:type="dxa"/>
          <w:bottom w:w="11" w:type="dxa"/>
          <w:right w:w="108" w:type="dxa"/>
        </w:tblCellMar>
      </w:tblPr>
      <w:tblGrid>
        <w:gridCol w:w="1339"/>
        <w:gridCol w:w="2023"/>
        <w:gridCol w:w="1687"/>
        <w:gridCol w:w="1687"/>
        <w:gridCol w:w="1786"/>
      </w:tblGrid>
      <w:tr w14:paraId="675E8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 w:type="dxa"/>
            <w:left w:w="108" w:type="dxa"/>
            <w:bottom w:w="11" w:type="dxa"/>
            <w:right w:w="108" w:type="dxa"/>
          </w:tblCellMar>
        </w:tblPrEx>
        <w:trPr>
          <w:trHeight w:val="567" w:hRule="atLeast"/>
          <w:tblHeader/>
        </w:trPr>
        <w:tc>
          <w:tcPr>
            <w:tcW w:w="1437" w:type="dxa"/>
            <w:vMerge w:val="restart"/>
            <w:tcBorders>
              <w:top w:val="single" w:color="000000" w:sz="12" w:space="0"/>
              <w:left w:val="nil"/>
              <w:bottom w:val="single" w:color="000000" w:sz="4" w:space="0"/>
              <w:right w:val="nil"/>
              <w:tl2br w:val="nil"/>
            </w:tcBorders>
            <w:shd w:val="clear" w:color="auto" w:fill="FFFFFF"/>
            <w:vAlign w:val="center"/>
          </w:tcPr>
          <w:p w14:paraId="5C7449C2">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14:textFill>
                  <w14:solidFill>
                    <w14:schemeClr w14:val="tx1"/>
                  </w14:solidFill>
                </w14:textFill>
              </w:rPr>
              <w:t>方法类型</w:t>
            </w:r>
          </w:p>
        </w:tc>
        <w:tc>
          <w:tcPr>
            <w:tcW w:w="3999" w:type="dxa"/>
            <w:gridSpan w:val="2"/>
            <w:tcBorders>
              <w:top w:val="single" w:color="000000" w:sz="12" w:space="0"/>
              <w:left w:val="nil"/>
              <w:bottom w:val="single" w:color="000000" w:sz="4" w:space="0"/>
              <w:right w:val="nil"/>
            </w:tcBorders>
            <w:shd w:val="clear" w:color="auto" w:fill="FFFFFF"/>
            <w:vAlign w:val="center"/>
          </w:tcPr>
          <w:p w14:paraId="1C24E4E7">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14:textFill>
                  <w14:solidFill>
                    <w14:schemeClr w14:val="tx1"/>
                  </w14:solidFill>
                </w14:textFill>
              </w:rPr>
              <w:t>比较分析</w:t>
            </w:r>
          </w:p>
        </w:tc>
        <w:tc>
          <w:tcPr>
            <w:tcW w:w="1812" w:type="dxa"/>
            <w:vMerge w:val="restart"/>
            <w:tcBorders>
              <w:top w:val="single" w:color="000000" w:sz="12" w:space="0"/>
              <w:left w:val="nil"/>
              <w:bottom w:val="single" w:color="000000" w:sz="4" w:space="0"/>
              <w:right w:val="nil"/>
            </w:tcBorders>
            <w:shd w:val="clear" w:color="auto" w:fill="FFFFFF"/>
            <w:vAlign w:val="center"/>
          </w:tcPr>
          <w:p w14:paraId="3ABD634B">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14:textFill>
                  <w14:solidFill>
                    <w14:schemeClr w14:val="tx1"/>
                  </w14:solidFill>
                </w14:textFill>
              </w:rPr>
              <w:t>适用范围</w:t>
            </w:r>
          </w:p>
        </w:tc>
        <w:tc>
          <w:tcPr>
            <w:tcW w:w="1812" w:type="dxa"/>
            <w:vMerge w:val="restart"/>
            <w:tcBorders>
              <w:top w:val="single" w:color="000000" w:sz="12" w:space="0"/>
              <w:left w:val="nil"/>
              <w:bottom w:val="single" w:color="000000" w:sz="4" w:space="0"/>
              <w:right w:val="nil"/>
            </w:tcBorders>
            <w:shd w:val="clear" w:color="auto" w:fill="FFFFFF"/>
            <w:vAlign w:val="center"/>
          </w:tcPr>
          <w:p w14:paraId="3D56CC65">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14:textFill>
                  <w14:solidFill>
                    <w14:schemeClr w14:val="tx1"/>
                  </w14:solidFill>
                </w14:textFill>
              </w:rPr>
              <w:t>代表模型</w:t>
            </w:r>
          </w:p>
        </w:tc>
      </w:tr>
      <w:tr w14:paraId="57FAE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 w:type="dxa"/>
            <w:left w:w="108" w:type="dxa"/>
            <w:bottom w:w="11" w:type="dxa"/>
            <w:right w:w="108" w:type="dxa"/>
          </w:tblCellMar>
        </w:tblPrEx>
        <w:trPr>
          <w:trHeight w:val="567" w:hRule="atLeast"/>
          <w:tblHeader/>
        </w:trPr>
        <w:tc>
          <w:tcPr>
            <w:tcW w:w="0" w:type="auto"/>
            <w:vMerge w:val="continue"/>
            <w:tcBorders>
              <w:top w:val="single" w:color="000000" w:sz="4" w:space="0"/>
              <w:left w:val="nil"/>
              <w:bottom w:val="nil"/>
              <w:right w:val="nil"/>
            </w:tcBorders>
            <w:shd w:val="clear" w:color="auto" w:fill="FFFFFF"/>
            <w:vAlign w:val="center"/>
          </w:tcPr>
          <w:p w14:paraId="1164795B">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p>
        </w:tc>
        <w:tc>
          <w:tcPr>
            <w:tcW w:w="2187" w:type="dxa"/>
            <w:tcBorders>
              <w:top w:val="single" w:color="000000" w:sz="4" w:space="0"/>
              <w:left w:val="nil"/>
              <w:bottom w:val="nil"/>
              <w:right w:val="nil"/>
            </w:tcBorders>
            <w:shd w:val="clear" w:color="auto" w:fill="FFFFFF"/>
            <w:vAlign w:val="center"/>
          </w:tcPr>
          <w:p w14:paraId="4956ECB6">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14:textFill>
                  <w14:solidFill>
                    <w14:schemeClr w14:val="tx1"/>
                  </w14:solidFill>
                </w14:textFill>
              </w:rPr>
              <w:t>优点</w:t>
            </w:r>
          </w:p>
        </w:tc>
        <w:tc>
          <w:tcPr>
            <w:tcW w:w="1812" w:type="dxa"/>
            <w:tcBorders>
              <w:top w:val="single" w:color="000000" w:sz="4" w:space="0"/>
              <w:left w:val="nil"/>
              <w:bottom w:val="nil"/>
              <w:right w:val="nil"/>
            </w:tcBorders>
            <w:shd w:val="clear" w:color="auto" w:fill="FFFFFF"/>
            <w:vAlign w:val="center"/>
          </w:tcPr>
          <w:p w14:paraId="788CEC9D">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
                <w:color w:val="000000" w:themeColor="text1"/>
                <w:kern w:val="0"/>
                <w:sz w:val="20"/>
                <w:szCs w:val="21"/>
                <w14:textFill>
                  <w14:solidFill>
                    <w14:schemeClr w14:val="tx1"/>
                  </w14:solidFill>
                </w14:textFill>
              </w:rPr>
              <w:t>缺点</w:t>
            </w:r>
          </w:p>
        </w:tc>
        <w:tc>
          <w:tcPr>
            <w:tcW w:w="0" w:type="auto"/>
            <w:vMerge w:val="continue"/>
            <w:tcBorders>
              <w:top w:val="single" w:color="000000" w:sz="4" w:space="0"/>
              <w:left w:val="nil"/>
              <w:bottom w:val="nil"/>
              <w:right w:val="nil"/>
            </w:tcBorders>
            <w:shd w:val="clear" w:color="auto" w:fill="FFFFFF"/>
            <w:vAlign w:val="center"/>
          </w:tcPr>
          <w:p w14:paraId="142E722E">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p>
        </w:tc>
        <w:tc>
          <w:tcPr>
            <w:tcW w:w="0" w:type="auto"/>
            <w:vMerge w:val="continue"/>
            <w:tcBorders>
              <w:top w:val="single" w:color="000000" w:sz="4" w:space="0"/>
              <w:left w:val="nil"/>
              <w:bottom w:val="nil"/>
              <w:right w:val="nil"/>
            </w:tcBorders>
            <w:shd w:val="clear" w:color="auto" w:fill="FFFFFF"/>
            <w:vAlign w:val="center"/>
          </w:tcPr>
          <w:p w14:paraId="4D0D01F6">
            <w:pPr>
              <w:snapToGrid w:val="0"/>
              <w:rPr>
                <w:rFonts w:ascii="Times New Roman Regular" w:hAnsi="Times New Roman Regular" w:eastAsia="华文楷体" w:cs="Times New Roman Regular"/>
                <w:b/>
                <w:color w:val="000000" w:themeColor="text1"/>
                <w:kern w:val="0"/>
                <w:sz w:val="20"/>
                <w:szCs w:val="21"/>
                <w14:textFill>
                  <w14:solidFill>
                    <w14:schemeClr w14:val="tx1"/>
                  </w14:solidFill>
                </w14:textFill>
              </w:rPr>
            </w:pPr>
          </w:p>
        </w:tc>
      </w:tr>
      <w:tr w14:paraId="6F33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 w:type="dxa"/>
            <w:left w:w="108" w:type="dxa"/>
            <w:bottom w:w="11" w:type="dxa"/>
            <w:right w:w="108" w:type="dxa"/>
          </w:tblCellMar>
        </w:tblPrEx>
        <w:trPr>
          <w:trHeight w:val="567" w:hRule="atLeast"/>
        </w:trPr>
        <w:tc>
          <w:tcPr>
            <w:tcW w:w="1437" w:type="dxa"/>
            <w:tcBorders>
              <w:top w:val="nil"/>
              <w:left w:val="nil"/>
              <w:bottom w:val="nil"/>
              <w:right w:val="nil"/>
            </w:tcBorders>
            <w:shd w:val="clear" w:color="auto" w:fill="FFFFFF"/>
            <w:vAlign w:val="center"/>
          </w:tcPr>
          <w:p w14:paraId="18820A86">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“自上而下”模拟方法</w:t>
            </w:r>
          </w:p>
        </w:tc>
        <w:tc>
          <w:tcPr>
            <w:tcW w:w="2187" w:type="dxa"/>
            <w:tcBorders>
              <w:top w:val="nil"/>
              <w:left w:val="nil"/>
              <w:bottom w:val="nil"/>
              <w:right w:val="nil"/>
            </w:tcBorders>
            <w:shd w:val="clear" w:color="auto" w:fill="FFFFFF"/>
            <w:vAlign w:val="center"/>
          </w:tcPr>
          <w:p w14:paraId="6BFAF0D5">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可以反映政策冲击在各个部门间的传导效应，并模拟各部门以及各经济主体对政策的冲击反应</w:t>
            </w:r>
          </w:p>
        </w:tc>
        <w:tc>
          <w:tcPr>
            <w:tcW w:w="1812" w:type="dxa"/>
            <w:tcBorders>
              <w:top w:val="nil"/>
              <w:left w:val="nil"/>
              <w:bottom w:val="nil"/>
              <w:right w:val="nil"/>
            </w:tcBorders>
            <w:shd w:val="clear" w:color="auto" w:fill="FFFFFF"/>
            <w:vAlign w:val="center"/>
          </w:tcPr>
          <w:p w14:paraId="3D19A0D5">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无法解释具体的碳达峰实施路径，且对数据要求较高</w:t>
            </w:r>
          </w:p>
        </w:tc>
        <w:tc>
          <w:tcPr>
            <w:tcW w:w="1812" w:type="dxa"/>
            <w:tcBorders>
              <w:top w:val="nil"/>
              <w:left w:val="nil"/>
              <w:bottom w:val="nil"/>
              <w:right w:val="nil"/>
            </w:tcBorders>
            <w:shd w:val="clear" w:color="auto" w:fill="FFFFFF"/>
            <w:vAlign w:val="center"/>
          </w:tcPr>
          <w:p w14:paraId="1374D20F">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分析能源、气候、环境等政策冲击的影响</w:t>
            </w:r>
          </w:p>
        </w:tc>
        <w:tc>
          <w:tcPr>
            <w:tcW w:w="1812" w:type="dxa"/>
            <w:tcBorders>
              <w:top w:val="nil"/>
              <w:left w:val="nil"/>
              <w:bottom w:val="nil"/>
              <w:right w:val="nil"/>
            </w:tcBorders>
            <w:shd w:val="clear" w:color="auto" w:fill="FFFFFF"/>
            <w:vAlign w:val="center"/>
          </w:tcPr>
          <w:p w14:paraId="6165A2FB">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CGE，GEM-E3，TDGM-CHN，GREEN，EPPA，C-GEM</w:t>
            </w:r>
          </w:p>
        </w:tc>
      </w:tr>
      <w:tr w14:paraId="4C26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 w:type="dxa"/>
            <w:left w:w="108" w:type="dxa"/>
            <w:bottom w:w="11" w:type="dxa"/>
            <w:right w:w="108" w:type="dxa"/>
          </w:tblCellMar>
        </w:tblPrEx>
        <w:trPr>
          <w:trHeight w:val="567" w:hRule="atLeast"/>
        </w:trPr>
        <w:tc>
          <w:tcPr>
            <w:tcW w:w="1437" w:type="dxa"/>
            <w:tcBorders>
              <w:top w:val="nil"/>
              <w:left w:val="nil"/>
              <w:bottom w:val="nil"/>
              <w:right w:val="nil"/>
            </w:tcBorders>
            <w:shd w:val="clear" w:color="auto" w:fill="FFFFFF"/>
            <w:vAlign w:val="center"/>
          </w:tcPr>
          <w:p w14:paraId="513537DB">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“自下而上”模拟方法</w:t>
            </w:r>
          </w:p>
        </w:tc>
        <w:tc>
          <w:tcPr>
            <w:tcW w:w="2187" w:type="dxa"/>
            <w:tcBorders>
              <w:top w:val="nil"/>
              <w:left w:val="nil"/>
              <w:bottom w:val="nil"/>
              <w:right w:val="nil"/>
            </w:tcBorders>
            <w:shd w:val="clear" w:color="auto" w:fill="FFFFFF"/>
            <w:vAlign w:val="center"/>
          </w:tcPr>
          <w:p w14:paraId="01C4CB86">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富含丰富的技术信息；更加具体，更加贴合实际，具有更高的政策支持力</w:t>
            </w:r>
          </w:p>
        </w:tc>
        <w:tc>
          <w:tcPr>
            <w:tcW w:w="1812" w:type="dxa"/>
            <w:tcBorders>
              <w:top w:val="nil"/>
              <w:left w:val="nil"/>
              <w:bottom w:val="nil"/>
              <w:right w:val="nil"/>
            </w:tcBorders>
            <w:shd w:val="clear" w:color="auto" w:fill="FFFFFF"/>
            <w:vAlign w:val="center"/>
          </w:tcPr>
          <w:p w14:paraId="4EDC134C">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对技术参数</w:t>
            </w:r>
            <w:r>
              <w:rPr>
                <w:rFonts w:hint="eastAsia" w:ascii="Times New Roman Regular" w:hAnsi="Times New Roman Regular" w:eastAsia="华文楷体" w:cs="Times New Roman Regular"/>
                <w:bCs/>
                <w:color w:val="000000" w:themeColor="text1"/>
                <w:kern w:val="0"/>
                <w:sz w:val="20"/>
                <w:szCs w:val="21"/>
                <w14:textFill>
                  <w14:solidFill>
                    <w14:schemeClr w14:val="tx1"/>
                  </w14:solidFill>
                </w14:textFill>
              </w:rPr>
              <w:t>要求</w:t>
            </w: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；为考虑政策间接的经济影响，不能计算宏观经济损失</w:t>
            </w:r>
          </w:p>
        </w:tc>
        <w:tc>
          <w:tcPr>
            <w:tcW w:w="1812" w:type="dxa"/>
            <w:tcBorders>
              <w:top w:val="nil"/>
              <w:left w:val="nil"/>
              <w:bottom w:val="nil"/>
              <w:right w:val="nil"/>
            </w:tcBorders>
            <w:shd w:val="clear" w:color="auto" w:fill="FFFFFF"/>
            <w:vAlign w:val="center"/>
          </w:tcPr>
          <w:p w14:paraId="50C654CE">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适用于低碳发展技术路径分析和技术的替代效应评估</w:t>
            </w:r>
          </w:p>
        </w:tc>
        <w:tc>
          <w:tcPr>
            <w:tcW w:w="1812" w:type="dxa"/>
            <w:tcBorders>
              <w:top w:val="nil"/>
              <w:left w:val="nil"/>
              <w:bottom w:val="nil"/>
              <w:right w:val="nil"/>
            </w:tcBorders>
            <w:shd w:val="clear" w:color="auto" w:fill="FFFFFF"/>
            <w:vAlign w:val="center"/>
          </w:tcPr>
          <w:p w14:paraId="416340EC">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LEAP，WEM，TIMES，China-TIMES，SACC，PECE</w:t>
            </w:r>
          </w:p>
        </w:tc>
      </w:tr>
      <w:tr w14:paraId="5656E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1" w:type="dxa"/>
            <w:left w:w="108" w:type="dxa"/>
            <w:bottom w:w="11" w:type="dxa"/>
            <w:right w:w="108" w:type="dxa"/>
          </w:tblCellMar>
        </w:tblPrEx>
        <w:trPr>
          <w:trHeight w:val="567" w:hRule="atLeast"/>
        </w:trPr>
        <w:tc>
          <w:tcPr>
            <w:tcW w:w="1437" w:type="dxa"/>
            <w:tcBorders>
              <w:top w:val="nil"/>
              <w:left w:val="nil"/>
              <w:bottom w:val="single" w:color="000000" w:sz="12" w:space="0"/>
              <w:right w:val="nil"/>
            </w:tcBorders>
            <w:shd w:val="clear" w:color="auto" w:fill="FFFFFF"/>
            <w:vAlign w:val="center"/>
          </w:tcPr>
          <w:p w14:paraId="5F25AB8A">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混合/综合评估模型</w:t>
            </w:r>
          </w:p>
        </w:tc>
        <w:tc>
          <w:tcPr>
            <w:tcW w:w="2187" w:type="dxa"/>
            <w:tcBorders>
              <w:top w:val="nil"/>
              <w:left w:val="nil"/>
              <w:bottom w:val="single" w:color="000000" w:sz="12" w:space="0"/>
              <w:right w:val="nil"/>
            </w:tcBorders>
            <w:shd w:val="clear" w:color="auto" w:fill="FFFFFF"/>
            <w:vAlign w:val="center"/>
          </w:tcPr>
          <w:p w14:paraId="2F9084EB">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功能齐全，能同时对技术和经济进行详细描述</w:t>
            </w:r>
          </w:p>
        </w:tc>
        <w:tc>
          <w:tcPr>
            <w:tcW w:w="1812" w:type="dxa"/>
            <w:tcBorders>
              <w:top w:val="nil"/>
              <w:left w:val="nil"/>
              <w:bottom w:val="single" w:color="000000" w:sz="12" w:space="0"/>
              <w:right w:val="nil"/>
            </w:tcBorders>
            <w:shd w:val="clear" w:color="auto" w:fill="FFFFFF"/>
            <w:vAlign w:val="center"/>
          </w:tcPr>
          <w:p w14:paraId="59C6966E">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结构复杂</w:t>
            </w:r>
          </w:p>
        </w:tc>
        <w:tc>
          <w:tcPr>
            <w:tcW w:w="1812" w:type="dxa"/>
            <w:tcBorders>
              <w:top w:val="nil"/>
              <w:left w:val="nil"/>
              <w:bottom w:val="single" w:color="000000" w:sz="12" w:space="0"/>
              <w:right w:val="nil"/>
            </w:tcBorders>
            <w:shd w:val="clear" w:color="auto" w:fill="FFFFFF"/>
            <w:vAlign w:val="center"/>
          </w:tcPr>
          <w:p w14:paraId="2B08E771">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预测各部门能源的供应能力、能源价格、需求量以及宏观经济参数</w:t>
            </w:r>
          </w:p>
        </w:tc>
        <w:tc>
          <w:tcPr>
            <w:tcW w:w="1812" w:type="dxa"/>
            <w:tcBorders>
              <w:top w:val="nil"/>
              <w:left w:val="nil"/>
              <w:bottom w:val="single" w:color="000000" w:sz="12" w:space="0"/>
              <w:right w:val="nil"/>
            </w:tcBorders>
            <w:shd w:val="clear" w:color="auto" w:fill="FFFFFF"/>
            <w:vAlign w:val="center"/>
          </w:tcPr>
          <w:p w14:paraId="68820AE2">
            <w:pPr>
              <w:snapToGrid w:val="0"/>
              <w:rPr>
                <w:rFonts w:ascii="Times New Roman Regular" w:hAnsi="Times New Roman Regular" w:eastAsia="华文楷体" w:cs="Times New Roman Regular"/>
                <w:bCs/>
                <w:color w:val="000000" w:themeColor="text1"/>
                <w:kern w:val="0"/>
                <w:sz w:val="20"/>
                <w:szCs w:val="21"/>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14:textFill>
                  <w14:solidFill>
                    <w14:schemeClr w14:val="tx1"/>
                  </w14:solidFill>
                </w14:textFill>
              </w:rPr>
              <w:t>MERGE，IMAGE，IIASA，GCAM，RICE，IPAC</w:t>
            </w:r>
          </w:p>
        </w:tc>
      </w:tr>
    </w:tbl>
    <w:p w14:paraId="7B9E0FC7">
      <w:pPr>
        <w:widowControl/>
        <w:spacing w:line="560" w:lineRule="exact"/>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38CF79E5">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借鉴国家及区域尺度的碳达峰研究经验，本次规划将其应用到高耗能、高排放企业的碳排放峰值预测之中。虽然目前在国内通用的温室气体排放核算方法下，企业的碳排放源结构与区域尺度有所不同，核算方法也存在差异，但基本计算逻辑相通，即采用排放因子方法。考虑到LEAP软件可以根据自身数据特点灵活设定模式结构，以及石油化工生产企业工业过程排放计算的复杂性，本研究选择使用LEAP模型及其软件进行分析预测。</w:t>
      </w:r>
    </w:p>
    <w:p w14:paraId="63DEC307">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根据中化能源的能源消费结构和碳排放结构，并借鉴了《中国化工生产企业温室气体排放核算方法与报告指南》《中国石油化工企业温室气体排放核算方法与报告指南》中排放源的梳理方式，结合了LEAP软件自身</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架构</w:t>
      </w:r>
      <w:r>
        <w:rPr>
          <w:rFonts w:ascii="Times New Roman Regular" w:hAnsi="Times New Roman Regular" w:eastAsia="仿宋_GB2312" w:cs="Times New Roman Regular"/>
          <w:color w:val="000000" w:themeColor="text1"/>
          <w:sz w:val="28"/>
          <w:szCs w:val="28"/>
          <w14:textFill>
            <w14:solidFill>
              <w14:schemeClr w14:val="tx1"/>
            </w14:solidFill>
          </w14:textFill>
        </w:rPr>
        <w:t>特点，本次研究采用了如下步骤来构建模型。</w:t>
      </w:r>
    </w:p>
    <w:p w14:paraId="6882C500">
      <w:pPr>
        <w:rPr>
          <w:rFonts w:ascii="Times New Roman Regular" w:hAnsi="Times New Roman Regular" w:cs="Times New Roman Regular"/>
          <w:color w:val="000000" w:themeColor="text1"/>
          <w14:textFill>
            <w14:solidFill>
              <w14:schemeClr w14:val="tx1"/>
            </w14:solidFill>
          </w14:textFill>
        </w:rPr>
      </w:pPr>
      <w:r>
        <w:rPr>
          <w:rFonts w:ascii="Times New Roman Regular" w:hAnsi="Times New Roman Regular" w:cs="Times New Roman Regular"/>
          <w:color w:val="000000" w:themeColor="text1"/>
          <w14:textFill>
            <w14:solidFill>
              <w14:schemeClr w14:val="tx1"/>
            </w14:solidFill>
          </w14:textFill>
        </w:rPr>
        <mc:AlternateContent>
          <mc:Choice Requires="wpg">
            <w:drawing>
              <wp:inline distT="0" distB="0" distL="114300" distR="114300">
                <wp:extent cx="5168900" cy="3550285"/>
                <wp:effectExtent l="0" t="0" r="0" b="0"/>
                <wp:docPr id="56" name="组合 21"/>
                <wp:cNvGraphicFramePr/>
                <a:graphic xmlns:a="http://schemas.openxmlformats.org/drawingml/2006/main">
                  <a:graphicData uri="http://schemas.microsoft.com/office/word/2010/wordprocessingGroup">
                    <wpg:wgp>
                      <wpg:cNvGrpSpPr/>
                      <wpg:grpSpPr>
                        <a:xfrm>
                          <a:off x="0" y="0"/>
                          <a:ext cx="5168900" cy="3550285"/>
                          <a:chOff x="0" y="0"/>
                          <a:chExt cx="6512641" cy="4323922"/>
                        </a:xfrm>
                      </wpg:grpSpPr>
                      <wps:wsp>
                        <wps:cNvPr id="57" name="直接箭头连接符 639589089"/>
                        <wps:cNvCnPr/>
                        <wps:spPr>
                          <a:xfrm>
                            <a:off x="696053" y="3891229"/>
                            <a:ext cx="4681470" cy="0"/>
                          </a:xfrm>
                          <a:prstGeom prst="straightConnector1">
                            <a:avLst/>
                          </a:prstGeom>
                          <a:noFill/>
                          <a:ln w="19050" cap="flat" cmpd="sng" algn="ctr">
                            <a:solidFill>
                              <a:srgbClr val="156082"/>
                            </a:solidFill>
                            <a:prstDash val="solid"/>
                            <a:round/>
                            <a:headEnd type="none" w="med" len="med"/>
                            <a:tailEnd type="arrow" w="med" len="med"/>
                          </a:ln>
                          <a:effectLst/>
                        </wps:spPr>
                        <wps:bodyPr/>
                      </wps:wsp>
                      <wps:wsp>
                        <wps:cNvPr id="58" name="直接箭头连接符 639589090"/>
                        <wps:cNvCnPr/>
                        <wps:spPr>
                          <a:xfrm flipV="1">
                            <a:off x="696053" y="0"/>
                            <a:ext cx="0" cy="3891229"/>
                          </a:xfrm>
                          <a:prstGeom prst="straightConnector1">
                            <a:avLst/>
                          </a:prstGeom>
                          <a:noFill/>
                          <a:ln w="19050" cap="flat" cmpd="sng" algn="ctr">
                            <a:solidFill>
                              <a:srgbClr val="156082"/>
                            </a:solidFill>
                            <a:prstDash val="solid"/>
                            <a:round/>
                            <a:headEnd type="none" w="med" len="med"/>
                            <a:tailEnd type="arrow" w="med" len="med"/>
                          </a:ln>
                          <a:effectLst/>
                        </wps:spPr>
                        <wps:bodyPr/>
                      </wps:wsp>
                      <wps:wsp>
                        <wps:cNvPr id="59" name="任意多边形: 形状 11"/>
                        <wps:cNvSpPr/>
                        <wps:spPr>
                          <a:xfrm>
                            <a:off x="696053" y="1161914"/>
                            <a:ext cx="1429555" cy="428088"/>
                          </a:xfrm>
                          <a:custGeom>
                            <a:avLst/>
                            <a:gdLst>
                              <a:gd name="connsiteX0" fmla="*/ 0 w 1429555"/>
                              <a:gd name="connsiteY0" fmla="*/ 412440 h 428088"/>
                              <a:gd name="connsiteX1" fmla="*/ 154546 w 1429555"/>
                              <a:gd name="connsiteY1" fmla="*/ 328727 h 428088"/>
                              <a:gd name="connsiteX2" fmla="*/ 244699 w 1429555"/>
                              <a:gd name="connsiteY2" fmla="*/ 270772 h 428088"/>
                              <a:gd name="connsiteX3" fmla="*/ 264017 w 1429555"/>
                              <a:gd name="connsiteY3" fmla="*/ 264333 h 428088"/>
                              <a:gd name="connsiteX4" fmla="*/ 386366 w 1429555"/>
                              <a:gd name="connsiteY4" fmla="*/ 277212 h 428088"/>
                              <a:gd name="connsiteX5" fmla="*/ 425003 w 1429555"/>
                              <a:gd name="connsiteY5" fmla="*/ 283651 h 428088"/>
                              <a:gd name="connsiteX6" fmla="*/ 457200 w 1429555"/>
                              <a:gd name="connsiteY6" fmla="*/ 296530 h 428088"/>
                              <a:gd name="connsiteX7" fmla="*/ 476518 w 1429555"/>
                              <a:gd name="connsiteY7" fmla="*/ 302969 h 428088"/>
                              <a:gd name="connsiteX8" fmla="*/ 605307 w 1429555"/>
                              <a:gd name="connsiteY8" fmla="*/ 277212 h 428088"/>
                              <a:gd name="connsiteX9" fmla="*/ 631065 w 1429555"/>
                              <a:gd name="connsiteY9" fmla="*/ 251454 h 428088"/>
                              <a:gd name="connsiteX10" fmla="*/ 701899 w 1429555"/>
                              <a:gd name="connsiteY10" fmla="*/ 225696 h 428088"/>
                              <a:gd name="connsiteX11" fmla="*/ 817808 w 1429555"/>
                              <a:gd name="connsiteY11" fmla="*/ 199938 h 428088"/>
                              <a:gd name="connsiteX12" fmla="*/ 875763 w 1429555"/>
                              <a:gd name="connsiteY12" fmla="*/ 180620 h 428088"/>
                              <a:gd name="connsiteX13" fmla="*/ 933718 w 1429555"/>
                              <a:gd name="connsiteY13" fmla="*/ 167741 h 428088"/>
                              <a:gd name="connsiteX14" fmla="*/ 978794 w 1429555"/>
                              <a:gd name="connsiteY14" fmla="*/ 148423 h 428088"/>
                              <a:gd name="connsiteX15" fmla="*/ 1049628 w 1429555"/>
                              <a:gd name="connsiteY15" fmla="*/ 129105 h 428088"/>
                              <a:gd name="connsiteX16" fmla="*/ 1075386 w 1429555"/>
                              <a:gd name="connsiteY16" fmla="*/ 116226 h 428088"/>
                              <a:gd name="connsiteX17" fmla="*/ 1126901 w 1429555"/>
                              <a:gd name="connsiteY17" fmla="*/ 96907 h 428088"/>
                              <a:gd name="connsiteX18" fmla="*/ 1178417 w 1429555"/>
                              <a:gd name="connsiteY18" fmla="*/ 71150 h 428088"/>
                              <a:gd name="connsiteX19" fmla="*/ 1275008 w 1429555"/>
                              <a:gd name="connsiteY19" fmla="*/ 32513 h 428088"/>
                              <a:gd name="connsiteX20" fmla="*/ 1326524 w 1429555"/>
                              <a:gd name="connsiteY20" fmla="*/ 13195 h 428088"/>
                              <a:gd name="connsiteX21" fmla="*/ 1403797 w 1429555"/>
                              <a:gd name="connsiteY21" fmla="*/ 316 h 428088"/>
                              <a:gd name="connsiteX22" fmla="*/ 1429555 w 1429555"/>
                              <a:gd name="connsiteY22" fmla="*/ 316 h 4280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Lst>
                            <a:rect l="l" t="t" r="r" b="b"/>
                            <a:pathLst>
                              <a:path w="1429555" h="428088">
                                <a:moveTo>
                                  <a:pt x="0" y="412440"/>
                                </a:moveTo>
                                <a:cubicBezTo>
                                  <a:pt x="80947" y="444819"/>
                                  <a:pt x="20849" y="431571"/>
                                  <a:pt x="154546" y="328727"/>
                                </a:cubicBezTo>
                                <a:cubicBezTo>
                                  <a:pt x="184332" y="305814"/>
                                  <a:pt x="211119" y="287562"/>
                                  <a:pt x="244699" y="270772"/>
                                </a:cubicBezTo>
                                <a:cubicBezTo>
                                  <a:pt x="250770" y="267737"/>
                                  <a:pt x="257578" y="266479"/>
                                  <a:pt x="264017" y="264333"/>
                                </a:cubicBezTo>
                                <a:lnTo>
                                  <a:pt x="386366" y="277212"/>
                                </a:lnTo>
                                <a:cubicBezTo>
                                  <a:pt x="399330" y="278768"/>
                                  <a:pt x="412406" y="280216"/>
                                  <a:pt x="425003" y="283651"/>
                                </a:cubicBezTo>
                                <a:cubicBezTo>
                                  <a:pt x="436155" y="286692"/>
                                  <a:pt x="446377" y="292471"/>
                                  <a:pt x="457200" y="296530"/>
                                </a:cubicBezTo>
                                <a:cubicBezTo>
                                  <a:pt x="463555" y="298913"/>
                                  <a:pt x="470079" y="300823"/>
                                  <a:pt x="476518" y="302969"/>
                                </a:cubicBezTo>
                                <a:cubicBezTo>
                                  <a:pt x="489124" y="301030"/>
                                  <a:pt x="580990" y="290475"/>
                                  <a:pt x="605307" y="277212"/>
                                </a:cubicBezTo>
                                <a:cubicBezTo>
                                  <a:pt x="615967" y="271398"/>
                                  <a:pt x="620351" y="257168"/>
                                  <a:pt x="631065" y="251454"/>
                                </a:cubicBezTo>
                                <a:cubicBezTo>
                                  <a:pt x="653233" y="239631"/>
                                  <a:pt x="677958" y="233314"/>
                                  <a:pt x="701899" y="225696"/>
                                </a:cubicBezTo>
                                <a:cubicBezTo>
                                  <a:pt x="765212" y="205551"/>
                                  <a:pt x="762250" y="207876"/>
                                  <a:pt x="817808" y="199938"/>
                                </a:cubicBezTo>
                                <a:cubicBezTo>
                                  <a:pt x="837126" y="193499"/>
                                  <a:pt x="856143" y="186070"/>
                                  <a:pt x="875763" y="180620"/>
                                </a:cubicBezTo>
                                <a:cubicBezTo>
                                  <a:pt x="894831" y="175323"/>
                                  <a:pt x="914829" y="173644"/>
                                  <a:pt x="933718" y="167741"/>
                                </a:cubicBezTo>
                                <a:cubicBezTo>
                                  <a:pt x="949321" y="162865"/>
                                  <a:pt x="963286" y="153592"/>
                                  <a:pt x="978794" y="148423"/>
                                </a:cubicBezTo>
                                <a:cubicBezTo>
                                  <a:pt x="1002012" y="140684"/>
                                  <a:pt x="1026410" y="136844"/>
                                  <a:pt x="1049628" y="129105"/>
                                </a:cubicBezTo>
                                <a:cubicBezTo>
                                  <a:pt x="1058735" y="126069"/>
                                  <a:pt x="1066525" y="119918"/>
                                  <a:pt x="1075386" y="116226"/>
                                </a:cubicBezTo>
                                <a:cubicBezTo>
                                  <a:pt x="1092315" y="109172"/>
                                  <a:pt x="1110099" y="104258"/>
                                  <a:pt x="1126901" y="96907"/>
                                </a:cubicBezTo>
                                <a:cubicBezTo>
                                  <a:pt x="1144490" y="89212"/>
                                  <a:pt x="1161046" y="79325"/>
                                  <a:pt x="1178417" y="71150"/>
                                </a:cubicBezTo>
                                <a:cubicBezTo>
                                  <a:pt x="1251744" y="36644"/>
                                  <a:pt x="1214412" y="54154"/>
                                  <a:pt x="1275008" y="32513"/>
                                </a:cubicBezTo>
                                <a:cubicBezTo>
                                  <a:pt x="1292279" y="26345"/>
                                  <a:pt x="1309125" y="18995"/>
                                  <a:pt x="1326524" y="13195"/>
                                </a:cubicBezTo>
                                <a:cubicBezTo>
                                  <a:pt x="1349753" y="5452"/>
                                  <a:pt x="1381273" y="2193"/>
                                  <a:pt x="1403797" y="316"/>
                                </a:cubicBezTo>
                                <a:cubicBezTo>
                                  <a:pt x="1412353" y="-397"/>
                                  <a:pt x="1420969" y="316"/>
                                  <a:pt x="1429555" y="316"/>
                                </a:cubicBezTo>
                              </a:path>
                            </a:pathLst>
                          </a:custGeom>
                          <a:noFill/>
                          <a:ln w="19050" cap="flat" cmpd="sng" algn="ctr">
                            <a:solidFill>
                              <a:sysClr val="windowText" lastClr="000000"/>
                            </a:solidFill>
                            <a:prstDash val="solid"/>
                            <a:miter lim="800000"/>
                          </a:ln>
                          <a:effectLst/>
                        </wps:spPr>
                        <wps:bodyPr rtlCol="0" anchor="ctr"/>
                      </wps:wsp>
                      <wps:wsp>
                        <wps:cNvPr id="60" name="直接连接符 639589092"/>
                        <wps:cNvCnPr/>
                        <wps:spPr>
                          <a:xfrm>
                            <a:off x="2125608" y="1161914"/>
                            <a:ext cx="0" cy="2729315"/>
                          </a:xfrm>
                          <a:prstGeom prst="line">
                            <a:avLst/>
                          </a:prstGeom>
                          <a:noFill/>
                          <a:ln w="19050" cap="flat" cmpd="sng" algn="ctr">
                            <a:solidFill>
                              <a:sysClr val="windowText" lastClr="000000"/>
                            </a:solidFill>
                            <a:prstDash val="dash"/>
                            <a:round/>
                            <a:headEnd type="none" w="med" len="med"/>
                            <a:tailEnd type="none" w="med" len="med"/>
                          </a:ln>
                          <a:effectLst/>
                        </wps:spPr>
                        <wps:bodyPr/>
                      </wps:wsp>
                      <wps:wsp>
                        <wps:cNvPr id="61" name="直接连接符 639589093"/>
                        <wps:cNvCnPr/>
                        <wps:spPr>
                          <a:xfrm>
                            <a:off x="2632177" y="748785"/>
                            <a:ext cx="0" cy="3142444"/>
                          </a:xfrm>
                          <a:prstGeom prst="line">
                            <a:avLst/>
                          </a:prstGeom>
                          <a:noFill/>
                          <a:ln w="19050" cap="flat" cmpd="sng" algn="ctr">
                            <a:solidFill>
                              <a:sysClr val="windowText" lastClr="000000"/>
                            </a:solidFill>
                            <a:prstDash val="dash"/>
                            <a:round/>
                            <a:headEnd type="none" w="med" len="med"/>
                            <a:tailEnd type="none" w="med" len="med"/>
                          </a:ln>
                          <a:effectLst/>
                        </wps:spPr>
                        <wps:bodyPr/>
                      </wps:wsp>
                      <wps:wsp>
                        <wps:cNvPr id="62" name="直接连接符 639589094"/>
                        <wps:cNvCnPr/>
                        <wps:spPr>
                          <a:xfrm>
                            <a:off x="696053" y="1161914"/>
                            <a:ext cx="1429555" cy="0"/>
                          </a:xfrm>
                          <a:prstGeom prst="line">
                            <a:avLst/>
                          </a:prstGeom>
                          <a:noFill/>
                          <a:ln w="19050" cap="flat" cmpd="sng" algn="ctr">
                            <a:solidFill>
                              <a:sysClr val="windowText" lastClr="000000"/>
                            </a:solidFill>
                            <a:prstDash val="dash"/>
                            <a:round/>
                            <a:headEnd type="none" w="med" len="med"/>
                            <a:tailEnd type="none" w="med" len="med"/>
                          </a:ln>
                          <a:effectLst/>
                        </wps:spPr>
                        <wps:bodyPr/>
                      </wps:wsp>
                      <wps:wsp>
                        <wps:cNvPr id="63" name="直接连接符 639589095"/>
                        <wps:cNvCnPr/>
                        <wps:spPr>
                          <a:xfrm>
                            <a:off x="696053" y="748785"/>
                            <a:ext cx="1936124" cy="0"/>
                          </a:xfrm>
                          <a:prstGeom prst="line">
                            <a:avLst/>
                          </a:prstGeom>
                          <a:noFill/>
                          <a:ln w="19050" cap="flat" cmpd="sng" algn="ctr">
                            <a:solidFill>
                              <a:sysClr val="windowText" lastClr="000000"/>
                            </a:solidFill>
                            <a:prstDash val="dash"/>
                            <a:round/>
                            <a:headEnd type="none" w="med" len="med"/>
                            <a:tailEnd type="none" w="med" len="med"/>
                          </a:ln>
                          <a:effectLst/>
                        </wps:spPr>
                        <wps:bodyPr/>
                      </wps:wsp>
                      <wpg:grpSp>
                        <wpg:cNvPr id="76" name="组合 639589096"/>
                        <wpg:cNvGrpSpPr/>
                        <wpg:grpSpPr>
                          <a:xfrm>
                            <a:off x="1874470" y="748785"/>
                            <a:ext cx="3419340" cy="2530698"/>
                            <a:chOff x="1874470" y="748785"/>
                            <a:chExt cx="3419340" cy="2530698"/>
                          </a:xfrm>
                          <a:effectLst>
                            <a:glow rad="101600">
                              <a:srgbClr val="156082">
                                <a:lumMod val="20000"/>
                                <a:lumOff val="80000"/>
                                <a:alpha val="60000"/>
                              </a:srgbClr>
                            </a:glow>
                          </a:effectLst>
                        </wpg:grpSpPr>
                        <wps:wsp>
                          <wps:cNvPr id="77" name="直接连接符 639589097"/>
                          <wps:cNvCnPr/>
                          <wps:spPr>
                            <a:xfrm>
                              <a:off x="2632177" y="748785"/>
                              <a:ext cx="607453" cy="0"/>
                            </a:xfrm>
                            <a:prstGeom prst="line">
                              <a:avLst/>
                            </a:prstGeom>
                            <a:noFill/>
                            <a:ln w="19050" cap="flat" cmpd="sng" algn="ctr">
                              <a:solidFill>
                                <a:srgbClr val="156082"/>
                              </a:solidFill>
                              <a:prstDash val="dash"/>
                              <a:round/>
                              <a:headEnd type="none" w="med" len="med"/>
                              <a:tailEnd type="none" w="med" len="med"/>
                            </a:ln>
                            <a:effectLst/>
                          </wps:spPr>
                          <wps:bodyPr/>
                        </wps:wsp>
                        <wpg:grpSp>
                          <wpg:cNvPr id="78" name="组合 639589098"/>
                          <wpg:cNvGrpSpPr/>
                          <wpg:grpSpPr>
                            <a:xfrm>
                              <a:off x="1874470" y="748785"/>
                              <a:ext cx="3419340" cy="2530698"/>
                              <a:chOff x="1874470" y="748785"/>
                              <a:chExt cx="3419340" cy="2530698"/>
                            </a:xfrm>
                          </wpg:grpSpPr>
                          <wps:wsp>
                            <wps:cNvPr id="79" name="直接连接符 639589099"/>
                            <wps:cNvCnPr/>
                            <wps:spPr>
                              <a:xfrm flipV="1">
                                <a:off x="1874470" y="748785"/>
                                <a:ext cx="757707" cy="484279"/>
                              </a:xfrm>
                              <a:prstGeom prst="line">
                                <a:avLst/>
                              </a:prstGeom>
                              <a:noFill/>
                              <a:ln w="19050" cap="flat" cmpd="sng" algn="ctr">
                                <a:solidFill>
                                  <a:srgbClr val="156082"/>
                                </a:solidFill>
                                <a:prstDash val="dash"/>
                                <a:round/>
                                <a:headEnd type="none" w="med" len="med"/>
                                <a:tailEnd type="none" w="med" len="med"/>
                              </a:ln>
                              <a:effectLst/>
                            </wps:spPr>
                            <wps:bodyPr/>
                          </wps:wsp>
                          <wps:wsp>
                            <wps:cNvPr id="80" name="直接连接符 639589100"/>
                            <wps:cNvCnPr/>
                            <wps:spPr>
                              <a:xfrm>
                                <a:off x="3239630" y="748785"/>
                                <a:ext cx="2054180" cy="2530698"/>
                              </a:xfrm>
                              <a:prstGeom prst="line">
                                <a:avLst/>
                              </a:prstGeom>
                              <a:noFill/>
                              <a:ln w="19050" cap="flat" cmpd="sng" algn="ctr">
                                <a:solidFill>
                                  <a:srgbClr val="156082"/>
                                </a:solidFill>
                                <a:prstDash val="dash"/>
                                <a:round/>
                                <a:headEnd type="none" w="med" len="med"/>
                                <a:tailEnd type="none" w="med" len="med"/>
                              </a:ln>
                              <a:effectLst/>
                            </wps:spPr>
                            <wps:bodyPr/>
                          </wps:wsp>
                          <wps:wsp>
                            <wps:cNvPr id="81" name="直接连接符 639589101"/>
                            <wps:cNvCnPr/>
                            <wps:spPr>
                              <a:xfrm>
                                <a:off x="2022577" y="1175109"/>
                                <a:ext cx="913326" cy="41944"/>
                              </a:xfrm>
                              <a:prstGeom prst="line">
                                <a:avLst/>
                              </a:prstGeom>
                              <a:noFill/>
                              <a:ln w="12700" cap="flat" cmpd="sng" algn="ctr">
                                <a:solidFill>
                                  <a:srgbClr val="156082"/>
                                </a:solidFill>
                                <a:prstDash val="solid"/>
                                <a:miter lim="800000"/>
                              </a:ln>
                              <a:effectLst/>
                            </wps:spPr>
                            <wps:bodyPr/>
                          </wps:wsp>
                          <wps:wsp>
                            <wps:cNvPr id="82" name="直接连接符 639589102"/>
                            <wps:cNvCnPr/>
                            <wps:spPr>
                              <a:xfrm>
                                <a:off x="2935903" y="1217053"/>
                                <a:ext cx="2357907" cy="2062430"/>
                              </a:xfrm>
                              <a:prstGeom prst="line">
                                <a:avLst/>
                              </a:prstGeom>
                              <a:noFill/>
                              <a:ln w="12700" cap="flat" cmpd="sng" algn="ctr">
                                <a:solidFill>
                                  <a:srgbClr val="156082"/>
                                </a:solidFill>
                                <a:prstDash val="solid"/>
                                <a:miter lim="800000"/>
                              </a:ln>
                              <a:effectLst/>
                            </wps:spPr>
                            <wps:bodyPr/>
                          </wps:wsp>
                        </wpg:grpSp>
                      </wpg:grpSp>
                      <wps:wsp>
                        <wps:cNvPr id="83" name="直接箭头连接符 639589103"/>
                        <wps:cNvCnPr/>
                        <wps:spPr>
                          <a:xfrm flipH="1">
                            <a:off x="2209320" y="3659411"/>
                            <a:ext cx="334851" cy="0"/>
                          </a:xfrm>
                          <a:prstGeom prst="straightConnector1">
                            <a:avLst/>
                          </a:prstGeom>
                          <a:noFill/>
                          <a:ln w="19050" cap="flat" cmpd="sng" algn="ctr">
                            <a:solidFill>
                              <a:sysClr val="windowText" lastClr="000000"/>
                            </a:solidFill>
                            <a:prstDash val="solid"/>
                            <a:miter lim="800000"/>
                            <a:tailEnd type="triangle"/>
                          </a:ln>
                          <a:effectLst/>
                        </wps:spPr>
                        <wps:bodyPr/>
                      </wps:wsp>
                      <wps:wsp>
                        <wps:cNvPr id="84" name="文本框 41"/>
                        <wps:cNvSpPr txBox="1"/>
                        <wps:spPr>
                          <a:xfrm>
                            <a:off x="2156312" y="2772559"/>
                            <a:ext cx="740410" cy="1193075"/>
                          </a:xfrm>
                          <a:prstGeom prst="rect">
                            <a:avLst/>
                          </a:prstGeom>
                          <a:noFill/>
                        </wps:spPr>
                        <wps:txbx>
                          <w:txbxContent>
                            <w:p w14:paraId="45F41013">
                              <w:pPr>
                                <w:rPr>
                                  <w:rFonts w:ascii="仿宋" w:hAnsi="仿宋" w:eastAsia="仿宋"/>
                                  <w:b/>
                                  <w:bCs/>
                                  <w:color w:val="000000"/>
                                  <w:kern w:val="24"/>
                                  <w:szCs w:val="21"/>
                                </w:rPr>
                              </w:pPr>
                              <w:r>
                                <w:rPr>
                                  <w:rFonts w:hint="eastAsia" w:ascii="仿宋" w:hAnsi="仿宋" w:eastAsia="仿宋"/>
                                  <w:b/>
                                  <w:bCs/>
                                  <w:color w:val="000000"/>
                                  <w:kern w:val="24"/>
                                  <w:szCs w:val="21"/>
                                </w:rPr>
                                <w:t>年份</w:t>
                              </w:r>
                            </w:p>
                            <w:p w14:paraId="5217C38E">
                              <w:pPr>
                                <w:rPr>
                                  <w:rFonts w:ascii="仿宋" w:hAnsi="仿宋" w:eastAsia="仿宋"/>
                                  <w:b/>
                                  <w:bCs/>
                                  <w:color w:val="000000"/>
                                  <w:kern w:val="24"/>
                                  <w:szCs w:val="21"/>
                                </w:rPr>
                              </w:pPr>
                              <w:r>
                                <w:rPr>
                                  <w:rFonts w:hint="eastAsia" w:ascii="仿宋" w:hAnsi="仿宋" w:eastAsia="仿宋"/>
                                  <w:b/>
                                  <w:bCs/>
                                  <w:color w:val="000000"/>
                                  <w:kern w:val="24"/>
                                  <w:szCs w:val="21"/>
                                </w:rPr>
                                <w:t>提前</w:t>
                              </w:r>
                            </w:p>
                          </w:txbxContent>
                        </wps:txbx>
                        <wps:bodyPr wrap="square" rtlCol="0">
                          <a:noAutofit/>
                        </wps:bodyPr>
                      </wps:wsp>
                      <wps:wsp>
                        <wps:cNvPr id="85" name="文本框 43"/>
                        <wps:cNvSpPr txBox="1"/>
                        <wps:spPr>
                          <a:xfrm>
                            <a:off x="0" y="705746"/>
                            <a:ext cx="740410" cy="1060086"/>
                          </a:xfrm>
                          <a:prstGeom prst="rect">
                            <a:avLst/>
                          </a:prstGeom>
                          <a:noFill/>
                        </wps:spPr>
                        <wps:txbx>
                          <w:txbxContent>
                            <w:p w14:paraId="585C25F6">
                              <w:pPr>
                                <w:rPr>
                                  <w:rFonts w:ascii="仿宋" w:hAnsi="仿宋" w:eastAsia="仿宋"/>
                                  <w:b/>
                                  <w:bCs/>
                                  <w:color w:val="000000"/>
                                  <w:kern w:val="24"/>
                                  <w:szCs w:val="21"/>
                                </w:rPr>
                              </w:pPr>
                              <w:r>
                                <w:rPr>
                                  <w:rFonts w:hint="eastAsia" w:ascii="仿宋" w:hAnsi="仿宋" w:eastAsia="仿宋"/>
                                  <w:b/>
                                  <w:bCs/>
                                  <w:color w:val="000000"/>
                                  <w:kern w:val="24"/>
                                  <w:szCs w:val="21"/>
                                </w:rPr>
                                <w:t>峰值</w:t>
                              </w:r>
                            </w:p>
                            <w:p w14:paraId="0ED5976A">
                              <w:pPr>
                                <w:rPr>
                                  <w:rFonts w:ascii="仿宋" w:hAnsi="仿宋" w:eastAsia="仿宋"/>
                                  <w:b/>
                                  <w:bCs/>
                                  <w:color w:val="000000"/>
                                  <w:kern w:val="24"/>
                                  <w:szCs w:val="21"/>
                                </w:rPr>
                              </w:pPr>
                              <w:r>
                                <w:rPr>
                                  <w:rFonts w:hint="eastAsia" w:ascii="仿宋" w:hAnsi="仿宋" w:eastAsia="仿宋"/>
                                  <w:b/>
                                  <w:bCs/>
                                  <w:color w:val="000000"/>
                                  <w:kern w:val="24"/>
                                  <w:szCs w:val="21"/>
                                </w:rPr>
                                <w:t>降低</w:t>
                              </w:r>
                            </w:p>
                          </w:txbxContent>
                        </wps:txbx>
                        <wps:bodyPr wrap="square" rtlCol="0">
                          <a:noAutofit/>
                        </wps:bodyPr>
                      </wps:wsp>
                      <wps:wsp>
                        <wps:cNvPr id="86" name="直接箭头连接符 639589106"/>
                        <wps:cNvCnPr/>
                        <wps:spPr>
                          <a:xfrm>
                            <a:off x="583720" y="838937"/>
                            <a:ext cx="0" cy="322976"/>
                          </a:xfrm>
                          <a:prstGeom prst="straightConnector1">
                            <a:avLst/>
                          </a:prstGeom>
                          <a:noFill/>
                          <a:ln w="19050" cap="flat" cmpd="sng" algn="ctr">
                            <a:solidFill>
                              <a:sysClr val="windowText" lastClr="000000"/>
                            </a:solidFill>
                            <a:prstDash val="solid"/>
                            <a:miter lim="800000"/>
                            <a:tailEnd type="triangle"/>
                          </a:ln>
                          <a:effectLst/>
                        </wps:spPr>
                        <wps:bodyPr/>
                      </wps:wsp>
                      <wps:wsp>
                        <wps:cNvPr id="87" name="文本框 49"/>
                        <wps:cNvSpPr txBox="1"/>
                        <wps:spPr>
                          <a:xfrm>
                            <a:off x="204353" y="1669577"/>
                            <a:ext cx="557530" cy="2061210"/>
                          </a:xfrm>
                          <a:prstGeom prst="rect">
                            <a:avLst/>
                          </a:prstGeom>
                          <a:noFill/>
                        </wps:spPr>
                        <wps:txbx>
                          <w:txbxContent>
                            <w:p w14:paraId="7A1F977F">
                              <w:pPr>
                                <w:rPr>
                                  <w:rFonts w:ascii="仿宋" w:hAnsi="仿宋" w:eastAsia="仿宋"/>
                                  <w:color w:val="000000"/>
                                  <w:kern w:val="24"/>
                                  <w:szCs w:val="21"/>
                                </w:rPr>
                              </w:pPr>
                              <w:r>
                                <w:rPr>
                                  <w:rFonts w:hint="eastAsia" w:ascii="仿宋" w:hAnsi="仿宋" w:eastAsia="仿宋"/>
                                  <w:color w:val="000000"/>
                                  <w:kern w:val="24"/>
                                  <w:szCs w:val="21"/>
                                </w:rPr>
                                <w:t>企业二氧化碳排放量</w:t>
                              </w:r>
                            </w:p>
                          </w:txbxContent>
                        </wps:txbx>
                        <wps:bodyPr vert="eaVert" wrap="square" rtlCol="0">
                          <a:noAutofit/>
                        </wps:bodyPr>
                      </wps:wsp>
                      <wps:wsp>
                        <wps:cNvPr id="88" name="文本框 50"/>
                        <wps:cNvSpPr txBox="1"/>
                        <wps:spPr>
                          <a:xfrm>
                            <a:off x="2156539" y="3857832"/>
                            <a:ext cx="4006850" cy="466090"/>
                          </a:xfrm>
                          <a:prstGeom prst="rect">
                            <a:avLst/>
                          </a:prstGeom>
                          <a:noFill/>
                        </wps:spPr>
                        <wps:txbx>
                          <w:txbxContent>
                            <w:p w14:paraId="1FEEA65A">
                              <w:pPr>
                                <w:rPr>
                                  <w:rFonts w:ascii="仿宋" w:hAnsi="仿宋" w:eastAsia="仿宋"/>
                                  <w:color w:val="000000"/>
                                  <w:kern w:val="24"/>
                                  <w:szCs w:val="21"/>
                                </w:rPr>
                              </w:pPr>
                              <w:r>
                                <w:rPr>
                                  <w:rFonts w:hint="eastAsia" w:ascii="仿宋" w:hAnsi="仿宋" w:eastAsia="仿宋"/>
                                  <w:color w:val="000000"/>
                                  <w:kern w:val="24"/>
                                  <w:szCs w:val="21"/>
                                </w:rPr>
                                <w:t>年份</w:t>
                              </w:r>
                            </w:p>
                          </w:txbxContent>
                        </wps:txbx>
                        <wps:bodyPr wrap="square" rtlCol="0">
                          <a:noAutofit/>
                        </wps:bodyPr>
                      </wps:wsp>
                      <wps:wsp>
                        <wps:cNvPr id="89" name="文本框 53"/>
                        <wps:cNvSpPr txBox="1"/>
                        <wps:spPr>
                          <a:xfrm>
                            <a:off x="762445" y="3422797"/>
                            <a:ext cx="1275080" cy="466090"/>
                          </a:xfrm>
                          <a:prstGeom prst="rect">
                            <a:avLst/>
                          </a:prstGeom>
                          <a:noFill/>
                        </wps:spPr>
                        <wps:txbx>
                          <w:txbxContent>
                            <w:p w14:paraId="762B0B65">
                              <w:pPr>
                                <w:rPr>
                                  <w:rFonts w:ascii="仿宋" w:hAnsi="仿宋" w:eastAsia="仿宋"/>
                                  <w:b/>
                                  <w:bCs/>
                                  <w:color w:val="000000"/>
                                  <w:kern w:val="24"/>
                                  <w:szCs w:val="21"/>
                                </w:rPr>
                              </w:pPr>
                              <w:r>
                                <w:rPr>
                                  <w:rFonts w:hint="eastAsia" w:ascii="仿宋" w:hAnsi="仿宋" w:eastAsia="仿宋"/>
                                  <w:b/>
                                  <w:bCs/>
                                  <w:color w:val="000000"/>
                                  <w:kern w:val="24"/>
                                  <w:szCs w:val="21"/>
                                </w:rPr>
                                <w:t>①排放峰值年</w:t>
                              </w:r>
                            </w:p>
                          </w:txbxContent>
                        </wps:txbx>
                        <wps:bodyPr wrap="square" rtlCol="0">
                          <a:noAutofit/>
                        </wps:bodyPr>
                      </wps:wsp>
                      <wps:wsp>
                        <wps:cNvPr id="90" name="文本框 54"/>
                        <wps:cNvSpPr txBox="1"/>
                        <wps:spPr>
                          <a:xfrm>
                            <a:off x="756829" y="185584"/>
                            <a:ext cx="1275080" cy="466090"/>
                          </a:xfrm>
                          <a:prstGeom prst="rect">
                            <a:avLst/>
                          </a:prstGeom>
                          <a:noFill/>
                        </wps:spPr>
                        <wps:txbx>
                          <w:txbxContent>
                            <w:p w14:paraId="46C3238F">
                              <w:pPr>
                                <w:rPr>
                                  <w:rFonts w:ascii="仿宋" w:hAnsi="仿宋" w:eastAsia="仿宋"/>
                                  <w:b/>
                                  <w:bCs/>
                                  <w:color w:val="000000"/>
                                  <w:kern w:val="24"/>
                                  <w:szCs w:val="21"/>
                                </w:rPr>
                              </w:pPr>
                              <w:r>
                                <w:rPr>
                                  <w:rFonts w:hint="eastAsia" w:ascii="仿宋" w:hAnsi="仿宋" w:eastAsia="仿宋"/>
                                  <w:b/>
                                  <w:bCs/>
                                  <w:color w:val="000000"/>
                                  <w:kern w:val="24"/>
                                  <w:szCs w:val="21"/>
                                </w:rPr>
                                <w:t>②达峰峰值</w:t>
                              </w:r>
                            </w:p>
                          </w:txbxContent>
                        </wps:txbx>
                        <wps:bodyPr wrap="square" rtlCol="0">
                          <a:noAutofit/>
                        </wps:bodyPr>
                      </wps:wsp>
                      <wps:wsp>
                        <wps:cNvPr id="91" name="文本框 73"/>
                        <wps:cNvSpPr txBox="1"/>
                        <wps:spPr>
                          <a:xfrm>
                            <a:off x="934156" y="2183719"/>
                            <a:ext cx="1275080" cy="466090"/>
                          </a:xfrm>
                          <a:prstGeom prst="rect">
                            <a:avLst/>
                          </a:prstGeom>
                          <a:noFill/>
                        </wps:spPr>
                        <wps:txbx>
                          <w:txbxContent>
                            <w:p w14:paraId="7F4FCB17">
                              <w:pPr>
                                <w:rPr>
                                  <w:rFonts w:ascii="仿宋" w:hAnsi="仿宋" w:eastAsia="仿宋"/>
                                  <w:b/>
                                  <w:bCs/>
                                  <w:color w:val="000000"/>
                                  <w:kern w:val="24"/>
                                  <w:szCs w:val="21"/>
                                </w:rPr>
                              </w:pPr>
                              <w:r>
                                <w:rPr>
                                  <w:rFonts w:hint="eastAsia" w:ascii="仿宋" w:hAnsi="仿宋" w:eastAsia="仿宋"/>
                                  <w:b/>
                                  <w:bCs/>
                                  <w:color w:val="000000"/>
                                  <w:kern w:val="24"/>
                                  <w:szCs w:val="21"/>
                                </w:rPr>
                                <w:t>③控制措施</w:t>
                              </w:r>
                            </w:p>
                          </w:txbxContent>
                        </wps:txbx>
                        <wps:bodyPr wrap="square" rtlCol="0">
                          <a:noAutofit/>
                        </wps:bodyPr>
                      </wps:wsp>
                      <wps:wsp>
                        <wps:cNvPr id="92" name="文本框 74"/>
                        <wps:cNvSpPr txBox="1"/>
                        <wps:spPr>
                          <a:xfrm>
                            <a:off x="784029" y="2772881"/>
                            <a:ext cx="1275080" cy="466090"/>
                          </a:xfrm>
                          <a:prstGeom prst="rect">
                            <a:avLst/>
                          </a:prstGeom>
                          <a:noFill/>
                        </wps:spPr>
                        <wps:txbx>
                          <w:txbxContent>
                            <w:p w14:paraId="58FD0173">
                              <w:pPr>
                                <w:rPr>
                                  <w:rFonts w:ascii="仿宋" w:hAnsi="仿宋" w:eastAsia="仿宋"/>
                                  <w:b/>
                                  <w:bCs/>
                                  <w:color w:val="000000"/>
                                  <w:kern w:val="24"/>
                                  <w:szCs w:val="21"/>
                                </w:rPr>
                              </w:pPr>
                              <w:r>
                                <w:rPr>
                                  <w:rFonts w:hint="eastAsia" w:ascii="仿宋" w:hAnsi="仿宋" w:eastAsia="仿宋"/>
                                  <w:b/>
                                  <w:bCs/>
                                  <w:color w:val="000000"/>
                                  <w:kern w:val="24"/>
                                  <w:szCs w:val="21"/>
                                </w:rPr>
                                <w:t>④保障措施</w:t>
                              </w:r>
                            </w:p>
                          </w:txbxContent>
                        </wps:txbx>
                        <wps:bodyPr wrap="square" rtlCol="0">
                          <a:noAutofit/>
                        </wps:bodyPr>
                      </wps:wsp>
                      <wps:wsp>
                        <wps:cNvPr id="93" name="直接箭头连接符 639589114"/>
                        <wps:cNvCnPr/>
                        <wps:spPr>
                          <a:xfrm flipH="1">
                            <a:off x="740536" y="514614"/>
                            <a:ext cx="333135" cy="483657"/>
                          </a:xfrm>
                          <a:prstGeom prst="straightConnector1">
                            <a:avLst/>
                          </a:prstGeom>
                          <a:noFill/>
                          <a:ln w="12700" cap="flat" cmpd="sng" algn="ctr">
                            <a:solidFill>
                              <a:srgbClr val="156082"/>
                            </a:solidFill>
                            <a:prstDash val="solid"/>
                            <a:miter lim="800000"/>
                            <a:tailEnd type="triangle"/>
                          </a:ln>
                          <a:effectLst/>
                        </wps:spPr>
                        <wps:bodyPr/>
                      </wps:wsp>
                      <wps:wsp>
                        <wps:cNvPr id="94" name="文本框 82"/>
                        <wps:cNvSpPr txBox="1"/>
                        <wps:spPr>
                          <a:xfrm>
                            <a:off x="1439039" y="3850285"/>
                            <a:ext cx="1896745" cy="466090"/>
                          </a:xfrm>
                          <a:prstGeom prst="rect">
                            <a:avLst/>
                          </a:prstGeom>
                          <a:noFill/>
                        </wps:spPr>
                        <wps:txbx>
                          <w:txbxContent>
                            <w:p w14:paraId="7A676EB7">
                              <w:pPr>
                                <w:rPr>
                                  <w:rFonts w:ascii="仿宋" w:hAnsi="仿宋" w:eastAsia="仿宋"/>
                                  <w:b/>
                                  <w:bCs/>
                                  <w:color w:val="000000"/>
                                  <w:kern w:val="24"/>
                                  <w:szCs w:val="21"/>
                                </w:rPr>
                              </w:pPr>
                              <w:r>
                                <w:rPr>
                                  <w:rFonts w:hint="eastAsia" w:ascii="仿宋" w:hAnsi="仿宋" w:eastAsia="仿宋"/>
                                  <w:b/>
                                  <w:bCs/>
                                  <w:color w:val="000000"/>
                                  <w:kern w:val="24"/>
                                  <w:szCs w:val="21"/>
                                </w:rPr>
                                <w:t>碳达峰</w:t>
                              </w:r>
                            </w:p>
                          </w:txbxContent>
                        </wps:txbx>
                        <wps:bodyPr wrap="square" rtlCol="0">
                          <a:noAutofit/>
                        </wps:bodyPr>
                      </wps:wsp>
                      <wps:wsp>
                        <wps:cNvPr id="95" name="文本框 83"/>
                        <wps:cNvSpPr txBox="1"/>
                        <wps:spPr>
                          <a:xfrm>
                            <a:off x="2633826" y="1362220"/>
                            <a:ext cx="1896745" cy="466090"/>
                          </a:xfrm>
                          <a:prstGeom prst="rect">
                            <a:avLst/>
                          </a:prstGeom>
                          <a:noFill/>
                        </wps:spPr>
                        <wps:txbx>
                          <w:txbxContent>
                            <w:p w14:paraId="2A240048">
                              <w:pPr>
                                <w:rPr>
                                  <w:rFonts w:ascii="仿宋" w:hAnsi="仿宋" w:eastAsia="仿宋"/>
                                  <w:b/>
                                  <w:bCs/>
                                  <w:color w:val="000000"/>
                                  <w:kern w:val="24"/>
                                  <w:szCs w:val="21"/>
                                </w:rPr>
                              </w:pPr>
                              <w:r>
                                <w:rPr>
                                  <w:rFonts w:hint="eastAsia" w:ascii="仿宋" w:hAnsi="仿宋" w:eastAsia="仿宋"/>
                                  <w:b/>
                                  <w:bCs/>
                                  <w:color w:val="000000"/>
                                  <w:kern w:val="24"/>
                                  <w:szCs w:val="21"/>
                                </w:rPr>
                                <w:t>支撑</w:t>
                              </w:r>
                            </w:p>
                          </w:txbxContent>
                        </wps:txbx>
                        <wps:bodyPr wrap="square" rtlCol="0">
                          <a:noAutofit/>
                        </wps:bodyPr>
                      </wps:wsp>
                      <wps:wsp>
                        <wps:cNvPr id="96" name="直接箭头连接符 639589117"/>
                        <wps:cNvCnPr/>
                        <wps:spPr>
                          <a:xfrm flipV="1">
                            <a:off x="1571757" y="1079027"/>
                            <a:ext cx="1465031" cy="1104797"/>
                          </a:xfrm>
                          <a:prstGeom prst="straightConnector1">
                            <a:avLst/>
                          </a:prstGeom>
                          <a:noFill/>
                          <a:ln w="6350" cap="flat" cmpd="sng" algn="ctr">
                            <a:solidFill>
                              <a:srgbClr val="156082"/>
                            </a:solidFill>
                            <a:prstDash val="lgDashDot"/>
                            <a:miter lim="800000"/>
                            <a:tailEnd type="triangle"/>
                          </a:ln>
                          <a:effectLst/>
                        </wps:spPr>
                        <wps:bodyPr/>
                      </wps:wsp>
                      <wps:wsp>
                        <wps:cNvPr id="97" name="直接箭头连接符 639589118"/>
                        <wps:cNvCnPr/>
                        <wps:spPr>
                          <a:xfrm flipH="1" flipV="1">
                            <a:off x="370268" y="1290658"/>
                            <a:ext cx="764261" cy="849799"/>
                          </a:xfrm>
                          <a:prstGeom prst="straightConnector1">
                            <a:avLst/>
                          </a:prstGeom>
                          <a:noFill/>
                          <a:ln w="6350" cap="flat" cmpd="sng" algn="ctr">
                            <a:solidFill>
                              <a:srgbClr val="156082"/>
                            </a:solidFill>
                            <a:prstDash val="lgDashDot"/>
                            <a:miter lim="800000"/>
                            <a:tailEnd type="triangle"/>
                          </a:ln>
                          <a:effectLst/>
                        </wps:spPr>
                        <wps:bodyPr/>
                      </wps:wsp>
                      <wps:wsp>
                        <wps:cNvPr id="98" name="直接箭头连接符 639589119"/>
                        <wps:cNvCnPr/>
                        <wps:spPr>
                          <a:xfrm>
                            <a:off x="1571757" y="2491601"/>
                            <a:ext cx="732515" cy="715917"/>
                          </a:xfrm>
                          <a:prstGeom prst="straightConnector1">
                            <a:avLst/>
                          </a:prstGeom>
                          <a:noFill/>
                          <a:ln w="6350" cap="flat" cmpd="sng" algn="ctr">
                            <a:solidFill>
                              <a:srgbClr val="156082"/>
                            </a:solidFill>
                            <a:prstDash val="lgDashDot"/>
                            <a:miter lim="800000"/>
                            <a:tailEnd type="triangle"/>
                          </a:ln>
                          <a:effectLst/>
                        </wps:spPr>
                        <wps:bodyPr/>
                      </wps:wsp>
                      <wps:wsp>
                        <wps:cNvPr id="99" name="文本框 93"/>
                        <wps:cNvSpPr txBox="1"/>
                        <wps:spPr>
                          <a:xfrm>
                            <a:off x="1755161" y="2460705"/>
                            <a:ext cx="1896745" cy="466090"/>
                          </a:xfrm>
                          <a:prstGeom prst="rect">
                            <a:avLst/>
                          </a:prstGeom>
                          <a:noFill/>
                        </wps:spPr>
                        <wps:txbx>
                          <w:txbxContent>
                            <w:p w14:paraId="4D5C526C">
                              <w:pPr>
                                <w:rPr>
                                  <w:rFonts w:ascii="仿宋" w:hAnsi="仿宋" w:eastAsia="仿宋"/>
                                  <w:b/>
                                  <w:bCs/>
                                  <w:color w:val="000000"/>
                                  <w:kern w:val="24"/>
                                  <w:szCs w:val="21"/>
                                </w:rPr>
                              </w:pPr>
                              <w:r>
                                <w:rPr>
                                  <w:rFonts w:hint="eastAsia" w:ascii="仿宋" w:hAnsi="仿宋" w:eastAsia="仿宋"/>
                                  <w:b/>
                                  <w:bCs/>
                                  <w:color w:val="000000"/>
                                  <w:kern w:val="24"/>
                                  <w:szCs w:val="21"/>
                                </w:rPr>
                                <w:t>支撑</w:t>
                              </w:r>
                            </w:p>
                          </w:txbxContent>
                        </wps:txbx>
                        <wps:bodyPr wrap="square" rtlCol="0">
                          <a:noAutofit/>
                        </wps:bodyPr>
                      </wps:wsp>
                      <wps:wsp>
                        <wps:cNvPr id="100" name="文本框 94"/>
                        <wps:cNvSpPr txBox="1"/>
                        <wps:spPr>
                          <a:xfrm>
                            <a:off x="1008365" y="1549603"/>
                            <a:ext cx="1896745" cy="466090"/>
                          </a:xfrm>
                          <a:prstGeom prst="rect">
                            <a:avLst/>
                          </a:prstGeom>
                          <a:noFill/>
                        </wps:spPr>
                        <wps:txbx>
                          <w:txbxContent>
                            <w:p w14:paraId="3469484E">
                              <w:pPr>
                                <w:rPr>
                                  <w:rFonts w:ascii="仿宋" w:hAnsi="仿宋" w:eastAsia="仿宋"/>
                                  <w:b/>
                                  <w:bCs/>
                                  <w:color w:val="000000"/>
                                  <w:kern w:val="24"/>
                                  <w:szCs w:val="21"/>
                                </w:rPr>
                              </w:pPr>
                              <w:r>
                                <w:rPr>
                                  <w:rFonts w:hint="eastAsia" w:ascii="仿宋" w:hAnsi="仿宋" w:eastAsia="仿宋"/>
                                  <w:b/>
                                  <w:bCs/>
                                  <w:color w:val="000000"/>
                                  <w:kern w:val="24"/>
                                  <w:szCs w:val="21"/>
                                </w:rPr>
                                <w:t>支撑</w:t>
                              </w:r>
                            </w:p>
                          </w:txbxContent>
                        </wps:txbx>
                        <wps:bodyPr wrap="square" rtlCol="0">
                          <a:noAutofit/>
                        </wps:bodyPr>
                      </wps:wsp>
                      <wps:wsp>
                        <wps:cNvPr id="101" name="直接箭头连接符 66"/>
                        <wps:cNvCnPr/>
                        <wps:spPr>
                          <a:xfrm flipH="1" flipV="1">
                            <a:off x="1421623" y="2460823"/>
                            <a:ext cx="1" cy="312191"/>
                          </a:xfrm>
                          <a:prstGeom prst="straightConnector1">
                            <a:avLst/>
                          </a:prstGeom>
                          <a:noFill/>
                          <a:ln w="6350" cap="flat" cmpd="sng" algn="ctr">
                            <a:solidFill>
                              <a:srgbClr val="156082"/>
                            </a:solidFill>
                            <a:prstDash val="lgDashDot"/>
                            <a:miter lim="800000"/>
                            <a:tailEnd type="triangle"/>
                          </a:ln>
                          <a:effectLst/>
                        </wps:spPr>
                        <wps:bodyPr/>
                      </wps:wsp>
                      <wps:wsp>
                        <wps:cNvPr id="102" name="文本框 97"/>
                        <wps:cNvSpPr txBox="1"/>
                        <wps:spPr>
                          <a:xfrm>
                            <a:off x="674781" y="2039650"/>
                            <a:ext cx="536575" cy="1104139"/>
                          </a:xfrm>
                          <a:prstGeom prst="rect">
                            <a:avLst/>
                          </a:prstGeom>
                          <a:noFill/>
                        </wps:spPr>
                        <wps:txbx>
                          <w:txbxContent>
                            <w:p w14:paraId="14222029">
                              <w:pPr>
                                <w:rPr>
                                  <w:rFonts w:ascii="仿宋" w:hAnsi="仿宋" w:eastAsia="仿宋"/>
                                  <w:b/>
                                  <w:bCs/>
                                  <w:color w:val="000000"/>
                                  <w:kern w:val="24"/>
                                  <w:szCs w:val="21"/>
                                </w:rPr>
                              </w:pPr>
                              <w:r>
                                <w:rPr>
                                  <w:rFonts w:hint="eastAsia" w:ascii="仿宋" w:hAnsi="仿宋" w:eastAsia="仿宋"/>
                                  <w:b/>
                                  <w:bCs/>
                                  <w:color w:val="000000"/>
                                  <w:kern w:val="24"/>
                                  <w:szCs w:val="21"/>
                                </w:rPr>
                                <w:t>保障</w:t>
                              </w:r>
                            </w:p>
                          </w:txbxContent>
                        </wps:txbx>
                        <wps:bodyPr wrap="square" rtlCol="0">
                          <a:noAutofit/>
                        </wps:bodyPr>
                      </wps:wsp>
                      <wps:wsp>
                        <wps:cNvPr id="103" name="直接箭头连接符 68"/>
                        <wps:cNvCnPr/>
                        <wps:spPr>
                          <a:xfrm>
                            <a:off x="1798495" y="3593938"/>
                            <a:ext cx="201544" cy="138500"/>
                          </a:xfrm>
                          <a:prstGeom prst="straightConnector1">
                            <a:avLst/>
                          </a:prstGeom>
                          <a:noFill/>
                          <a:ln w="19050" cap="flat" cmpd="sng" algn="ctr">
                            <a:solidFill>
                              <a:srgbClr val="156082"/>
                            </a:solidFill>
                            <a:prstDash val="solid"/>
                            <a:miter lim="800000"/>
                            <a:tailEnd type="triangle"/>
                          </a:ln>
                          <a:effectLst/>
                        </wps:spPr>
                        <wps:bodyPr/>
                      </wps:wsp>
                      <wps:wsp>
                        <wps:cNvPr id="104" name="直接连接符 69"/>
                        <wps:cNvCnPr/>
                        <wps:spPr>
                          <a:xfrm>
                            <a:off x="5293810" y="72348"/>
                            <a:ext cx="0" cy="3817559"/>
                          </a:xfrm>
                          <a:prstGeom prst="line">
                            <a:avLst/>
                          </a:prstGeom>
                          <a:noFill/>
                          <a:ln w="12700" cap="flat" cmpd="sng" algn="ctr">
                            <a:solidFill>
                              <a:sysClr val="windowText" lastClr="000000"/>
                            </a:solidFill>
                            <a:prstDash val="solid"/>
                            <a:miter lim="800000"/>
                            <a:headEnd type="none" w="med" len="med"/>
                            <a:tailEnd type="none" w="med" len="med"/>
                          </a:ln>
                          <a:effectLst/>
                        </wps:spPr>
                        <wps:bodyPr/>
                      </wps:wsp>
                      <wps:wsp>
                        <wps:cNvPr id="105" name="直接连接符 70"/>
                        <wps:cNvCnPr/>
                        <wps:spPr>
                          <a:xfrm>
                            <a:off x="696053" y="72348"/>
                            <a:ext cx="4597757" cy="0"/>
                          </a:xfrm>
                          <a:prstGeom prst="line">
                            <a:avLst/>
                          </a:prstGeom>
                          <a:noFill/>
                          <a:ln w="12700" cap="flat" cmpd="sng" algn="ctr">
                            <a:solidFill>
                              <a:sysClr val="windowText" lastClr="000000"/>
                            </a:solidFill>
                            <a:prstDash val="solid"/>
                            <a:miter lim="800000"/>
                            <a:headEnd type="none" w="med" len="med"/>
                            <a:tailEnd type="none" w="med" len="med"/>
                          </a:ln>
                          <a:effectLst/>
                        </wps:spPr>
                        <wps:bodyPr/>
                      </wps:wsp>
                      <wps:wsp>
                        <wps:cNvPr id="106" name="直接箭头连接符 71"/>
                        <wps:cNvCnPr/>
                        <wps:spPr>
                          <a:xfrm flipH="1">
                            <a:off x="3076605" y="1311852"/>
                            <a:ext cx="334851" cy="0"/>
                          </a:xfrm>
                          <a:prstGeom prst="straightConnector1">
                            <a:avLst/>
                          </a:prstGeom>
                          <a:noFill/>
                          <a:ln w="19050" cap="flat" cmpd="sng" algn="ctr">
                            <a:solidFill>
                              <a:sysClr val="windowText" lastClr="000000"/>
                            </a:solidFill>
                            <a:prstDash val="solid"/>
                            <a:miter lim="800000"/>
                            <a:tailEnd type="triangle"/>
                          </a:ln>
                          <a:effectLst/>
                        </wps:spPr>
                        <wps:bodyPr/>
                      </wps:wsp>
                      <wps:wsp>
                        <wps:cNvPr id="107" name="文本框 114"/>
                        <wps:cNvSpPr txBox="1"/>
                        <wps:spPr>
                          <a:xfrm>
                            <a:off x="3023720" y="747651"/>
                            <a:ext cx="740410" cy="1017891"/>
                          </a:xfrm>
                          <a:prstGeom prst="rect">
                            <a:avLst/>
                          </a:prstGeom>
                          <a:noFill/>
                        </wps:spPr>
                        <wps:txbx>
                          <w:txbxContent>
                            <w:p w14:paraId="5BAE1086">
                              <w:pPr>
                                <w:rPr>
                                  <w:rFonts w:ascii="仿宋" w:hAnsi="仿宋" w:eastAsia="仿宋"/>
                                  <w:b/>
                                  <w:bCs/>
                                  <w:color w:val="000000"/>
                                  <w:kern w:val="24"/>
                                  <w:szCs w:val="21"/>
                                </w:rPr>
                              </w:pPr>
                              <w:r>
                                <w:rPr>
                                  <w:rFonts w:hint="eastAsia" w:ascii="仿宋" w:hAnsi="仿宋" w:eastAsia="仿宋"/>
                                  <w:b/>
                                  <w:bCs/>
                                  <w:color w:val="000000"/>
                                  <w:kern w:val="24"/>
                                  <w:szCs w:val="21"/>
                                </w:rPr>
                                <w:t>斜率</w:t>
                              </w:r>
                            </w:p>
                            <w:p w14:paraId="06031AE4">
                              <w:pPr>
                                <w:rPr>
                                  <w:rFonts w:ascii="仿宋" w:hAnsi="仿宋" w:eastAsia="仿宋"/>
                                  <w:b/>
                                  <w:bCs/>
                                  <w:color w:val="000000"/>
                                  <w:kern w:val="24"/>
                                  <w:szCs w:val="21"/>
                                </w:rPr>
                              </w:pPr>
                              <w:r>
                                <w:rPr>
                                  <w:rFonts w:hint="eastAsia" w:ascii="仿宋" w:hAnsi="仿宋" w:eastAsia="仿宋"/>
                                  <w:b/>
                                  <w:bCs/>
                                  <w:color w:val="000000"/>
                                  <w:kern w:val="24"/>
                                  <w:szCs w:val="21"/>
                                </w:rPr>
                                <w:t>放缓</w:t>
                              </w:r>
                            </w:p>
                          </w:txbxContent>
                        </wps:txbx>
                        <wps:bodyPr wrap="square" rtlCol="0">
                          <a:noAutofit/>
                        </wps:bodyPr>
                      </wps:wsp>
                      <wps:wsp>
                        <wps:cNvPr id="108" name="文本框 115"/>
                        <wps:cNvSpPr txBox="1"/>
                        <wps:spPr>
                          <a:xfrm>
                            <a:off x="4615896" y="3560668"/>
                            <a:ext cx="1896745" cy="466090"/>
                          </a:xfrm>
                          <a:prstGeom prst="rect">
                            <a:avLst/>
                          </a:prstGeom>
                          <a:noFill/>
                        </wps:spPr>
                        <wps:txbx>
                          <w:txbxContent>
                            <w:p w14:paraId="5881D6CD">
                              <w:pPr>
                                <w:rPr>
                                  <w:rFonts w:ascii="仿宋" w:hAnsi="仿宋" w:eastAsia="仿宋"/>
                                  <w:b/>
                                  <w:bCs/>
                                  <w:color w:val="000000"/>
                                  <w:kern w:val="24"/>
                                  <w:szCs w:val="21"/>
                                </w:rPr>
                              </w:pPr>
                              <w:r>
                                <w:rPr>
                                  <w:rFonts w:hint="eastAsia" w:ascii="仿宋" w:hAnsi="仿宋" w:eastAsia="仿宋"/>
                                  <w:b/>
                                  <w:bCs/>
                                  <w:color w:val="000000"/>
                                  <w:kern w:val="24"/>
                                  <w:szCs w:val="21"/>
                                </w:rPr>
                                <w:t>碳中和</w:t>
                              </w:r>
                            </w:p>
                          </w:txbxContent>
                        </wps:txbx>
                        <wps:bodyPr wrap="square" rtlCol="0">
                          <a:noAutofit/>
                        </wps:bodyPr>
                      </wps:wsp>
                      <wps:wsp>
                        <wps:cNvPr id="109" name="文本框 116"/>
                        <wps:cNvSpPr txBox="1"/>
                        <wps:spPr>
                          <a:xfrm>
                            <a:off x="3980022" y="857436"/>
                            <a:ext cx="1657350" cy="970571"/>
                          </a:xfrm>
                          <a:prstGeom prst="rect">
                            <a:avLst/>
                          </a:prstGeom>
                          <a:noFill/>
                        </wps:spPr>
                        <wps:txbx>
                          <w:txbxContent>
                            <w:p w14:paraId="0826C8FA">
                              <w:pPr>
                                <w:rPr>
                                  <w:rFonts w:ascii="仿宋" w:hAnsi="仿宋" w:eastAsia="仿宋"/>
                                  <w:b/>
                                  <w:bCs/>
                                  <w:color w:val="000000"/>
                                  <w:kern w:val="24"/>
                                  <w:szCs w:val="21"/>
                                </w:rPr>
                              </w:pPr>
                              <w:r>
                                <w:rPr>
                                  <w:rFonts w:hint="eastAsia" w:ascii="仿宋" w:hAnsi="仿宋" w:eastAsia="仿宋"/>
                                  <w:b/>
                                  <w:bCs/>
                                  <w:color w:val="000000"/>
                                  <w:kern w:val="24"/>
                                  <w:szCs w:val="21"/>
                                </w:rPr>
                                <w:t>措施政策</w:t>
                              </w:r>
                            </w:p>
                            <w:p w14:paraId="3B0BD5F3">
                              <w:pPr>
                                <w:rPr>
                                  <w:rFonts w:ascii="仿宋" w:hAnsi="仿宋" w:eastAsia="仿宋"/>
                                  <w:b/>
                                  <w:bCs/>
                                  <w:color w:val="000000"/>
                                  <w:kern w:val="24"/>
                                  <w:szCs w:val="21"/>
                                </w:rPr>
                              </w:pPr>
                              <w:r>
                                <w:rPr>
                                  <w:rFonts w:hint="eastAsia" w:ascii="仿宋" w:hAnsi="仿宋" w:eastAsia="仿宋"/>
                                  <w:b/>
                                  <w:bCs/>
                                  <w:color w:val="000000"/>
                                  <w:kern w:val="24"/>
                                  <w:szCs w:val="21"/>
                                </w:rPr>
                                <w:t>贡献减排量</w:t>
                              </w:r>
                            </w:p>
                          </w:txbxContent>
                        </wps:txbx>
                        <wps:bodyPr wrap="square" rtlCol="0">
                          <a:noAutofit/>
                        </wps:bodyPr>
                      </wps:wsp>
                      <wps:wsp>
                        <wps:cNvPr id="110" name="直接箭头连接符 75"/>
                        <wps:cNvCnPr/>
                        <wps:spPr>
                          <a:xfrm flipH="1">
                            <a:off x="3764445" y="1353896"/>
                            <a:ext cx="270985" cy="236106"/>
                          </a:xfrm>
                          <a:prstGeom prst="straightConnector1">
                            <a:avLst/>
                          </a:prstGeom>
                          <a:noFill/>
                          <a:ln w="19050" cap="flat" cmpd="sng" algn="ctr">
                            <a:solidFill>
                              <a:sysClr val="windowText" lastClr="000000"/>
                            </a:solidFill>
                            <a:prstDash val="solid"/>
                            <a:miter lim="800000"/>
                            <a:tailEnd type="triangle"/>
                          </a:ln>
                          <a:effectLst/>
                        </wps:spPr>
                        <wps:bodyPr/>
                      </wps:wsp>
                    </wpg:wgp>
                  </a:graphicData>
                </a:graphic>
              </wp:inline>
            </w:drawing>
          </mc:Choice>
          <mc:Fallback>
            <w:pict>
              <v:group id="组合 21" o:spid="_x0000_s1026" o:spt="203" style="height:279.55pt;width:407pt;" coordsize="6512641,4323922" o:gfxdata="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">
                <o:lock v:ext="edit" aspectratio="f"/>
                <v:shape id="直接箭头连接符 639589089" o:spid="_x0000_s1026" o:spt="32" type="#_x0000_t32" style="position:absolute;left:696053;top:3891229;height:0;width:4681470;" filled="f" stroked="t" coordsize="21600,21600" o:gfxdata="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zLv3FvQAA&#10;ANsAAAAPAAAAAAAAAAEAIAAAACIAAABkcnMvZG93bnJldi54bWxQSwECFAAUAAAACACHTuJAMy8F&#10;njsAAAA5AAAAEAAAAAAAAAABACAAAAAMAQAAZHJzL3NoYXBleG1sLnhtbFBLBQYAAAAABgAGAFsB&#10;AAC2AwAAAAA=&#10;">
                  <v:fill on="f" focussize="0,0"/>
                  <v:stroke weight="1.5pt" color="#156082" joinstyle="round" endarrow="open"/>
                  <v:imagedata o:title=""/>
                  <o:lock v:ext="edit" aspectratio="f"/>
                </v:shape>
                <v:shape id="直接箭头连接符 639589090" o:spid="_x0000_s1026" o:spt="32" type="#_x0000_t32" style="position:absolute;left:696053;top:0;flip:y;height:3891229;width:0;" filled="f" stroked="t" coordsize="21600,21600" o:gfxdata="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P/p2y5AAAA2wAA&#10;AA8AAAAAAAAAAQAgAAAAIgAAAGRycy9kb3ducmV2LnhtbFBLAQIUABQAAAAIAIdO4kAzLwWeOwAA&#10;ADkAAAAQAAAAAAAAAAEAIAAAAAgBAABkcnMvc2hhcGV4bWwueG1sUEsFBgAAAAAGAAYAWwEAALID&#10;AAAAAA==&#10;">
                  <v:fill on="f" focussize="0,0"/>
                  <v:stroke weight="1.5pt" color="#156082" joinstyle="round" endarrow="open"/>
                  <v:imagedata o:title=""/>
                  <o:lock v:ext="edit" aspectratio="f"/>
                </v:shape>
                <v:shape id="任意多边形: 形状 11" o:spid="_x0000_s1026" o:spt="100" style="position:absolute;left:696053;top:1161914;height:428088;width:1429555;v-text-anchor:middle;" filled="f" stroked="t" coordsize="1429555,428088" o:gfxdata="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TOL6W8AAAA&#10;2wAAAA8AAAAAAAAAAQAgAAAAIgAAAGRycy9kb3ducmV2LnhtbFBLAQIUABQAAAAIAIdO4kAzLwWe&#10;OwAAADkAAAAQAAAAAAAAAAEAIAAAAAsBAABkcnMvc2hhcGV4bWwueG1sUEsFBgAAAAAGAAYAWwEA&#10;ALUDAAAAAA==&#10;" path="m0,412440c80947,444819,20849,431571,154546,328727c184332,305814,211119,287562,244699,270772c250770,267737,257578,266479,264017,264333l386366,277212c399330,278768,412406,280216,425003,283651c436155,286692,446377,292471,457200,296530c463555,298913,470079,300823,476518,302969c489124,301030,580990,290475,605307,277212c615967,271398,620351,257168,631065,251454c653233,239631,677958,233314,701899,225696c765212,205551,762250,207876,817808,199938c837126,193499,856143,186070,875763,180620c894831,175323,914829,173644,933718,167741c949321,162865,963286,153592,978794,148423c1002012,140684,1026410,136844,1049628,129105c1058735,126069,1066525,119918,1075386,116226c1092315,109172,1110099,104258,1126901,96907c1144490,89212,1161046,79325,1178417,71150c1251744,36644,1214412,54154,1275008,32513c1292279,26345,1309125,18995,1326524,13195c1349753,5452,1381273,2193,1403797,316c1412353,-397,1420969,316,1429555,316e">
                  <v:path o:connectlocs="0,412440;154546,328727;244699,270772;264017,264333;386366,277212;425003,283651;457200,296530;476518,302969;605307,277212;631065,251454;701899,225696;817808,199938;875763,180620;933718,167741;978794,148423;1049628,129105;1075386,116226;1126901,96907;1178417,71150;1275008,32513;1326524,13195;1403797,316;1429555,316" o:connectangles="0,0,0,0,0,0,0,0,0,0,0,0,0,0,0,0,0,0,0,0,0,0,0"/>
                  <v:fill on="f" focussize="0,0"/>
                  <v:stroke weight="1.5pt" color="#000000" miterlimit="8" joinstyle="miter"/>
                  <v:imagedata o:title=""/>
                  <o:lock v:ext="edit" aspectratio="f"/>
                </v:shape>
                <v:line id="直接连接符 639589092" o:spid="_x0000_s1026" o:spt="20" style="position:absolute;left:2125608;top:1161914;height:2729315;width:0;" filled="f" stroked="t" coordsize="21600,21600" o:gfxdata="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hiNbgAAADbAAAA&#10;DwAAAAAAAAABACAAAAAiAAAAZHJzL2Rvd25yZXYueG1sUEsBAhQAFAAAAAgAh07iQDMvBZ47AAAA&#10;OQAAABAAAAAAAAAAAQAgAAAABwEAAGRycy9zaGFwZXhtbC54bWxQSwUGAAAAAAYABgBbAQAAsQMA&#10;AAAA&#10;">
                  <v:fill on="f" focussize="0,0"/>
                  <v:stroke weight="1.5pt" color="#000000" joinstyle="round" dashstyle="dash"/>
                  <v:imagedata o:title=""/>
                  <o:lock v:ext="edit" aspectratio="f"/>
                </v:line>
                <v:line id="直接连接符 639589093" o:spid="_x0000_s1026" o:spt="20" style="position:absolute;left:2632177;top:748785;height:3142444;width:0;" filled="f" stroked="t" coordsize="21600,21600" o:gfxdata="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JMeuvQAA&#10;ANsAAAAPAAAAAAAAAAEAIAAAACIAAABkcnMvZG93bnJldi54bWxQSwECFAAUAAAACACHTuJAMy8F&#10;njsAAAA5AAAAEAAAAAAAAAABACAAAAAMAQAAZHJzL3NoYXBleG1sLnhtbFBLBQYAAAAABgAGAFsB&#10;AAC2AwAAAAA=&#10;">
                  <v:fill on="f" focussize="0,0"/>
                  <v:stroke weight="1.5pt" color="#000000" joinstyle="round" dashstyle="dash"/>
                  <v:imagedata o:title=""/>
                  <o:lock v:ext="edit" aspectratio="f"/>
                </v:line>
                <v:line id="直接连接符 639589094" o:spid="_x0000_s1026" o:spt="20" style="position:absolute;left:696053;top:1161914;height:0;width:1429555;" filled="f" stroked="t" coordsize="21600,21600" o:gfxdata="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9lnZvQAA&#10;ANsAAAAPAAAAAAAAAAEAIAAAACIAAABkcnMvZG93bnJldi54bWxQSwECFAAUAAAACACHTuJAMy8F&#10;njsAAAA5AAAAEAAAAAAAAAABACAAAAAMAQAAZHJzL3NoYXBleG1sLnhtbFBLBQYAAAAABgAGAFsB&#10;AAC2AwAAAAA=&#10;">
                  <v:fill on="f" focussize="0,0"/>
                  <v:stroke weight="1.5pt" color="#000000" joinstyle="round" dashstyle="dash"/>
                  <v:imagedata o:title=""/>
                  <o:lock v:ext="edit" aspectratio="f"/>
                </v:line>
                <v:line id="直接连接符 639589095" o:spid="_x0000_s1026" o:spt="20" style="position:absolute;left:696053;top:748785;height:0;width:1936124;" filled="f" stroked="t" coordsize="21600,21600" o:gfxdata="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i6/EK8AAAA&#10;2wAAAA8AAAAAAAAAAQAgAAAAIgAAAGRycy9kb3ducmV2LnhtbFBLAQIUABQAAAAIAIdO4kAzLwWe&#10;OwAAADkAAAAQAAAAAAAAAAEAIAAAAAsBAABkcnMvc2hhcGV4bWwueG1sUEsFBgAAAAAGAAYAWwEA&#10;ALUDAAAAAA==&#10;">
                  <v:fill on="f" focussize="0,0"/>
                  <v:stroke weight="1.5pt" color="#000000" joinstyle="round" dashstyle="dash"/>
                  <v:imagedata o:title=""/>
                  <o:lock v:ext="edit" aspectratio="f"/>
                </v:line>
                <v:group id="组合 639589096" o:spid="_x0000_s1026" o:spt="203" style="position:absolute;left:1874470;top:748785;height:2530698;width:3419340;" coordorigin="1874470,748785" coordsize="3419340,2530698" o:gfxdata="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PdElavwAAANsAAAAPAAAAAAAAAAEAIAAAACIAAABkcnMvZG93bnJldi54&#10;bWxQSwECFAAUAAAACACHTuJAMy8FnjsAAAA5AAAAFQAAAAAAAAABACAAAAAOAQAAZHJzL2dyb3Vw&#10;c2hhcGV4bWwueG1sUEsFBgAAAAAGAAYAYAEAAMsDAAAAAA==&#10;">
                  <o:lock v:ext="edit" aspectratio="f"/>
                  <v:line id="直接连接符 639589097" o:spid="_x0000_s1026" o:spt="20" style="position:absolute;left:2632177;top:748785;height:0;width:607453;" filled="f" stroked="t" coordsize="21600,21600" o:gfxdata="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yhvKb4A&#10;AADbAAAADwAAAAAAAAABACAAAAAiAAAAZHJzL2Rvd25yZXYueG1sUEsBAhQAFAAAAAgAh07iQDMv&#10;BZ47AAAAOQAAABAAAAAAAAAAAQAgAAAADQEAAGRycy9zaGFwZXhtbC54bWxQSwUGAAAAAAYABgBb&#10;AQAAtwMAAAAA&#10;">
                    <v:fill on="f" focussize="0,0"/>
                    <v:stroke weight="1.5pt" color="#156082" joinstyle="round" dashstyle="dash"/>
                    <v:imagedata o:title=""/>
                    <o:lock v:ext="edit" aspectratio="f"/>
                  </v:line>
                  <v:group id="组合 639589098" o:spid="_x0000_s1026" o:spt="203" style="position:absolute;left:1874470;top:748785;height:2530698;width:3419340;" coordorigin="1874470,748785" coordsize="3419340,2530698" o:gfxdata="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NGneLO7AAAA2wAAAA8AAAAAAAAAAQAgAAAAIgAAAGRycy9kb3ducmV2LnhtbFBL&#10;AQIUABQAAAAIAIdO4kAzLwWeOwAAADkAAAAVAAAAAAAAAAEAIAAAAAoBAABkcnMvZ3JvdXBzaGFw&#10;ZXhtbC54bWxQSwUGAAAAAAYABgBgAQAAxwMAAAAA&#10;">
                    <o:lock v:ext="edit" aspectratio="f"/>
                    <v:line id="直接连接符 639589099" o:spid="_x0000_s1026" o:spt="20" style="position:absolute;left:1874470;top:748785;flip:y;height:484279;width:757707;" filled="f" stroked="t" coordsize="21600,21600" o:gfxdata="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dQpZr4A&#10;AADbAAAADwAAAAAAAAABACAAAAAiAAAAZHJzL2Rvd25yZXYueG1sUEsBAhQAFAAAAAgAh07iQDMv&#10;BZ47AAAAOQAAABAAAAAAAAAAAQAgAAAADQEAAGRycy9zaGFwZXhtbC54bWxQSwUGAAAAAAYABgBb&#10;AQAAtwMAAAAA&#10;">
                      <v:fill on="f" focussize="0,0"/>
                      <v:stroke weight="1.5pt" color="#156082" joinstyle="round" dashstyle="dash"/>
                      <v:imagedata o:title=""/>
                      <o:lock v:ext="edit" aspectratio="f"/>
                    </v:line>
                    <v:line id="直接连接符 639589100" o:spid="_x0000_s1026" o:spt="20" style="position:absolute;left:3239630;top:748785;height:2530698;width:2054180;" filled="f" stroked="t" coordsize="21600,21600" o:gfxdata="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RSHersAAADb&#10;AAAADwAAAAAAAAABACAAAAAiAAAAZHJzL2Rvd25yZXYueG1sUEsBAhQAFAAAAAgAh07iQDMvBZ47&#10;AAAAOQAAABAAAAAAAAAAAQAgAAAACgEAAGRycy9zaGFwZXhtbC54bWxQSwUGAAAAAAYABgBbAQAA&#10;tAMAAAAA&#10;">
                      <v:fill on="f" focussize="0,0"/>
                      <v:stroke weight="1.5pt" color="#156082" joinstyle="round" dashstyle="dash"/>
                      <v:imagedata o:title=""/>
                      <o:lock v:ext="edit" aspectratio="f"/>
                    </v:line>
                    <v:line id="直接连接符 639589101" o:spid="_x0000_s1026" o:spt="20" style="position:absolute;left:2022577;top:1175109;height:41944;width:913326;" filled="f" stroked="t" coordsize="21600,21600" o:gfxdata="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Jb4or4A&#10;AADbAAAADwAAAAAAAAABACAAAAAiAAAAZHJzL2Rvd25yZXYueG1sUEsBAhQAFAAAAAgAh07iQDMv&#10;BZ47AAAAOQAAABAAAAAAAAAAAQAgAAAADQEAAGRycy9zaGFwZXhtbC54bWxQSwUGAAAAAAYABgBb&#10;AQAAtwMAAAAA&#10;">
                      <v:fill on="f" focussize="0,0"/>
                      <v:stroke weight="1pt" color="#156082" miterlimit="8" joinstyle="miter"/>
                      <v:imagedata o:title=""/>
                      <o:lock v:ext="edit" aspectratio="f"/>
                    </v:line>
                    <v:line id="直接连接符 639589102" o:spid="_x0000_s1026" o:spt="20" style="position:absolute;left:2935903;top:1217053;height:2062430;width:2357907;" filled="f" stroked="t" coordsize="21600,21600" o:gfxdata="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RGbVvQAA&#10;ANsAAAAPAAAAAAAAAAEAIAAAACIAAABkcnMvZG93bnJldi54bWxQSwECFAAUAAAACACHTuJAMy8F&#10;njsAAAA5AAAAEAAAAAAAAAABACAAAAAMAQAAZHJzL3NoYXBleG1sLnhtbFBLBQYAAAAABgAGAFsB&#10;AAC2AwAAAAA=&#10;">
                      <v:fill on="f" focussize="0,0"/>
                      <v:stroke weight="1pt" color="#156082" miterlimit="8" joinstyle="miter"/>
                      <v:imagedata o:title=""/>
                      <o:lock v:ext="edit" aspectratio="f"/>
                    </v:line>
                  </v:group>
                </v:group>
                <v:shape id="直接箭头连接符 639589103" o:spid="_x0000_s1026" o:spt="32" type="#_x0000_t32" style="position:absolute;left:2209320;top:3659411;flip:x;height:0;width:334851;" filled="f" stroked="t" coordsize="21600,21600" o:gfxdata="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VXXwpugAAANsA&#10;AAAPAAAAAAAAAAEAIAAAACIAAABkcnMvZG93bnJldi54bWxQSwECFAAUAAAACACHTuJAMy8FnjsA&#10;AAA5AAAAEAAAAAAAAAABACAAAAAJAQAAZHJzL3NoYXBleG1sLnhtbFBLBQYAAAAABgAGAFsBAACz&#10;AwAAAAA=&#10;">
                  <v:fill on="f" focussize="0,0"/>
                  <v:stroke weight="1.5pt" color="#000000" miterlimit="8" joinstyle="miter" endarrow="block"/>
                  <v:imagedata o:title=""/>
                  <o:lock v:ext="edit" aspectratio="f"/>
                </v:shape>
                <v:shape id="文本框 41" o:spid="_x0000_s1026" o:spt="202" type="#_x0000_t202" style="position:absolute;left:2156312;top:2772559;height:1193075;width:740410;" filled="f" stroked="f" coordsize="21600,21600" o:gfxdata="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IIVcr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45F41013">
                        <w:pPr>
                          <w:rPr>
                            <w:rFonts w:ascii="仿宋" w:hAnsi="仿宋" w:eastAsia="仿宋"/>
                            <w:b/>
                            <w:bCs/>
                            <w:color w:val="000000"/>
                            <w:kern w:val="24"/>
                            <w:szCs w:val="21"/>
                          </w:rPr>
                        </w:pPr>
                        <w:r>
                          <w:rPr>
                            <w:rFonts w:hint="eastAsia" w:ascii="仿宋" w:hAnsi="仿宋" w:eastAsia="仿宋"/>
                            <w:b/>
                            <w:bCs/>
                            <w:color w:val="000000"/>
                            <w:kern w:val="24"/>
                            <w:szCs w:val="21"/>
                          </w:rPr>
                          <w:t>年份</w:t>
                        </w:r>
                      </w:p>
                      <w:p w14:paraId="5217C38E">
                        <w:pPr>
                          <w:rPr>
                            <w:rFonts w:ascii="仿宋" w:hAnsi="仿宋" w:eastAsia="仿宋"/>
                            <w:b/>
                            <w:bCs/>
                            <w:color w:val="000000"/>
                            <w:kern w:val="24"/>
                            <w:szCs w:val="21"/>
                          </w:rPr>
                        </w:pPr>
                        <w:r>
                          <w:rPr>
                            <w:rFonts w:hint="eastAsia" w:ascii="仿宋" w:hAnsi="仿宋" w:eastAsia="仿宋"/>
                            <w:b/>
                            <w:bCs/>
                            <w:color w:val="000000"/>
                            <w:kern w:val="24"/>
                            <w:szCs w:val="21"/>
                          </w:rPr>
                          <w:t>提前</w:t>
                        </w:r>
                      </w:p>
                    </w:txbxContent>
                  </v:textbox>
                </v:shape>
                <v:shape id="文本框 43" o:spid="_x0000_s1026" o:spt="202" type="#_x0000_t202" style="position:absolute;left:0;top:705746;height:1060086;width:740410;" filled="f" stroked="f" coordsize="21600,21600" o:gfxdata="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zrDp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85C25F6">
                        <w:pPr>
                          <w:rPr>
                            <w:rFonts w:ascii="仿宋" w:hAnsi="仿宋" w:eastAsia="仿宋"/>
                            <w:b/>
                            <w:bCs/>
                            <w:color w:val="000000"/>
                            <w:kern w:val="24"/>
                            <w:szCs w:val="21"/>
                          </w:rPr>
                        </w:pPr>
                        <w:r>
                          <w:rPr>
                            <w:rFonts w:hint="eastAsia" w:ascii="仿宋" w:hAnsi="仿宋" w:eastAsia="仿宋"/>
                            <w:b/>
                            <w:bCs/>
                            <w:color w:val="000000"/>
                            <w:kern w:val="24"/>
                            <w:szCs w:val="21"/>
                          </w:rPr>
                          <w:t>峰值</w:t>
                        </w:r>
                      </w:p>
                      <w:p w14:paraId="0ED5976A">
                        <w:pPr>
                          <w:rPr>
                            <w:rFonts w:ascii="仿宋" w:hAnsi="仿宋" w:eastAsia="仿宋"/>
                            <w:b/>
                            <w:bCs/>
                            <w:color w:val="000000"/>
                            <w:kern w:val="24"/>
                            <w:szCs w:val="21"/>
                          </w:rPr>
                        </w:pPr>
                        <w:r>
                          <w:rPr>
                            <w:rFonts w:hint="eastAsia" w:ascii="仿宋" w:hAnsi="仿宋" w:eastAsia="仿宋"/>
                            <w:b/>
                            <w:bCs/>
                            <w:color w:val="000000"/>
                            <w:kern w:val="24"/>
                            <w:szCs w:val="21"/>
                          </w:rPr>
                          <w:t>降低</w:t>
                        </w:r>
                      </w:p>
                    </w:txbxContent>
                  </v:textbox>
                </v:shape>
                <v:shape id="直接箭头连接符 639589106" o:spid="_x0000_s1026" o:spt="32" type="#_x0000_t32" style="position:absolute;left:583720;top:838937;height:322976;width:0;" filled="f" stroked="t" coordsize="21600,21600" o:gfxdata="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d3eFr4A&#10;AADbAAAADwAAAAAAAAABACAAAAAiAAAAZHJzL2Rvd25yZXYueG1sUEsBAhQAFAAAAAgAh07iQDMv&#10;BZ47AAAAOQAAABAAAAAAAAAAAQAgAAAADQEAAGRycy9zaGFwZXhtbC54bWxQSwUGAAAAAAYABgBb&#10;AQAAtwMAAAAA&#10;">
                  <v:fill on="f" focussize="0,0"/>
                  <v:stroke weight="1.5pt" color="#000000" miterlimit="8" joinstyle="miter" endarrow="block"/>
                  <v:imagedata o:title=""/>
                  <o:lock v:ext="edit" aspectratio="f"/>
                </v:shape>
                <v:shape id="文本框 49" o:spid="_x0000_s1026" o:spt="202" type="#_x0000_t202" style="position:absolute;left:204353;top:1669577;height:2061210;width:557530;" filled="f" stroked="f" coordsize="21600,21600" o:gfxdata="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KoOG/&#10;AAAA2wAAAA8AAAAAAAAAAQAgAAAAIgAAAGRycy9kb3ducmV2LnhtbFBLAQIUABQAAAAIAIdO4kAz&#10;LwWeOwAAADkAAAAQAAAAAAAAAAEAIAAAAA4BAABkcnMvc2hhcGV4bWwueG1sUEsFBgAAAAAGAAYA&#10;WwEAALgDAAAAAA==&#10;">
                  <v:fill on="f" focussize="0,0"/>
                  <v:stroke on="f"/>
                  <v:imagedata o:title=""/>
                  <o:lock v:ext="edit" aspectratio="f"/>
                  <v:textbox style="layout-flow:vertical-ideographic;">
                    <w:txbxContent>
                      <w:p w14:paraId="7A1F977F">
                        <w:pPr>
                          <w:rPr>
                            <w:rFonts w:ascii="仿宋" w:hAnsi="仿宋" w:eastAsia="仿宋"/>
                            <w:color w:val="000000"/>
                            <w:kern w:val="24"/>
                            <w:szCs w:val="21"/>
                          </w:rPr>
                        </w:pPr>
                        <w:r>
                          <w:rPr>
                            <w:rFonts w:hint="eastAsia" w:ascii="仿宋" w:hAnsi="仿宋" w:eastAsia="仿宋"/>
                            <w:color w:val="000000"/>
                            <w:kern w:val="24"/>
                            <w:szCs w:val="21"/>
                          </w:rPr>
                          <w:t>企业二氧化碳排放量</w:t>
                        </w:r>
                      </w:p>
                    </w:txbxContent>
                  </v:textbox>
                </v:shape>
                <v:shape id="文本框 50" o:spid="_x0000_s1026" o:spt="202" type="#_x0000_t202" style="position:absolute;left:2156539;top:3857832;height:466090;width:4006850;" filled="f" stroked="f" coordsize="21600,21600" o:gfxdata="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XPH3e5AAAA2w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1FEEA65A">
                        <w:pPr>
                          <w:rPr>
                            <w:rFonts w:ascii="仿宋" w:hAnsi="仿宋" w:eastAsia="仿宋"/>
                            <w:color w:val="000000"/>
                            <w:kern w:val="24"/>
                            <w:szCs w:val="21"/>
                          </w:rPr>
                        </w:pPr>
                        <w:r>
                          <w:rPr>
                            <w:rFonts w:hint="eastAsia" w:ascii="仿宋" w:hAnsi="仿宋" w:eastAsia="仿宋"/>
                            <w:color w:val="000000"/>
                            <w:kern w:val="24"/>
                            <w:szCs w:val="21"/>
                          </w:rPr>
                          <w:t>年份</w:t>
                        </w:r>
                      </w:p>
                    </w:txbxContent>
                  </v:textbox>
                </v:shape>
                <v:shape id="文本框 53" o:spid="_x0000_s1026" o:spt="202" type="#_x0000_t202" style="position:absolute;left:762445;top:3422797;height:466090;width:1275080;" filled="f" stroked="f" coordsize="21600,21600" o:gfxdata="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O67L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62B0B65">
                        <w:pPr>
                          <w:rPr>
                            <w:rFonts w:ascii="仿宋" w:hAnsi="仿宋" w:eastAsia="仿宋"/>
                            <w:b/>
                            <w:bCs/>
                            <w:color w:val="000000"/>
                            <w:kern w:val="24"/>
                            <w:szCs w:val="21"/>
                          </w:rPr>
                        </w:pPr>
                        <w:r>
                          <w:rPr>
                            <w:rFonts w:hint="eastAsia" w:ascii="仿宋" w:hAnsi="仿宋" w:eastAsia="仿宋"/>
                            <w:b/>
                            <w:bCs/>
                            <w:color w:val="000000"/>
                            <w:kern w:val="24"/>
                            <w:szCs w:val="21"/>
                          </w:rPr>
                          <w:t>①排放峰值年</w:t>
                        </w:r>
                      </w:p>
                    </w:txbxContent>
                  </v:textbox>
                </v:shape>
                <v:shape id="文本框 54" o:spid="_x0000_s1026" o:spt="202" type="#_x0000_t202" style="position:absolute;left:756829;top:185584;height:466090;width:1275080;" filled="f" stroked="f" coordsize="21600,21600" o:gfxdata="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mCFrLgAAADbAAAA&#10;DwAAAAAAAAABACAAAAAiAAAAZHJzL2Rvd25yZXYueG1sUEsBAhQAFAAAAAgAh07iQDMvBZ47AAAA&#10;OQAAABAAAAAAAAAAAQAgAAAABwEAAGRycy9zaGFwZXhtbC54bWxQSwUGAAAAAAYABgBbAQAAsQMA&#10;AAAA&#10;">
                  <v:fill on="f" focussize="0,0"/>
                  <v:stroke on="f"/>
                  <v:imagedata o:title=""/>
                  <o:lock v:ext="edit" aspectratio="f"/>
                  <v:textbox>
                    <w:txbxContent>
                      <w:p w14:paraId="46C3238F">
                        <w:pPr>
                          <w:rPr>
                            <w:rFonts w:ascii="仿宋" w:hAnsi="仿宋" w:eastAsia="仿宋"/>
                            <w:b/>
                            <w:bCs/>
                            <w:color w:val="000000"/>
                            <w:kern w:val="24"/>
                            <w:szCs w:val="21"/>
                          </w:rPr>
                        </w:pPr>
                        <w:r>
                          <w:rPr>
                            <w:rFonts w:hint="eastAsia" w:ascii="仿宋" w:hAnsi="仿宋" w:eastAsia="仿宋"/>
                            <w:b/>
                            <w:bCs/>
                            <w:color w:val="000000"/>
                            <w:kern w:val="24"/>
                            <w:szCs w:val="21"/>
                          </w:rPr>
                          <w:t>②达峰峰值</w:t>
                        </w:r>
                      </w:p>
                    </w:txbxContent>
                  </v:textbox>
                </v:shape>
                <v:shape id="文本框 73" o:spid="_x0000_s1026" o:spt="202" type="#_x0000_t202" style="position:absolute;left:934156;top:2183719;height:466090;width:1275080;" filled="f" stroked="f" coordsize="21600,21600" o:gfxdata="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SwgN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F4FCB17">
                        <w:pPr>
                          <w:rPr>
                            <w:rFonts w:ascii="仿宋" w:hAnsi="仿宋" w:eastAsia="仿宋"/>
                            <w:b/>
                            <w:bCs/>
                            <w:color w:val="000000"/>
                            <w:kern w:val="24"/>
                            <w:szCs w:val="21"/>
                          </w:rPr>
                        </w:pPr>
                        <w:r>
                          <w:rPr>
                            <w:rFonts w:hint="eastAsia" w:ascii="仿宋" w:hAnsi="仿宋" w:eastAsia="仿宋"/>
                            <w:b/>
                            <w:bCs/>
                            <w:color w:val="000000"/>
                            <w:kern w:val="24"/>
                            <w:szCs w:val="21"/>
                          </w:rPr>
                          <w:t>③控制措施</w:t>
                        </w:r>
                      </w:p>
                    </w:txbxContent>
                  </v:textbox>
                </v:shape>
                <v:shape id="文本框 74" o:spid="_x0000_s1026" o:spt="202" type="#_x0000_t202" style="position:absolute;left:784029;top:2772881;height:466090;width:1275080;" filled="f" stroked="f" coordsize="21600,21600" o:gfxdata="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6+QL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58FD0173">
                        <w:pPr>
                          <w:rPr>
                            <w:rFonts w:ascii="仿宋" w:hAnsi="仿宋" w:eastAsia="仿宋"/>
                            <w:b/>
                            <w:bCs/>
                            <w:color w:val="000000"/>
                            <w:kern w:val="24"/>
                            <w:szCs w:val="21"/>
                          </w:rPr>
                        </w:pPr>
                        <w:r>
                          <w:rPr>
                            <w:rFonts w:hint="eastAsia" w:ascii="仿宋" w:hAnsi="仿宋" w:eastAsia="仿宋"/>
                            <w:b/>
                            <w:bCs/>
                            <w:color w:val="000000"/>
                            <w:kern w:val="24"/>
                            <w:szCs w:val="21"/>
                          </w:rPr>
                          <w:t>④保障措施</w:t>
                        </w:r>
                      </w:p>
                    </w:txbxContent>
                  </v:textbox>
                </v:shape>
                <v:shape id="直接箭头连接符 639589114" o:spid="_x0000_s1026" o:spt="32" type="#_x0000_t32" style="position:absolute;left:740536;top:514614;flip:x;height:483657;width:333135;" filled="f" stroked="t" coordsize="21600,21600" o:gfxdata="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uDHR74A&#10;AADbAAAADwAAAAAAAAABACAAAAAiAAAAZHJzL2Rvd25yZXYueG1sUEsBAhQAFAAAAAgAh07iQDMv&#10;BZ47AAAAOQAAABAAAAAAAAAAAQAgAAAADQEAAGRycy9zaGFwZXhtbC54bWxQSwUGAAAAAAYABgBb&#10;AQAAtwMAAAAA&#10;">
                  <v:fill on="f" focussize="0,0"/>
                  <v:stroke weight="1pt" color="#156082" miterlimit="8" joinstyle="miter" endarrow="block"/>
                  <v:imagedata o:title=""/>
                  <o:lock v:ext="edit" aspectratio="f"/>
                </v:shape>
                <v:shape id="文本框 82" o:spid="_x0000_s1026" o:spt="202" type="#_x0000_t202" style="position:absolute;left:1439039;top:3850285;height:466090;width:1896745;" filled="f" stroked="f" coordsize="21600,21600" o:gfxdata="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VuDr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7A676EB7">
                        <w:pPr>
                          <w:rPr>
                            <w:rFonts w:ascii="仿宋" w:hAnsi="仿宋" w:eastAsia="仿宋"/>
                            <w:b/>
                            <w:bCs/>
                            <w:color w:val="000000"/>
                            <w:kern w:val="24"/>
                            <w:szCs w:val="21"/>
                          </w:rPr>
                        </w:pPr>
                        <w:r>
                          <w:rPr>
                            <w:rFonts w:hint="eastAsia" w:ascii="仿宋" w:hAnsi="仿宋" w:eastAsia="仿宋"/>
                            <w:b/>
                            <w:bCs/>
                            <w:color w:val="000000"/>
                            <w:kern w:val="24"/>
                            <w:szCs w:val="21"/>
                          </w:rPr>
                          <w:t>碳达峰</w:t>
                        </w:r>
                      </w:p>
                    </w:txbxContent>
                  </v:textbox>
                </v:shape>
                <v:shape id="文本框 83" o:spid="_x0000_s1026" o:spt="202" type="#_x0000_t202" style="position:absolute;left:2633826;top:1362220;height:466090;width:1896745;" filled="f" stroked="f" coordsize="21600,21600" o:gfxdata="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yY0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2A240048">
                        <w:pPr>
                          <w:rPr>
                            <w:rFonts w:ascii="仿宋" w:hAnsi="仿宋" w:eastAsia="仿宋"/>
                            <w:b/>
                            <w:bCs/>
                            <w:color w:val="000000"/>
                            <w:kern w:val="24"/>
                            <w:szCs w:val="21"/>
                          </w:rPr>
                        </w:pPr>
                        <w:r>
                          <w:rPr>
                            <w:rFonts w:hint="eastAsia" w:ascii="仿宋" w:hAnsi="仿宋" w:eastAsia="仿宋"/>
                            <w:b/>
                            <w:bCs/>
                            <w:color w:val="000000"/>
                            <w:kern w:val="24"/>
                            <w:szCs w:val="21"/>
                          </w:rPr>
                          <w:t>支撑</w:t>
                        </w:r>
                      </w:p>
                    </w:txbxContent>
                  </v:textbox>
                </v:shape>
                <v:shape id="直接箭头连接符 639589117" o:spid="_x0000_s1026" o:spt="32" type="#_x0000_t32" style="position:absolute;left:1571757;top:1079027;flip:y;height:1104797;width:1465031;" filled="f" stroked="t" coordsize="21600,21600" o:gfxdata="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ZVQDu8AAAA&#10;2wAAAA8AAAAAAAAAAQAgAAAAIgAAAGRycy9kb3ducmV2LnhtbFBLAQIUABQAAAAIAIdO4kAzLwWe&#10;OwAAADkAAAAQAAAAAAAAAAEAIAAAAAsBAABkcnMvc2hhcGV4bWwueG1sUEsFBgAAAAAGAAYAWwEA&#10;ALUDAAAAAA==&#10;">
                  <v:fill on="f" focussize="0,0"/>
                  <v:stroke weight="0.5pt" color="#156082" miterlimit="8" joinstyle="miter" dashstyle="longDashDot" endarrow="block"/>
                  <v:imagedata o:title=""/>
                  <o:lock v:ext="edit" aspectratio="f"/>
                </v:shape>
                <v:shape id="直接箭头连接符 639589118" o:spid="_x0000_s1026" o:spt="32" type="#_x0000_t32" style="position:absolute;left:370268;top:1290658;flip:x y;height:849799;width:764261;" filled="f" stroked="t" coordsize="21600,21600" o:gfxdata="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scWfa/&#10;AAAA2wAAAA8AAAAAAAAAAQAgAAAAIgAAAGRycy9kb3ducmV2LnhtbFBLAQIUABQAAAAIAIdO4kAz&#10;LwWeOwAAADkAAAAQAAAAAAAAAAEAIAAAAA4BAABkcnMvc2hhcGV4bWwueG1sUEsFBgAAAAAGAAYA&#10;WwEAALgDAAAAAA==&#10;">
                  <v:fill on="f" focussize="0,0"/>
                  <v:stroke weight="0.5pt" color="#156082" miterlimit="8" joinstyle="miter" dashstyle="longDashDot" endarrow="block"/>
                  <v:imagedata o:title=""/>
                  <o:lock v:ext="edit" aspectratio="f"/>
                </v:shape>
                <v:shape id="直接箭头连接符 639589119" o:spid="_x0000_s1026" o:spt="32" type="#_x0000_t32" style="position:absolute;left:1571757;top:2491601;height:715917;width:732515;" filled="f" stroked="t" coordsize="21600,21600" o:gfxdata="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XXtEvQAA&#10;ANsAAAAPAAAAAAAAAAEAIAAAACIAAABkcnMvZG93bnJldi54bWxQSwECFAAUAAAACACHTuJAMy8F&#10;njsAAAA5AAAAEAAAAAAAAAABACAAAAAMAQAAZHJzL3NoYXBleG1sLnhtbFBLBQYAAAAABgAGAFsB&#10;AAC2AwAAAAA=&#10;">
                  <v:fill on="f" focussize="0,0"/>
                  <v:stroke weight="0.5pt" color="#156082" miterlimit="8" joinstyle="miter" dashstyle="longDashDot" endarrow="block"/>
                  <v:imagedata o:title=""/>
                  <o:lock v:ext="edit" aspectratio="f"/>
                </v:shape>
                <v:shape id="文本框 93" o:spid="_x0000_s1026" o:spt="202" type="#_x0000_t202" style="position:absolute;left:1755161;top:2460705;height:466090;width:1896745;" filled="f" stroked="f" coordsize="21600,21600" o:gfxdata="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iwx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4D5C526C">
                        <w:pPr>
                          <w:rPr>
                            <w:rFonts w:ascii="仿宋" w:hAnsi="仿宋" w:eastAsia="仿宋"/>
                            <w:b/>
                            <w:bCs/>
                            <w:color w:val="000000"/>
                            <w:kern w:val="24"/>
                            <w:szCs w:val="21"/>
                          </w:rPr>
                        </w:pPr>
                        <w:r>
                          <w:rPr>
                            <w:rFonts w:hint="eastAsia" w:ascii="仿宋" w:hAnsi="仿宋" w:eastAsia="仿宋"/>
                            <w:b/>
                            <w:bCs/>
                            <w:color w:val="000000"/>
                            <w:kern w:val="24"/>
                            <w:szCs w:val="21"/>
                          </w:rPr>
                          <w:t>支撑</w:t>
                        </w:r>
                      </w:p>
                    </w:txbxContent>
                  </v:textbox>
                </v:shape>
                <v:shape id="文本框 94" o:spid="_x0000_s1026" o:spt="202" type="#_x0000_t202" style="position:absolute;left:1008365;top:1549603;height:466090;width:1896745;" filled="f" stroked="f" coordsize="21600,21600" o:gfxdata="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hht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3469484E">
                        <w:pPr>
                          <w:rPr>
                            <w:rFonts w:ascii="仿宋" w:hAnsi="仿宋" w:eastAsia="仿宋"/>
                            <w:b/>
                            <w:bCs/>
                            <w:color w:val="000000"/>
                            <w:kern w:val="24"/>
                            <w:szCs w:val="21"/>
                          </w:rPr>
                        </w:pPr>
                        <w:r>
                          <w:rPr>
                            <w:rFonts w:hint="eastAsia" w:ascii="仿宋" w:hAnsi="仿宋" w:eastAsia="仿宋"/>
                            <w:b/>
                            <w:bCs/>
                            <w:color w:val="000000"/>
                            <w:kern w:val="24"/>
                            <w:szCs w:val="21"/>
                          </w:rPr>
                          <w:t>支撑</w:t>
                        </w:r>
                      </w:p>
                    </w:txbxContent>
                  </v:textbox>
                </v:shape>
                <v:shape id="直接箭头连接符 66" o:spid="_x0000_s1026" o:spt="32" type="#_x0000_t32" style="position:absolute;left:1421623;top:2460823;flip:x y;height:312191;width:1;" filled="f" stroked="t" coordsize="21600,21600" o:gfxdata="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PZWQvQAA&#10;ANwAAAAPAAAAAAAAAAEAIAAAACIAAABkcnMvZG93bnJldi54bWxQSwECFAAUAAAACACHTuJAMy8F&#10;njsAAAA5AAAAEAAAAAAAAAABACAAAAAMAQAAZHJzL3NoYXBleG1sLnhtbFBLBQYAAAAABgAGAFsB&#10;AAC2AwAAAAA=&#10;">
                  <v:fill on="f" focussize="0,0"/>
                  <v:stroke weight="0.5pt" color="#156082" miterlimit="8" joinstyle="miter" dashstyle="longDashDot" endarrow="block"/>
                  <v:imagedata o:title=""/>
                  <o:lock v:ext="edit" aspectratio="f"/>
                </v:shape>
                <v:shape id="文本框 97" o:spid="_x0000_s1026" o:spt="202" type="#_x0000_t202" style="position:absolute;left:674781;top:2039650;height:1104139;width:536575;" filled="f" stroked="f" coordsize="21600,21600" o:gfxdata="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kCOB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4222029">
                        <w:pPr>
                          <w:rPr>
                            <w:rFonts w:ascii="仿宋" w:hAnsi="仿宋" w:eastAsia="仿宋"/>
                            <w:b/>
                            <w:bCs/>
                            <w:color w:val="000000"/>
                            <w:kern w:val="24"/>
                            <w:szCs w:val="21"/>
                          </w:rPr>
                        </w:pPr>
                        <w:r>
                          <w:rPr>
                            <w:rFonts w:hint="eastAsia" w:ascii="仿宋" w:hAnsi="仿宋" w:eastAsia="仿宋"/>
                            <w:b/>
                            <w:bCs/>
                            <w:color w:val="000000"/>
                            <w:kern w:val="24"/>
                            <w:szCs w:val="21"/>
                          </w:rPr>
                          <w:t>保障</w:t>
                        </w:r>
                      </w:p>
                    </w:txbxContent>
                  </v:textbox>
                </v:shape>
                <v:shape id="直接箭头连接符 68" o:spid="_x0000_s1026" o:spt="32" type="#_x0000_t32" style="position:absolute;left:1798495;top:3593938;height:138500;width:201544;" filled="f" stroked="t" coordsize="21600,21600" o:gfxdata="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KxRrsAAADc&#10;AAAADwAAAAAAAAABACAAAAAiAAAAZHJzL2Rvd25yZXYueG1sUEsBAhQAFAAAAAgAh07iQDMvBZ47&#10;AAAAOQAAABAAAAAAAAAAAQAgAAAACgEAAGRycy9zaGFwZXhtbC54bWxQSwUGAAAAAAYABgBbAQAA&#10;tAMAAAAA&#10;">
                  <v:fill on="f" focussize="0,0"/>
                  <v:stroke weight="1.5pt" color="#156082" miterlimit="8" joinstyle="miter" endarrow="block"/>
                  <v:imagedata o:title=""/>
                  <o:lock v:ext="edit" aspectratio="f"/>
                </v:shape>
                <v:line id="直接连接符 69" o:spid="_x0000_s1026" o:spt="20" style="position:absolute;left:5293810;top:72348;height:3817559;width:0;" filled="f" stroked="t" coordsize="21600,21600" o:gfxdata="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8FCVq8AAAA&#10;3AAAAA8AAAAAAAAAAQAgAAAAIgAAAGRycy9kb3ducmV2LnhtbFBLAQIUABQAAAAIAIdO4kAzLwWe&#10;OwAAADkAAAAQAAAAAAAAAAEAIAAAAAsBAABkcnMvc2hhcGV4bWwueG1sUEsFBgAAAAAGAAYAWwEA&#10;ALUDAAAAAA==&#10;">
                  <v:fill on="f" focussize="0,0"/>
                  <v:stroke weight="1pt" color="#000000" miterlimit="8" joinstyle="miter"/>
                  <v:imagedata o:title=""/>
                  <o:lock v:ext="edit" aspectratio="f"/>
                </v:line>
                <v:line id="直接连接符 70" o:spid="_x0000_s1026" o:spt="20" style="position:absolute;left:696053;top:72348;height:0;width:4597757;" filled="f" stroked="t" coordsize="21600,21600" o:gfxdata="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SazBvQAA&#10;ANwAAAAPAAAAAAAAAAEAIAAAACIAAABkcnMvZG93bnJldi54bWxQSwECFAAUAAAACACHTuJAMy8F&#10;njsAAAA5AAAAEAAAAAAAAAABACAAAAAMAQAAZHJzL3NoYXBleG1sLnhtbFBLBQYAAAAABgAGAFsB&#10;AAC2AwAAAAA=&#10;">
                  <v:fill on="f" focussize="0,0"/>
                  <v:stroke weight="1pt" color="#000000" miterlimit="8" joinstyle="miter"/>
                  <v:imagedata o:title=""/>
                  <o:lock v:ext="edit" aspectratio="f"/>
                </v:line>
                <v:shape id="直接箭头连接符 71" o:spid="_x0000_s1026" o:spt="32" type="#_x0000_t32" style="position:absolute;left:3076605;top:1311852;flip:x;height:0;width:334851;" filled="f" stroked="t" coordsize="21600,21600" o:gfxdata="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2/QKiLgAAADcAAAA&#10;DwAAAAAAAAABACAAAAAiAAAAZHJzL2Rvd25yZXYueG1sUEsBAhQAFAAAAAgAh07iQDMvBZ47AAAA&#10;OQAAABAAAAAAAAAAAQAgAAAABwEAAGRycy9zaGFwZXhtbC54bWxQSwUGAAAAAAYABgBbAQAAsQMA&#10;AAAA&#10;">
                  <v:fill on="f" focussize="0,0"/>
                  <v:stroke weight="1.5pt" color="#000000" miterlimit="8" joinstyle="miter" endarrow="block"/>
                  <v:imagedata o:title=""/>
                  <o:lock v:ext="edit" aspectratio="f"/>
                </v:shape>
                <v:shape id="文本框 114" o:spid="_x0000_s1026" o:spt="202" type="#_x0000_t202" style="position:absolute;left:3023720;top:747651;height:1017891;width:740410;" filled="f" stroked="f" coordsize="21600,21600" o:gfxdata="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ngBm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14:paraId="5BAE1086">
                        <w:pPr>
                          <w:rPr>
                            <w:rFonts w:ascii="仿宋" w:hAnsi="仿宋" w:eastAsia="仿宋"/>
                            <w:b/>
                            <w:bCs/>
                            <w:color w:val="000000"/>
                            <w:kern w:val="24"/>
                            <w:szCs w:val="21"/>
                          </w:rPr>
                        </w:pPr>
                        <w:r>
                          <w:rPr>
                            <w:rFonts w:hint="eastAsia" w:ascii="仿宋" w:hAnsi="仿宋" w:eastAsia="仿宋"/>
                            <w:b/>
                            <w:bCs/>
                            <w:color w:val="000000"/>
                            <w:kern w:val="24"/>
                            <w:szCs w:val="21"/>
                          </w:rPr>
                          <w:t>斜率</w:t>
                        </w:r>
                      </w:p>
                      <w:p w14:paraId="06031AE4">
                        <w:pPr>
                          <w:rPr>
                            <w:rFonts w:ascii="仿宋" w:hAnsi="仿宋" w:eastAsia="仿宋"/>
                            <w:b/>
                            <w:bCs/>
                            <w:color w:val="000000"/>
                            <w:kern w:val="24"/>
                            <w:szCs w:val="21"/>
                          </w:rPr>
                        </w:pPr>
                        <w:r>
                          <w:rPr>
                            <w:rFonts w:hint="eastAsia" w:ascii="仿宋" w:hAnsi="仿宋" w:eastAsia="仿宋"/>
                            <w:b/>
                            <w:bCs/>
                            <w:color w:val="000000"/>
                            <w:kern w:val="24"/>
                            <w:szCs w:val="21"/>
                          </w:rPr>
                          <w:t>放缓</w:t>
                        </w:r>
                      </w:p>
                    </w:txbxContent>
                  </v:textbox>
                </v:shape>
                <v:shape id="文本框 115" o:spid="_x0000_s1026" o:spt="202" type="#_x0000_t202" style="position:absolute;left:4615896;top:3560668;height:466090;width:1896745;" filled="f" stroked="f" coordsize="21600,21600" o:gfxdata="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eBRr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881D6CD">
                        <w:pPr>
                          <w:rPr>
                            <w:rFonts w:ascii="仿宋" w:hAnsi="仿宋" w:eastAsia="仿宋"/>
                            <w:b/>
                            <w:bCs/>
                            <w:color w:val="000000"/>
                            <w:kern w:val="24"/>
                            <w:szCs w:val="21"/>
                          </w:rPr>
                        </w:pPr>
                        <w:r>
                          <w:rPr>
                            <w:rFonts w:hint="eastAsia" w:ascii="仿宋" w:hAnsi="仿宋" w:eastAsia="仿宋"/>
                            <w:b/>
                            <w:bCs/>
                            <w:color w:val="000000"/>
                            <w:kern w:val="24"/>
                            <w:szCs w:val="21"/>
                          </w:rPr>
                          <w:t>碳中和</w:t>
                        </w:r>
                      </w:p>
                    </w:txbxContent>
                  </v:textbox>
                </v:shape>
                <v:shape id="文本框 116" o:spid="_x0000_s1026" o:spt="202" type="#_x0000_t202" style="position:absolute;left:3980022;top:857436;height:970571;width:1657350;" filled="f" stroked="f" coordsize="21600,21600" o:gfxdata="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zSx8LsAAADc&#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0826C8FA">
                        <w:pPr>
                          <w:rPr>
                            <w:rFonts w:ascii="仿宋" w:hAnsi="仿宋" w:eastAsia="仿宋"/>
                            <w:b/>
                            <w:bCs/>
                            <w:color w:val="000000"/>
                            <w:kern w:val="24"/>
                            <w:szCs w:val="21"/>
                          </w:rPr>
                        </w:pPr>
                        <w:r>
                          <w:rPr>
                            <w:rFonts w:hint="eastAsia" w:ascii="仿宋" w:hAnsi="仿宋" w:eastAsia="仿宋"/>
                            <w:b/>
                            <w:bCs/>
                            <w:color w:val="000000"/>
                            <w:kern w:val="24"/>
                            <w:szCs w:val="21"/>
                          </w:rPr>
                          <w:t>措施政策</w:t>
                        </w:r>
                      </w:p>
                      <w:p w14:paraId="3B0BD5F3">
                        <w:pPr>
                          <w:rPr>
                            <w:rFonts w:ascii="仿宋" w:hAnsi="仿宋" w:eastAsia="仿宋"/>
                            <w:b/>
                            <w:bCs/>
                            <w:color w:val="000000"/>
                            <w:kern w:val="24"/>
                            <w:szCs w:val="21"/>
                          </w:rPr>
                        </w:pPr>
                        <w:r>
                          <w:rPr>
                            <w:rFonts w:hint="eastAsia" w:ascii="仿宋" w:hAnsi="仿宋" w:eastAsia="仿宋"/>
                            <w:b/>
                            <w:bCs/>
                            <w:color w:val="000000"/>
                            <w:kern w:val="24"/>
                            <w:szCs w:val="21"/>
                          </w:rPr>
                          <w:t>贡献减排量</w:t>
                        </w:r>
                      </w:p>
                    </w:txbxContent>
                  </v:textbox>
                </v:shape>
                <v:shape id="直接箭头连接符 75" o:spid="_x0000_s1026" o:spt="32" type="#_x0000_t32" style="position:absolute;left:3764445;top:1353896;flip:x;height:236106;width:270985;" filled="f" stroked="t" coordsize="21600,21600" o:gfxdata="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Iobq8AAAA&#10;3AAAAA8AAAAAAAAAAQAgAAAAIgAAAGRycy9kb3ducmV2LnhtbFBLAQIUABQAAAAIAIdO4kAzLwWe&#10;OwAAADkAAAAQAAAAAAAAAAEAIAAAAAsBAABkcnMvc2hhcGV4bWwueG1sUEsFBgAAAAAGAAYAWwEA&#10;ALUDAAAAAA==&#10;">
                  <v:fill on="f" focussize="0,0"/>
                  <v:stroke weight="1.5pt" color="#000000" miterlimit="8" joinstyle="miter" endarrow="block"/>
                  <v:imagedata o:title=""/>
                  <o:lock v:ext="edit" aspectratio="f"/>
                </v:shape>
                <w10:wrap type="none"/>
                <w10:anchorlock/>
              </v:group>
            </w:pict>
          </mc:Fallback>
        </mc:AlternateContent>
      </w:r>
    </w:p>
    <w:p w14:paraId="72CD6876">
      <w:pPr>
        <w:jc w:val="center"/>
        <w:rPr>
          <w:rFonts w:ascii="Times New Roman Regular" w:hAnsi="Times New Roman Regular" w:cs="Times New Roman Regular"/>
          <w:color w:val="000000" w:themeColor="text1"/>
          <w:sz w:val="20"/>
          <w:szCs w:val="21"/>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图</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begin"/>
      </w:r>
      <w:r>
        <w:rPr>
          <w:rFonts w:ascii="Times New Roman Regular" w:hAnsi="Times New Roman Regular" w:eastAsia="黑体" w:cs="Times New Roman Regular"/>
          <w:color w:val="000000" w:themeColor="text1"/>
          <w:sz w:val="20"/>
          <w:szCs w:val="20"/>
          <w14:textFill>
            <w14:solidFill>
              <w14:schemeClr w14:val="tx1"/>
            </w14:solidFill>
          </w14:textFill>
        </w:rPr>
        <w:instrText xml:space="preserve"> SEQ 图2- \* ARABIC </w:instrTex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separate"/>
      </w:r>
      <w:r>
        <w:rPr>
          <w:rFonts w:ascii="Times New Roman Regular" w:hAnsi="Times New Roman Regular" w:eastAsia="黑体" w:cs="Times New Roman Regular"/>
          <w:color w:val="000000" w:themeColor="text1"/>
          <w:sz w:val="20"/>
          <w:szCs w:val="20"/>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fldChar w:fldCharType="end"/>
      </w:r>
      <w:r>
        <w:rPr>
          <w:rFonts w:ascii="Times New Roman Regular" w:hAnsi="Times New Roman Regular" w:eastAsia="黑体" w:cs="Times New Roman Regular"/>
          <w:color w:val="000000" w:themeColor="text1"/>
          <w:sz w:val="20"/>
          <w:szCs w:val="21"/>
          <w14:textFill>
            <w14:solidFill>
              <w14:schemeClr w14:val="tx1"/>
            </w14:solidFill>
          </w14:textFill>
        </w:rPr>
        <w:t>情景分析研究工具图解</w:t>
      </w:r>
    </w:p>
    <w:p w14:paraId="14651C59">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一是根据中化能源历年能源和排放数据，结合企业生产情况对现有存量装置的碳排放及能耗数据进行预测；以最新数据年份作为基准年进行情景设置，基准年数据是情景设置的基础，是数据变化预测的出发点。</w:t>
      </w:r>
    </w:p>
    <w:p w14:paraId="0AC7E952">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二是以基准年份相应活动水平为基础，根据相关新增项目能评报告及规划文件，拆解新增项目中碳排放相关活动水平，</w:t>
      </w:r>
      <w:r>
        <w:rPr>
          <w:rFonts w:ascii="Times New Roman Regular" w:hAnsi="Times New Roman Regular" w:eastAsia="仿宋_GB2312" w:cs="Times New Roman Regular"/>
          <w:color w:val="000000" w:themeColor="text1"/>
          <w:sz w:val="28"/>
          <w:szCs w:val="28"/>
          <w:lang w:eastAsia="zh"/>
          <w14:textFill>
            <w14:solidFill>
              <w14:schemeClr w14:val="tx1"/>
            </w14:solidFill>
          </w14:textFill>
        </w:rPr>
        <w:t>并</w:t>
      </w:r>
      <w:r>
        <w:rPr>
          <w:rFonts w:ascii="Times New Roman Regular" w:hAnsi="Times New Roman Regular" w:eastAsia="仿宋_GB2312" w:cs="Times New Roman Regular"/>
          <w:color w:val="000000" w:themeColor="text1"/>
          <w:sz w:val="28"/>
          <w:szCs w:val="28"/>
          <w14:textFill>
            <w14:solidFill>
              <w14:schemeClr w14:val="tx1"/>
            </w14:solidFill>
          </w14:textFill>
        </w:rPr>
        <w:t>以此作为增量逐项逐年调整；获取企业实施的各类节能增效、碳管理、新能源、零碳、负碳技术减排效果，以此为减量，逐年逐项调整。</w:t>
      </w:r>
    </w:p>
    <w:p w14:paraId="59EBC16D">
      <w:pPr>
        <w:widowControl/>
        <w:spacing w:line="56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三是根据以上步骤，得到企业按照目前规划自然达峰的情景，并识别该情景与国资委、上级集团的差距，包括碳达峰年份、峰值、能耗强度及碳排放强度等，并据此提出碳达峰目标、路径以及保障措施。</w:t>
      </w:r>
    </w:p>
    <w:p w14:paraId="06A8249A">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情景分析是一种在复杂系统决策与规划中广泛应用的科学工具。其基本思想是通过构建若干不同的发展假设情境，综合考虑经济、技术、政策等多重因素的变化路径，对未来某一关键指标（如碳排放、能耗、产值等）的走势和影响进行定量与定性分析。</w:t>
      </w:r>
    </w:p>
    <w:p w14:paraId="2C469C18">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在能源与低碳转型领域，情景分析有助于直观展示不同政策、技术、管理措施组合下企业或行业未来发展可能性，有效识别风险与机遇，支撑科学决策和目标管理。</w:t>
      </w:r>
    </w:p>
    <w:p w14:paraId="3E2B3F55">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采用情景分析工具，有以下三大原因：</w:t>
      </w:r>
    </w:p>
    <w:p w14:paraId="2F06B34A">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1.</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增强决策前瞻性与科学性：单一预测难以反映未来的不确定性，而情景分析能系统地将各种可能变化路径纳入决策视野，帮助企业提前识别挑战与窗口期。</w:t>
      </w:r>
    </w:p>
    <w:p w14:paraId="2D86EB68">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便于各方沟通与共识：通过清晰、可量化的情景设定，不同利益相关方（管理层、投资人、政府、客户）可快速理解和比较各方案的优劣，有助于统一目标与行动策略。</w:t>
      </w:r>
    </w:p>
    <w:p w14:paraId="5B3C0C5F">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3.</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ab/>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支撑低碳转型与目标考核：在“双碳”背景下，情景分析为企业设定碳达峰、碳中和路径、识别技术优先级、规划投资节奏提供坚实依据，是现代能源管理的重要方法论。</w:t>
      </w:r>
    </w:p>
    <w:p w14:paraId="48B24BAF">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7</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1</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2</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 xml:space="preserve"> </w:t>
      </w:r>
      <w:r>
        <w:rPr>
          <w:rFonts w:hint="eastAsia" w:ascii="Times New Roman Regular" w:hAnsi="Times New Roman Regular" w:eastAsia="楷体_GB2312" w:cs="Times New Roman Regular"/>
          <w:color w:val="000000" w:themeColor="text1"/>
          <w:kern w:val="0"/>
          <w:sz w:val="28"/>
          <w:szCs w:val="28"/>
          <w:lang w:bidi="ar"/>
          <w14:textFill>
            <w14:solidFill>
              <w14:schemeClr w14:val="tx1"/>
            </w14:solidFill>
          </w14:textFill>
        </w:rPr>
        <w:t>情景分析说明</w:t>
      </w:r>
    </w:p>
    <w:p w14:paraId="429E9623">
      <w:pPr>
        <w:widowControl/>
        <w:spacing w:line="560" w:lineRule="exact"/>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情景设置说明：</w:t>
      </w:r>
    </w:p>
    <w:p w14:paraId="153E61CD">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1.基准情景：假设“十五五”期间所有规划中的存量与增量项目全部按计划投产，不实施任何减排项目。此情景反映的是企业在无减排行动下，随产能扩张带来的碳排放峰值和强度。</w:t>
      </w:r>
    </w:p>
    <w:p w14:paraId="72DDC5E2">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2.情景1（全部项目+创新措施）：假设所有已规划的减排项目全部高质量落地，并补充前沿创新性措施（如CCUS、绿氢等）以确保碳排放强度达到公司或行业领先目标（如1.34吨CO₂/万元）。此情景代表最积极的低碳转型路径，投资需求最大，减排效果最显著。</w:t>
      </w:r>
    </w:p>
    <w:p w14:paraId="1A9E71F1">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3.情景2（全部已规划减排项目）：仅实施目前明确规划的所有节能减排项目，不考虑其他创新措施。此情景代表中等努力情形，反映企业现有项目按预期顺利推进情况下的减排和达峰成效。</w:t>
      </w:r>
    </w:p>
    <w:p w14:paraId="6DFFB333">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4.情景3（打折权重）：基于各项目的技术成熟度和落地可行性，为每个减排项目赋予现实“落地率”权重（如高0.9、中0.7、低0.4），体现实际推进难度和风险，减排效果和投资强度介于前两者之间。</w:t>
      </w:r>
    </w:p>
    <w:p w14:paraId="53EDADD0">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5.情景4（更保守权重）：在情景3基础上，进一步下调所有权重，反映受制于外部环境、市场变化、政策和资金约束的情形，更加接近企业面对各种不确定性时的最保守预期。</w:t>
      </w:r>
    </w:p>
    <w:p w14:paraId="22004FEF">
      <w:pPr>
        <w:widowControl/>
        <w:spacing w:line="560" w:lineRule="exact"/>
        <w:ind w:firstLine="42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1312" behindDoc="0" locked="0" layoutInCell="1" allowOverlap="1">
            <wp:simplePos x="0" y="0"/>
            <wp:positionH relativeFrom="column">
              <wp:posOffset>-64770</wp:posOffset>
            </wp:positionH>
            <wp:positionV relativeFrom="paragraph">
              <wp:posOffset>1515110</wp:posOffset>
            </wp:positionV>
            <wp:extent cx="5364480" cy="2493645"/>
            <wp:effectExtent l="0" t="0" r="7620" b="8255"/>
            <wp:wrapTopAndBottom/>
            <wp:docPr id="112" name="图片 5" descr="2025-2030年中化能源碳排放结构五情景对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 descr="2025-2030年中化能源碳排放结构五情景对比图"/>
                    <pic:cNvPicPr>
                      <a:picLocks noChangeAspect="1"/>
                    </pic:cNvPicPr>
                  </pic:nvPicPr>
                  <pic:blipFill>
                    <a:blip r:embed="rId22"/>
                    <a:stretch>
                      <a:fillRect/>
                    </a:stretch>
                  </pic:blipFill>
                  <pic:spPr>
                    <a:xfrm>
                      <a:off x="0" y="0"/>
                      <a:ext cx="5364480" cy="2493645"/>
                    </a:xfrm>
                    <a:prstGeom prst="rect">
                      <a:avLst/>
                    </a:prstGeom>
                  </pic:spPr>
                </pic:pic>
              </a:graphicData>
            </a:graphic>
          </wp:anchor>
        </w:drawing>
      </w:r>
      <w:r>
        <w:rPr>
          <w:rFonts w:ascii="Times New Roman Regular" w:hAnsi="Times New Roman Regular" w:eastAsia="仿宋_GB2312" w:cs="Times New Roman Regular"/>
          <w:color w:val="000000" w:themeColor="text1"/>
          <w:sz w:val="28"/>
          <w:szCs w:val="28"/>
          <w14:textFill>
            <w14:solidFill>
              <w14:schemeClr w14:val="tx1"/>
            </w14:solidFill>
          </w14:textFill>
        </w:rPr>
        <w:t>6.芳烃延后情景：假定120万吨/年芳烃扩能项目推迟或不在“十五五”期间实施，对基准及所有情景均剔除该项目的产值和碳排放贡献，从而获得更低的峰值和强度。</w:t>
      </w:r>
    </w:p>
    <w:p w14:paraId="7DA2839D">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4DAA7EE6">
      <w:pPr>
        <w:jc w:val="center"/>
        <w:rPr>
          <w:rFonts w:ascii="Times New Roman Regular" w:hAnsi="Times New Roman Regular" w:cs="Times New Roman Regular"/>
          <w:color w:val="000000" w:themeColor="text1"/>
          <w:sz w:val="20"/>
          <w:szCs w:val="21"/>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图</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2“十五五”中化能源碳排放情景对比图</w:t>
      </w:r>
    </w:p>
    <w:p w14:paraId="3CF3F71D">
      <w:pPr>
        <w:widowControl/>
        <w:spacing w:line="560" w:lineRule="exact"/>
        <w:jc w:val="center"/>
        <w:rPr>
          <w:rFonts w:ascii="Times New Roman Regular" w:hAnsi="Times New Roman Regular" w:eastAsia="黑体" w:cs="Times New Roman Regular"/>
          <w:color w:val="000000" w:themeColor="text1"/>
          <w:sz w:val="20"/>
          <w:szCs w:val="20"/>
          <w14:textFill>
            <w14:solidFill>
              <w14:schemeClr w14:val="tx1"/>
            </w14:solidFill>
          </w14:textFill>
        </w:rPr>
      </w:pPr>
    </w:p>
    <w:p w14:paraId="25B73211">
      <w:pPr>
        <w:widowControl/>
        <w:spacing w:line="560" w:lineRule="exact"/>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2336" behindDoc="0" locked="0" layoutInCell="1" allowOverlap="1">
            <wp:simplePos x="0" y="0"/>
            <wp:positionH relativeFrom="column">
              <wp:posOffset>-283210</wp:posOffset>
            </wp:positionH>
            <wp:positionV relativeFrom="paragraph">
              <wp:posOffset>335280</wp:posOffset>
            </wp:positionV>
            <wp:extent cx="5449570" cy="2533015"/>
            <wp:effectExtent l="0" t="0" r="11430" b="6985"/>
            <wp:wrapTopAndBottom/>
            <wp:docPr id="115" name="图片 2" descr="2025-2030年中化能源碳排放结构五情景对比图（芳烃延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 descr="2025-2030年中化能源碳排放结构五情景对比图（芳烃延后）"/>
                    <pic:cNvPicPr>
                      <a:picLocks noChangeAspect="1"/>
                    </pic:cNvPicPr>
                  </pic:nvPicPr>
                  <pic:blipFill>
                    <a:blip r:embed="rId23"/>
                    <a:stretch>
                      <a:fillRect/>
                    </a:stretch>
                  </pic:blipFill>
                  <pic:spPr>
                    <a:xfrm>
                      <a:off x="0" y="0"/>
                      <a:ext cx="5449570" cy="2533015"/>
                    </a:xfrm>
                    <a:prstGeom prst="rect">
                      <a:avLst/>
                    </a:prstGeom>
                  </pic:spPr>
                </pic:pic>
              </a:graphicData>
            </a:graphic>
          </wp:anchor>
        </w:drawing>
      </w:r>
    </w:p>
    <w:p w14:paraId="14518F3E">
      <w:pPr>
        <w:widowControl/>
        <w:spacing w:line="560" w:lineRule="exact"/>
        <w:jc w:val="center"/>
        <w:rPr>
          <w:rFonts w:ascii="Times New Roman Regular" w:hAnsi="Times New Roman Regular" w:cs="Times New Roman Regular"/>
          <w:color w:val="000000" w:themeColor="text1"/>
          <w:sz w:val="20"/>
          <w:szCs w:val="21"/>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图</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3“十五五”中化能源碳排放情景对比图（芳烃延后）</w:t>
      </w:r>
    </w:p>
    <w:p w14:paraId="651951B8">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在政策趋于严及产能利用率下行的双重形势下，建议采用情景4的保守情景，确保企业在不同市场波动和政策风险下具备较高的达标安全边际，避免因目标过于激进而带来被动应对和合规风险。</w:t>
      </w:r>
    </w:p>
    <w:p w14:paraId="41DBAE5E">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低碳转型项目推进应以“高落地率、见效快、结构优化”为导向，谨慎推进投资</w:t>
      </w: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回报</w:t>
      </w: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不明确、落地难度高的创新项目，例如绿氢的经济性拐点预计在2030年前后才能出现，目前缺乏商业驱动力。</w:t>
      </w:r>
    </w:p>
    <w:p w14:paraId="0E252813">
      <w:pPr>
        <w:widowControl/>
        <w:spacing w:line="560" w:lineRule="exact"/>
        <w:ind w:firstLine="560" w:firstLineChars="200"/>
        <w:rPr>
          <w:rFonts w:ascii="Times New Roman Regular" w:hAnsi="Times New Roman Regular" w:eastAsia="仿宋_GB2312" w:cs="Times New Roman Regular"/>
          <w:color w:val="000000" w:themeColor="text1"/>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sz w:val="28"/>
          <w:szCs w:val="28"/>
          <w:lang w:bidi="ar"/>
          <w14:textFill>
            <w14:solidFill>
              <w14:schemeClr w14:val="tx1"/>
            </w14:solidFill>
          </w14:textFill>
        </w:rPr>
        <w:t>综合建议将情景4作为“十五五”期间碳排放与强度管理的主目标情景，以保障年度及中长期达标，实现低碳合规和经营韧性的双重目标，为未来政策变化和市场复苏预留弹性。</w:t>
      </w:r>
    </w:p>
    <w:p w14:paraId="3CAEECC6">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情景4下，2030年碳排放总量为1636万吨，万元产值碳排放强度约为1.58吨CO</w:t>
      </w:r>
      <w:r>
        <w:rPr>
          <w:rFonts w:hint="eastAsia" w:ascii="Times New Roman Regular" w:hAnsi="Times New Roman Regular" w:eastAsia="仿宋_GB2312" w:cs="Times New Roman Regular"/>
          <w:color w:val="000000" w:themeColor="text1"/>
          <w:kern w:val="0"/>
          <w:sz w:val="28"/>
          <w:szCs w:val="28"/>
          <w:vertAlign w:val="subscript"/>
          <w:lang w:bidi="ar"/>
          <w14:textFill>
            <w14:solidFill>
              <w14:schemeClr w14:val="tx1"/>
            </w14:solidFill>
          </w14:textFill>
        </w:rPr>
        <w:t>2</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/万元，综合能耗总量约为653.98万吨标准煤，万元产值能耗强度为0.63吨标准煤/万元。</w:t>
      </w:r>
    </w:p>
    <w:p w14:paraId="7C831C4E">
      <w:pPr>
        <w:widowControl/>
        <w:spacing w:line="600" w:lineRule="exact"/>
        <w:ind w:firstLine="482" w:firstLineChars="200"/>
        <w:rPr>
          <w:rFonts w:ascii="Times New Roman Regular" w:hAnsi="Times New Roman Regular" w:eastAsia="仿宋" w:cs="Times New Roman Regular"/>
          <w:b/>
          <w:bCs/>
          <w:color w:val="000000" w:themeColor="text1"/>
          <w:sz w:val="24"/>
          <w:szCs w:val="20"/>
          <w14:textFill>
            <w14:solidFill>
              <w14:schemeClr w14:val="tx1"/>
            </w14:solidFill>
          </w14:textFill>
        </w:rPr>
      </w:pPr>
    </w:p>
    <w:p w14:paraId="0131EAE2">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74" w:name="_Toc1044646448"/>
      <w:r>
        <w:rPr>
          <w:rFonts w:ascii="Times New Roman Regular" w:hAnsi="Times New Roman Regular" w:eastAsia="黑体" w:cs="Times New Roman Regular"/>
          <w:color w:val="000000" w:themeColor="text1"/>
          <w:sz w:val="28"/>
          <w:szCs w:val="28"/>
          <w:lang w:bidi="ar"/>
          <w14:textFill>
            <w14:solidFill>
              <w14:schemeClr w14:val="tx1"/>
            </w14:solidFill>
          </w14:textFill>
        </w:rPr>
        <w:t>7.</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2</w:t>
      </w:r>
      <w:r>
        <w:rPr>
          <w:rFonts w:ascii="Times New Roman Regular" w:hAnsi="Times New Roman Regular" w:eastAsia="黑体" w:cs="Times New Roman Regular"/>
          <w:color w:val="000000" w:themeColor="text1"/>
          <w:sz w:val="28"/>
          <w:szCs w:val="28"/>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“十五五”低碳发展预测效果（模型结果）</w:t>
      </w:r>
      <w:bookmarkEnd w:id="174"/>
    </w:p>
    <w:p w14:paraId="7AA50FC7">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为科学分析“十五五”期间节能降碳项目和低碳转型对公司排放绩效的影响，本研究基于LEAP模型，设定了基准情景及四种低碳发展情景，结合各项目的落地率、投资需求、技术成熟度和创新能力等参数进行多情景模拟，得到2030年二氧化碳排放总量、排放强度、综合能源消费总量及能耗强度等关键指标预测结果。</w:t>
      </w:r>
    </w:p>
    <w:p w14:paraId="4F739CDD">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表7-1汇总了各情景下的模拟输出结果，体现了不同投资水平、减排措施组合以及落地率设定对公司2030年低碳发展成效的量化影响。</w:t>
      </w:r>
    </w:p>
    <w:p w14:paraId="1B729FAE">
      <w:pPr>
        <w:widowControl/>
        <w:snapToGrid w:val="0"/>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1</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LEAP模型多情景分析结果汇总（2030年预测）</w:t>
      </w:r>
    </w:p>
    <w:p w14:paraId="67555ADF">
      <w:pPr>
        <w:widowControl/>
        <w:snapToGrid w:val="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tbl>
      <w:tblPr>
        <w:tblStyle w:val="17"/>
        <w:tblW w:w="85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195"/>
        <w:gridCol w:w="1188"/>
        <w:gridCol w:w="1195"/>
        <w:gridCol w:w="1174"/>
        <w:gridCol w:w="1196"/>
        <w:gridCol w:w="1174"/>
      </w:tblGrid>
      <w:tr w14:paraId="08E4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391F4000">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w:t>
            </w:r>
          </w:p>
        </w:tc>
        <w:tc>
          <w:tcPr>
            <w:tcW w:w="1195" w:type="dxa"/>
            <w:vAlign w:val="center"/>
          </w:tcPr>
          <w:p w14:paraId="1113E064">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投资额（万元）</w:t>
            </w:r>
          </w:p>
        </w:tc>
        <w:tc>
          <w:tcPr>
            <w:tcW w:w="1188" w:type="dxa"/>
            <w:vAlign w:val="center"/>
          </w:tcPr>
          <w:p w14:paraId="2C44DD90">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2030年减排量（万吨CO₂）</w:t>
            </w:r>
          </w:p>
        </w:tc>
        <w:tc>
          <w:tcPr>
            <w:tcW w:w="1195" w:type="dxa"/>
            <w:vAlign w:val="center"/>
          </w:tcPr>
          <w:p w14:paraId="4CEF22C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2030年碳排放总量（万吨CO₂）</w:t>
            </w:r>
          </w:p>
        </w:tc>
        <w:tc>
          <w:tcPr>
            <w:tcW w:w="1174" w:type="dxa"/>
            <w:vAlign w:val="center"/>
          </w:tcPr>
          <w:p w14:paraId="5E8EE135">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2030年碳排放强度（吨/万元）</w:t>
            </w:r>
          </w:p>
        </w:tc>
        <w:tc>
          <w:tcPr>
            <w:tcW w:w="1196" w:type="dxa"/>
            <w:vAlign w:val="center"/>
          </w:tcPr>
          <w:p w14:paraId="7F7040BC">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综合能源消费总量（万吨标准煤）</w:t>
            </w:r>
          </w:p>
        </w:tc>
        <w:tc>
          <w:tcPr>
            <w:tcW w:w="1174" w:type="dxa"/>
            <w:vAlign w:val="center"/>
          </w:tcPr>
          <w:p w14:paraId="321A7011">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能耗强度（吨标准煤/万元）</w:t>
            </w:r>
          </w:p>
        </w:tc>
      </w:tr>
      <w:tr w14:paraId="456DA6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AAF4F33">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基准情景（无减排）</w:t>
            </w:r>
          </w:p>
        </w:tc>
        <w:tc>
          <w:tcPr>
            <w:tcW w:w="1195" w:type="dxa"/>
            <w:vAlign w:val="center"/>
          </w:tcPr>
          <w:p w14:paraId="0ACD24D5">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1188" w:type="dxa"/>
            <w:vAlign w:val="center"/>
          </w:tcPr>
          <w:p w14:paraId="3AF37E7B">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1195" w:type="dxa"/>
            <w:vAlign w:val="center"/>
          </w:tcPr>
          <w:p w14:paraId="70A8F868">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1727.17</w:t>
            </w:r>
          </w:p>
        </w:tc>
        <w:tc>
          <w:tcPr>
            <w:tcW w:w="1174" w:type="dxa"/>
            <w:vAlign w:val="center"/>
          </w:tcPr>
          <w:p w14:paraId="3A0E7AE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1.66</w:t>
            </w:r>
          </w:p>
        </w:tc>
        <w:tc>
          <w:tcPr>
            <w:tcW w:w="1196" w:type="dxa"/>
            <w:vAlign w:val="center"/>
          </w:tcPr>
          <w:p w14:paraId="5208B06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1358.75</w:t>
            </w:r>
          </w:p>
        </w:tc>
        <w:tc>
          <w:tcPr>
            <w:tcW w:w="1174" w:type="dxa"/>
            <w:vAlign w:val="center"/>
          </w:tcPr>
          <w:p w14:paraId="42AFF4DB">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1.31</w:t>
            </w:r>
          </w:p>
        </w:tc>
      </w:tr>
      <w:tr w14:paraId="4BD309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6CB911BC">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情景1（全部+创新措施）</w:t>
            </w:r>
          </w:p>
        </w:tc>
        <w:tc>
          <w:tcPr>
            <w:tcW w:w="1195" w:type="dxa"/>
            <w:vAlign w:val="center"/>
          </w:tcPr>
          <w:p w14:paraId="08C03DB8">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171,637</w:t>
            </w:r>
          </w:p>
        </w:tc>
        <w:tc>
          <w:tcPr>
            <w:tcW w:w="1188" w:type="dxa"/>
            <w:vAlign w:val="center"/>
          </w:tcPr>
          <w:p w14:paraId="62EED588">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332.92</w:t>
            </w:r>
          </w:p>
        </w:tc>
        <w:tc>
          <w:tcPr>
            <w:tcW w:w="1195" w:type="dxa"/>
            <w:vAlign w:val="center"/>
          </w:tcPr>
          <w:p w14:paraId="30270EF8">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1394.08</w:t>
            </w:r>
          </w:p>
        </w:tc>
        <w:tc>
          <w:tcPr>
            <w:tcW w:w="1174" w:type="dxa"/>
            <w:vAlign w:val="center"/>
          </w:tcPr>
          <w:p w14:paraId="2B231A39">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w:t>
            </w:r>
          </w:p>
        </w:tc>
        <w:tc>
          <w:tcPr>
            <w:tcW w:w="1196" w:type="dxa"/>
            <w:vAlign w:val="center"/>
          </w:tcPr>
          <w:p w14:paraId="3EBFE0EC">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1314.15</w:t>
            </w:r>
          </w:p>
        </w:tc>
        <w:tc>
          <w:tcPr>
            <w:tcW w:w="1174" w:type="dxa"/>
            <w:vAlign w:val="center"/>
          </w:tcPr>
          <w:p w14:paraId="6149384C">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1.27</w:t>
            </w:r>
          </w:p>
        </w:tc>
      </w:tr>
      <w:tr w14:paraId="52534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774A32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情景2（全部已规划减排项目）</w:t>
            </w:r>
          </w:p>
        </w:tc>
        <w:tc>
          <w:tcPr>
            <w:tcW w:w="1195" w:type="dxa"/>
            <w:vAlign w:val="center"/>
          </w:tcPr>
          <w:p w14:paraId="472409D6">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134,637</w:t>
            </w:r>
          </w:p>
        </w:tc>
        <w:tc>
          <w:tcPr>
            <w:tcW w:w="1188" w:type="dxa"/>
            <w:vAlign w:val="center"/>
          </w:tcPr>
          <w:p w14:paraId="631BAE27">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260.01</w:t>
            </w:r>
          </w:p>
        </w:tc>
        <w:tc>
          <w:tcPr>
            <w:tcW w:w="1195" w:type="dxa"/>
            <w:vAlign w:val="center"/>
          </w:tcPr>
          <w:p w14:paraId="05A367D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1466.99</w:t>
            </w:r>
          </w:p>
        </w:tc>
        <w:tc>
          <w:tcPr>
            <w:tcW w:w="1174" w:type="dxa"/>
            <w:vAlign w:val="center"/>
          </w:tcPr>
          <w:p w14:paraId="0591C61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1.41</w:t>
            </w:r>
          </w:p>
        </w:tc>
        <w:tc>
          <w:tcPr>
            <w:tcW w:w="1196" w:type="dxa"/>
            <w:vAlign w:val="center"/>
          </w:tcPr>
          <w:p w14:paraId="6310A52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1319.96</w:t>
            </w:r>
          </w:p>
        </w:tc>
        <w:tc>
          <w:tcPr>
            <w:tcW w:w="1174" w:type="dxa"/>
            <w:vAlign w:val="center"/>
          </w:tcPr>
          <w:p w14:paraId="6E4D2B39">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1.27</w:t>
            </w:r>
          </w:p>
        </w:tc>
      </w:tr>
      <w:tr w14:paraId="68037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4B5157FC">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情景3（权重打折）</w:t>
            </w:r>
          </w:p>
        </w:tc>
        <w:tc>
          <w:tcPr>
            <w:tcW w:w="1195" w:type="dxa"/>
            <w:vAlign w:val="center"/>
          </w:tcPr>
          <w:p w14:paraId="5305AE76">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126,013</w:t>
            </w:r>
          </w:p>
        </w:tc>
        <w:tc>
          <w:tcPr>
            <w:tcW w:w="1188" w:type="dxa"/>
            <w:vAlign w:val="center"/>
          </w:tcPr>
          <w:p w14:paraId="7A574E14">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158.41</w:t>
            </w:r>
          </w:p>
        </w:tc>
        <w:tc>
          <w:tcPr>
            <w:tcW w:w="1195" w:type="dxa"/>
            <w:vAlign w:val="center"/>
          </w:tcPr>
          <w:p w14:paraId="61994562">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1568.59</w:t>
            </w:r>
          </w:p>
        </w:tc>
        <w:tc>
          <w:tcPr>
            <w:tcW w:w="1174" w:type="dxa"/>
            <w:vAlign w:val="center"/>
          </w:tcPr>
          <w:p w14:paraId="2F046F7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w:t>
            </w:r>
          </w:p>
        </w:tc>
        <w:tc>
          <w:tcPr>
            <w:tcW w:w="1196" w:type="dxa"/>
            <w:vAlign w:val="center"/>
          </w:tcPr>
          <w:p w14:paraId="4A866C89">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1339.35</w:t>
            </w:r>
          </w:p>
        </w:tc>
        <w:tc>
          <w:tcPr>
            <w:tcW w:w="1174" w:type="dxa"/>
            <w:vAlign w:val="center"/>
          </w:tcPr>
          <w:p w14:paraId="3C323A87">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1.29</w:t>
            </w:r>
          </w:p>
        </w:tc>
      </w:tr>
      <w:tr w14:paraId="23CD8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vAlign w:val="center"/>
          </w:tcPr>
          <w:p w14:paraId="2A1ABC71">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情景4（更保守权重）</w:t>
            </w:r>
          </w:p>
        </w:tc>
        <w:tc>
          <w:tcPr>
            <w:tcW w:w="1195" w:type="dxa"/>
            <w:vAlign w:val="center"/>
          </w:tcPr>
          <w:p w14:paraId="0A58357F">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103,670</w:t>
            </w:r>
          </w:p>
        </w:tc>
        <w:tc>
          <w:tcPr>
            <w:tcW w:w="1188" w:type="dxa"/>
            <w:vAlign w:val="center"/>
          </w:tcPr>
          <w:p w14:paraId="2A9365EE">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91.00</w:t>
            </w:r>
          </w:p>
        </w:tc>
        <w:tc>
          <w:tcPr>
            <w:tcW w:w="1195" w:type="dxa"/>
            <w:vAlign w:val="center"/>
          </w:tcPr>
          <w:p w14:paraId="37F5F3AA">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1636.17</w:t>
            </w:r>
          </w:p>
        </w:tc>
        <w:tc>
          <w:tcPr>
            <w:tcW w:w="1174" w:type="dxa"/>
            <w:vAlign w:val="center"/>
          </w:tcPr>
          <w:p w14:paraId="6626674C">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1.58</w:t>
            </w:r>
          </w:p>
        </w:tc>
        <w:tc>
          <w:tcPr>
            <w:tcW w:w="1196" w:type="dxa"/>
            <w:vAlign w:val="center"/>
          </w:tcPr>
          <w:p w14:paraId="4266A2ED">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1345.17</w:t>
            </w:r>
          </w:p>
        </w:tc>
        <w:tc>
          <w:tcPr>
            <w:tcW w:w="1174" w:type="dxa"/>
            <w:vAlign w:val="center"/>
          </w:tcPr>
          <w:p w14:paraId="1D4E3D87">
            <w:pPr>
              <w:snapToGrid w:val="0"/>
              <w:jc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1.30</w:t>
            </w:r>
          </w:p>
        </w:tc>
      </w:tr>
    </w:tbl>
    <w:p w14:paraId="11567D29">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模型结果显示，不同情景下2030年公司碳排放总量和强度存在明显分化：基准情景下排放总量高达1727万吨，排放强度为1.66吨/万元；情景1（全部+创新措施）通过高落地率及前沿技术的投入，将强度降低到1.34吨/万元，但投资需求超过17亿元。情景2（全部已规划项目）可在现有规划内实现1.41吨/万元的强度；情景3和情景4通过分阶段折扣落地率反映了现实推进中的技术风险和政策不确定性，2030年强度分别为1.51和1.58吨/万元。</w:t>
      </w:r>
    </w:p>
    <w:p w14:paraId="2CB51AE1">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结果表明，落地率与技术创新是决定减排效果的关键敏感参数，需要在未来规划中科学统筹项目优先级和投资节奏，确保达标的可行性与经济性。</w:t>
      </w:r>
    </w:p>
    <w:p w14:paraId="0484EF01">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在LEAP模型情景设计中，</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编制组</w:t>
      </w: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根据企业“十五五”期间的节能降碳项目清单，逐一评估了各项目的减排潜力、节能效果、投资需求和技术成熟度。整体来看，拟实施的节能降碳项目涵盖了余热利用、流程优化、能源替代、系统集成等多种类型，单项减排效果从不足1万吨到超过40万吨不等，且技术成熟度和落地难度差异显著。</w:t>
      </w:r>
    </w:p>
    <w:p w14:paraId="6037225F">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具体而言，部分项目（如外购绿色电力等）具备较高的成熟度和可操作性，建议优先推进；而另一些项目（如氢气原料替代、</w:t>
      </w: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乙烯</w:t>
      </w: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三机电气化、原料轻质化等）虽然减排潜力大，但当前仍处于前期研究或示范应用阶段，存在经济性和技术路线尚待验证的问题，落地进度可能受到市场、资金和政策多重约束。</w:t>
      </w:r>
    </w:p>
    <w:p w14:paraId="0F52D178">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在模型中，情景2假设所有已规划项目全部顺利落地，但在实际推进过程中，各项目受制于设备改造周期、产业链协同、资金投入、政策激励和外部市场环境等因素，难以实现100%兑现。为更真实地反映落地率差异和技术风险，情景4在情景2基础上引入了更保守的35%落地率权重，系统性模拟了企业在面临资金压力和市场波动情况下的最保守可行路径。</w:t>
      </w:r>
    </w:p>
    <w:p w14:paraId="7825EE66">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p>
    <w:p w14:paraId="7F5CC469">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因此，选择情景4作为“十五五”期间碳排放与强度管理目标情景，既是基于企业节能降碳项目本身的技术成熟度和实施可行性分布，也体现了对投资计划合理性和市场风险防范的务实考量。情景4的模拟结果不仅为企业制定达标路径和年度考核指标提供了更安全的合规边际，也有助于在资金有限的情况下合理安排项目优先级，实现投资效益最大化和经营韧性的双重目标。</w:t>
      </w:r>
    </w:p>
    <w:p w14:paraId="29C06563">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表7-2汇总了情景4下2025-2030年逐年的二氧化碳排放及工业产值情况， 在该情景下，“十五五”期间，泉州基地将按照高端化延伸产业链扩大烯烃产能，并按照源头减碳、过程降碳、末端固碳以及管理控碳四大思路，对应实施节能降碳工程，保守估计将降低二氧化碳排放91万吨，综合能源消费量23.58万吨标准煤。</w:t>
      </w:r>
    </w:p>
    <w:p w14:paraId="387F67D4">
      <w:pPr>
        <w:widowControl/>
        <w:jc w:val="center"/>
        <w:rPr>
          <w:rFonts w:ascii="Times New Roman Regular" w:hAnsi="Times New Roman Regular" w:eastAsia="黑体" w:cs="Times New Roman Regular"/>
          <w:color w:val="000000" w:themeColor="text1"/>
          <w:sz w:val="28"/>
          <w:szCs w:val="28"/>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2</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2025-2030年低碳发展效果预测</w:t>
      </w:r>
    </w:p>
    <w:tbl>
      <w:tblPr>
        <w:tblStyle w:val="16"/>
        <w:tblW w:w="5226" w:type="pct"/>
        <w:jc w:val="center"/>
        <w:tblLayout w:type="fixed"/>
        <w:tblCellMar>
          <w:top w:w="0" w:type="dxa"/>
          <w:left w:w="108" w:type="dxa"/>
          <w:bottom w:w="0" w:type="dxa"/>
          <w:right w:w="108" w:type="dxa"/>
        </w:tblCellMar>
      </w:tblPr>
      <w:tblGrid>
        <w:gridCol w:w="730"/>
        <w:gridCol w:w="726"/>
        <w:gridCol w:w="864"/>
        <w:gridCol w:w="837"/>
        <w:gridCol w:w="789"/>
        <w:gridCol w:w="837"/>
        <w:gridCol w:w="864"/>
        <w:gridCol w:w="944"/>
        <w:gridCol w:w="994"/>
        <w:gridCol w:w="663"/>
        <w:gridCol w:w="659"/>
      </w:tblGrid>
      <w:tr w14:paraId="709CA786">
        <w:tblPrEx>
          <w:tblCellMar>
            <w:top w:w="0" w:type="dxa"/>
            <w:left w:w="108" w:type="dxa"/>
            <w:bottom w:w="0" w:type="dxa"/>
            <w:right w:w="108" w:type="dxa"/>
          </w:tblCellMar>
        </w:tblPrEx>
        <w:trPr>
          <w:jc w:val="center"/>
        </w:trPr>
        <w:tc>
          <w:tcPr>
            <w:tcW w:w="409" w:type="pct"/>
            <w:tcBorders>
              <w:top w:val="nil"/>
              <w:left w:val="nil"/>
              <w:bottom w:val="nil"/>
              <w:right w:val="nil"/>
            </w:tcBorders>
            <w:shd w:val="clear" w:color="auto" w:fill="FFFFFF" w:themeFill="background1"/>
            <w:noWrap/>
            <w:vAlign w:val="center"/>
          </w:tcPr>
          <w:p w14:paraId="08CF315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年份</w:t>
            </w:r>
          </w:p>
        </w:tc>
        <w:tc>
          <w:tcPr>
            <w:tcW w:w="408" w:type="pct"/>
            <w:tcBorders>
              <w:top w:val="nil"/>
              <w:left w:val="nil"/>
              <w:bottom w:val="nil"/>
              <w:right w:val="nil"/>
            </w:tcBorders>
            <w:shd w:val="clear" w:color="auto" w:fill="FFFFFF" w:themeFill="background1"/>
            <w:noWrap/>
            <w:vAlign w:val="center"/>
          </w:tcPr>
          <w:p w14:paraId="13CFD275">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存量项目二氧化碳排放（万吨）</w:t>
            </w:r>
          </w:p>
        </w:tc>
        <w:tc>
          <w:tcPr>
            <w:tcW w:w="485" w:type="pct"/>
            <w:tcBorders>
              <w:top w:val="nil"/>
              <w:left w:val="nil"/>
              <w:bottom w:val="nil"/>
              <w:right w:val="nil"/>
            </w:tcBorders>
            <w:shd w:val="clear" w:color="auto" w:fill="FFFFFF" w:themeFill="background1"/>
            <w:noWrap/>
            <w:vAlign w:val="center"/>
          </w:tcPr>
          <w:p w14:paraId="7D490DA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存量项目能源消费量（万吨tce）</w:t>
            </w:r>
          </w:p>
        </w:tc>
        <w:tc>
          <w:tcPr>
            <w:tcW w:w="470" w:type="pct"/>
            <w:tcBorders>
              <w:top w:val="nil"/>
              <w:left w:val="nil"/>
              <w:bottom w:val="nil"/>
              <w:right w:val="nil"/>
            </w:tcBorders>
            <w:shd w:val="clear" w:color="auto" w:fill="FFFFFF" w:themeFill="background1"/>
            <w:noWrap/>
            <w:vAlign w:val="center"/>
          </w:tcPr>
          <w:p w14:paraId="6BD30B4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增量项目二氧化碳排放（万吨）</w:t>
            </w:r>
          </w:p>
        </w:tc>
        <w:tc>
          <w:tcPr>
            <w:tcW w:w="443" w:type="pct"/>
            <w:tcBorders>
              <w:top w:val="nil"/>
              <w:left w:val="nil"/>
              <w:bottom w:val="nil"/>
              <w:right w:val="nil"/>
            </w:tcBorders>
            <w:shd w:val="clear" w:color="auto" w:fill="FFFFFF" w:themeFill="background1"/>
            <w:noWrap/>
            <w:vAlign w:val="center"/>
          </w:tcPr>
          <w:p w14:paraId="40AB5877">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增量项目能源消费量（万吨）</w:t>
            </w:r>
          </w:p>
        </w:tc>
        <w:tc>
          <w:tcPr>
            <w:tcW w:w="470" w:type="pct"/>
            <w:tcBorders>
              <w:top w:val="nil"/>
              <w:left w:val="nil"/>
              <w:bottom w:val="nil"/>
              <w:right w:val="nil"/>
            </w:tcBorders>
            <w:shd w:val="clear" w:color="auto" w:fill="FFFFFF" w:themeFill="background1"/>
            <w:noWrap/>
            <w:vAlign w:val="center"/>
          </w:tcPr>
          <w:p w14:paraId="44F23B3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减排项目二氧化碳排放（万吨）</w:t>
            </w:r>
          </w:p>
        </w:tc>
        <w:tc>
          <w:tcPr>
            <w:tcW w:w="485" w:type="pct"/>
            <w:tcBorders>
              <w:top w:val="nil"/>
              <w:left w:val="nil"/>
              <w:bottom w:val="nil"/>
              <w:right w:val="nil"/>
            </w:tcBorders>
            <w:shd w:val="clear" w:color="auto" w:fill="FFFFFF" w:themeFill="background1"/>
            <w:noWrap/>
            <w:vAlign w:val="center"/>
          </w:tcPr>
          <w:p w14:paraId="66E18B64">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减排项目能源消费量（万吨tce）</w:t>
            </w:r>
          </w:p>
        </w:tc>
        <w:tc>
          <w:tcPr>
            <w:tcW w:w="530" w:type="pct"/>
            <w:tcBorders>
              <w:top w:val="nil"/>
              <w:left w:val="nil"/>
              <w:bottom w:val="nil"/>
              <w:right w:val="nil"/>
            </w:tcBorders>
            <w:shd w:val="clear" w:color="auto" w:fill="FFFFFF" w:themeFill="background1"/>
            <w:noWrap/>
            <w:vAlign w:val="center"/>
          </w:tcPr>
          <w:p w14:paraId="0361EDA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减排情景二氧化碳排放总量（万吨）</w:t>
            </w:r>
          </w:p>
        </w:tc>
        <w:tc>
          <w:tcPr>
            <w:tcW w:w="558" w:type="pct"/>
            <w:tcBorders>
              <w:top w:val="nil"/>
              <w:left w:val="nil"/>
              <w:bottom w:val="nil"/>
              <w:right w:val="nil"/>
            </w:tcBorders>
            <w:shd w:val="clear" w:color="auto" w:fill="FFFFFF" w:themeFill="background1"/>
            <w:noWrap/>
            <w:vAlign w:val="center"/>
          </w:tcPr>
          <w:p w14:paraId="2275E447">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减排情景能源消耗总量（万吨标准煤）</w:t>
            </w:r>
          </w:p>
        </w:tc>
        <w:tc>
          <w:tcPr>
            <w:tcW w:w="372" w:type="pct"/>
            <w:tcBorders>
              <w:top w:val="nil"/>
              <w:left w:val="nil"/>
              <w:bottom w:val="nil"/>
              <w:right w:val="nil"/>
            </w:tcBorders>
            <w:shd w:val="clear" w:color="auto" w:fill="FFFFFF" w:themeFill="background1"/>
            <w:noWrap/>
            <w:vAlign w:val="center"/>
          </w:tcPr>
          <w:p w14:paraId="609B2C2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工业总值（可比价）</w:t>
            </w:r>
          </w:p>
        </w:tc>
        <w:tc>
          <w:tcPr>
            <w:tcW w:w="370" w:type="pct"/>
            <w:tcBorders>
              <w:top w:val="nil"/>
              <w:left w:val="nil"/>
              <w:bottom w:val="nil"/>
              <w:right w:val="nil"/>
            </w:tcBorders>
            <w:shd w:val="clear" w:color="auto" w:fill="FFFFFF" w:themeFill="background1"/>
            <w:noWrap/>
            <w:vAlign w:val="center"/>
          </w:tcPr>
          <w:p w14:paraId="7008FE2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减排情景二氧化碳排放强度</w:t>
            </w:r>
          </w:p>
        </w:tc>
      </w:tr>
      <w:tr w14:paraId="1DE6F773">
        <w:tblPrEx>
          <w:tblCellMar>
            <w:top w:w="0" w:type="dxa"/>
            <w:left w:w="108" w:type="dxa"/>
            <w:bottom w:w="0" w:type="dxa"/>
            <w:right w:w="108" w:type="dxa"/>
          </w:tblCellMar>
        </w:tblPrEx>
        <w:trPr>
          <w:jc w:val="center"/>
        </w:trPr>
        <w:tc>
          <w:tcPr>
            <w:tcW w:w="409" w:type="pct"/>
            <w:tcBorders>
              <w:top w:val="nil"/>
              <w:left w:val="nil"/>
              <w:bottom w:val="nil"/>
              <w:right w:val="nil"/>
            </w:tcBorders>
            <w:shd w:val="clear" w:color="auto" w:fill="FFFFFF" w:themeFill="background1"/>
            <w:noWrap/>
            <w:vAlign w:val="center"/>
          </w:tcPr>
          <w:p w14:paraId="70E2554B">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2025</w:t>
            </w:r>
          </w:p>
        </w:tc>
        <w:tc>
          <w:tcPr>
            <w:tcW w:w="408" w:type="pct"/>
            <w:tcBorders>
              <w:top w:val="nil"/>
              <w:left w:val="nil"/>
              <w:bottom w:val="nil"/>
              <w:right w:val="nil"/>
            </w:tcBorders>
            <w:shd w:val="clear" w:color="auto" w:fill="FFFFFF" w:themeFill="background1"/>
            <w:noWrap/>
            <w:vAlign w:val="center"/>
          </w:tcPr>
          <w:p w14:paraId="4A520B8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958.62</w:t>
            </w:r>
          </w:p>
        </w:tc>
        <w:tc>
          <w:tcPr>
            <w:tcW w:w="485" w:type="pct"/>
            <w:tcBorders>
              <w:top w:val="nil"/>
              <w:left w:val="nil"/>
              <w:bottom w:val="nil"/>
              <w:right w:val="nil"/>
            </w:tcBorders>
            <w:shd w:val="clear" w:color="auto" w:fill="FFFFFF" w:themeFill="background1"/>
            <w:noWrap/>
            <w:vAlign w:val="center"/>
          </w:tcPr>
          <w:p w14:paraId="6EAF3475">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935.21</w:t>
            </w:r>
          </w:p>
        </w:tc>
        <w:tc>
          <w:tcPr>
            <w:tcW w:w="470" w:type="pct"/>
            <w:tcBorders>
              <w:top w:val="nil"/>
              <w:left w:val="nil"/>
              <w:bottom w:val="nil"/>
              <w:right w:val="nil"/>
            </w:tcBorders>
            <w:shd w:val="clear" w:color="auto" w:fill="FFFFFF" w:themeFill="background1"/>
            <w:noWrap/>
            <w:vAlign w:val="center"/>
          </w:tcPr>
          <w:p w14:paraId="05CE667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10.77</w:t>
            </w:r>
          </w:p>
        </w:tc>
        <w:tc>
          <w:tcPr>
            <w:tcW w:w="443" w:type="pct"/>
            <w:tcBorders>
              <w:top w:val="nil"/>
              <w:left w:val="nil"/>
              <w:bottom w:val="nil"/>
              <w:right w:val="nil"/>
            </w:tcBorders>
            <w:shd w:val="clear" w:color="auto" w:fill="FFFFFF" w:themeFill="background1"/>
            <w:noWrap/>
            <w:vAlign w:val="center"/>
          </w:tcPr>
          <w:p w14:paraId="0AB85D4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2.11</w:t>
            </w:r>
          </w:p>
        </w:tc>
        <w:tc>
          <w:tcPr>
            <w:tcW w:w="470" w:type="pct"/>
            <w:tcBorders>
              <w:top w:val="nil"/>
              <w:left w:val="nil"/>
              <w:bottom w:val="nil"/>
              <w:right w:val="nil"/>
            </w:tcBorders>
            <w:shd w:val="clear" w:color="auto" w:fill="FFFFFF" w:themeFill="background1"/>
            <w:noWrap/>
            <w:vAlign w:val="center"/>
          </w:tcPr>
          <w:p w14:paraId="0D15738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0.00</w:t>
            </w:r>
          </w:p>
        </w:tc>
        <w:tc>
          <w:tcPr>
            <w:tcW w:w="485" w:type="pct"/>
            <w:tcBorders>
              <w:top w:val="nil"/>
              <w:left w:val="nil"/>
              <w:bottom w:val="nil"/>
              <w:right w:val="nil"/>
            </w:tcBorders>
            <w:shd w:val="clear" w:color="auto" w:fill="FFFFFF" w:themeFill="background1"/>
            <w:noWrap/>
            <w:vAlign w:val="center"/>
          </w:tcPr>
          <w:p w14:paraId="64B1FB4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0.00</w:t>
            </w:r>
          </w:p>
        </w:tc>
        <w:tc>
          <w:tcPr>
            <w:tcW w:w="530" w:type="pct"/>
            <w:tcBorders>
              <w:top w:val="nil"/>
              <w:left w:val="nil"/>
              <w:bottom w:val="nil"/>
              <w:right w:val="nil"/>
            </w:tcBorders>
            <w:shd w:val="clear" w:color="auto" w:fill="FFFFFF" w:themeFill="background1"/>
            <w:noWrap/>
            <w:vAlign w:val="center"/>
          </w:tcPr>
          <w:p w14:paraId="75ADC3D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969.39</w:t>
            </w:r>
          </w:p>
        </w:tc>
        <w:tc>
          <w:tcPr>
            <w:tcW w:w="558" w:type="pct"/>
            <w:tcBorders>
              <w:top w:val="nil"/>
              <w:left w:val="nil"/>
              <w:bottom w:val="nil"/>
              <w:right w:val="nil"/>
            </w:tcBorders>
            <w:shd w:val="clear" w:color="auto" w:fill="FFFFFF" w:themeFill="background1"/>
            <w:noWrap/>
            <w:vAlign w:val="center"/>
          </w:tcPr>
          <w:p w14:paraId="630DCCE9">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937.31</w:t>
            </w:r>
          </w:p>
        </w:tc>
        <w:tc>
          <w:tcPr>
            <w:tcW w:w="372" w:type="pct"/>
            <w:tcBorders>
              <w:top w:val="nil"/>
              <w:left w:val="nil"/>
              <w:bottom w:val="nil"/>
              <w:right w:val="nil"/>
            </w:tcBorders>
            <w:shd w:val="clear" w:color="auto" w:fill="FFFFFF" w:themeFill="background1"/>
            <w:noWrap/>
            <w:vAlign w:val="center"/>
          </w:tcPr>
          <w:p w14:paraId="07D3998C">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563.02</w:t>
            </w:r>
          </w:p>
        </w:tc>
        <w:tc>
          <w:tcPr>
            <w:tcW w:w="370" w:type="pct"/>
            <w:tcBorders>
              <w:top w:val="nil"/>
              <w:left w:val="nil"/>
              <w:bottom w:val="nil"/>
              <w:right w:val="nil"/>
            </w:tcBorders>
            <w:shd w:val="clear" w:color="auto" w:fill="FFFFFF" w:themeFill="background1"/>
            <w:noWrap/>
            <w:vAlign w:val="center"/>
          </w:tcPr>
          <w:p w14:paraId="097A485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1.72</w:t>
            </w:r>
          </w:p>
        </w:tc>
      </w:tr>
      <w:tr w14:paraId="6FB0684D">
        <w:tblPrEx>
          <w:tblCellMar>
            <w:top w:w="0" w:type="dxa"/>
            <w:left w:w="108" w:type="dxa"/>
            <w:bottom w:w="0" w:type="dxa"/>
            <w:right w:w="108" w:type="dxa"/>
          </w:tblCellMar>
        </w:tblPrEx>
        <w:trPr>
          <w:jc w:val="center"/>
        </w:trPr>
        <w:tc>
          <w:tcPr>
            <w:tcW w:w="409" w:type="pct"/>
            <w:tcBorders>
              <w:top w:val="nil"/>
              <w:left w:val="nil"/>
              <w:bottom w:val="nil"/>
              <w:right w:val="nil"/>
            </w:tcBorders>
            <w:shd w:val="clear" w:color="auto" w:fill="FFFFFF" w:themeFill="background1"/>
            <w:noWrap/>
            <w:vAlign w:val="center"/>
          </w:tcPr>
          <w:p w14:paraId="7761F8CE">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2026</w:t>
            </w:r>
          </w:p>
        </w:tc>
        <w:tc>
          <w:tcPr>
            <w:tcW w:w="408" w:type="pct"/>
            <w:tcBorders>
              <w:top w:val="nil"/>
              <w:left w:val="nil"/>
              <w:bottom w:val="nil"/>
              <w:right w:val="nil"/>
            </w:tcBorders>
            <w:shd w:val="clear" w:color="auto" w:fill="FFFFFF" w:themeFill="background1"/>
            <w:noWrap/>
            <w:vAlign w:val="center"/>
          </w:tcPr>
          <w:p w14:paraId="1824953E">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1014.22</w:t>
            </w:r>
          </w:p>
        </w:tc>
        <w:tc>
          <w:tcPr>
            <w:tcW w:w="485" w:type="pct"/>
            <w:tcBorders>
              <w:top w:val="nil"/>
              <w:left w:val="nil"/>
              <w:bottom w:val="nil"/>
              <w:right w:val="nil"/>
            </w:tcBorders>
            <w:shd w:val="clear" w:color="auto" w:fill="FFFFFF" w:themeFill="background1"/>
            <w:noWrap/>
            <w:vAlign w:val="center"/>
          </w:tcPr>
          <w:p w14:paraId="22A9FEB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937.30</w:t>
            </w:r>
          </w:p>
        </w:tc>
        <w:tc>
          <w:tcPr>
            <w:tcW w:w="470" w:type="pct"/>
            <w:tcBorders>
              <w:top w:val="nil"/>
              <w:left w:val="nil"/>
              <w:bottom w:val="nil"/>
              <w:right w:val="nil"/>
            </w:tcBorders>
            <w:shd w:val="clear" w:color="auto" w:fill="FFFFFF" w:themeFill="background1"/>
            <w:noWrap/>
            <w:vAlign w:val="center"/>
          </w:tcPr>
          <w:p w14:paraId="390AB49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21.53</w:t>
            </w:r>
          </w:p>
        </w:tc>
        <w:tc>
          <w:tcPr>
            <w:tcW w:w="443" w:type="pct"/>
            <w:tcBorders>
              <w:top w:val="nil"/>
              <w:left w:val="nil"/>
              <w:bottom w:val="nil"/>
              <w:right w:val="nil"/>
            </w:tcBorders>
            <w:shd w:val="clear" w:color="auto" w:fill="FFFFFF" w:themeFill="background1"/>
            <w:noWrap/>
            <w:vAlign w:val="center"/>
          </w:tcPr>
          <w:p w14:paraId="1ACEAFFE">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4.21</w:t>
            </w:r>
          </w:p>
        </w:tc>
        <w:tc>
          <w:tcPr>
            <w:tcW w:w="470" w:type="pct"/>
            <w:tcBorders>
              <w:top w:val="nil"/>
              <w:left w:val="nil"/>
              <w:bottom w:val="nil"/>
              <w:right w:val="nil"/>
            </w:tcBorders>
            <w:shd w:val="clear" w:color="auto" w:fill="FFFFFF" w:themeFill="background1"/>
            <w:noWrap/>
            <w:vAlign w:val="center"/>
          </w:tcPr>
          <w:p w14:paraId="0D548C35">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-18.20</w:t>
            </w:r>
          </w:p>
        </w:tc>
        <w:tc>
          <w:tcPr>
            <w:tcW w:w="485" w:type="pct"/>
            <w:tcBorders>
              <w:top w:val="nil"/>
              <w:left w:val="nil"/>
              <w:bottom w:val="nil"/>
              <w:right w:val="nil"/>
            </w:tcBorders>
            <w:shd w:val="clear" w:color="auto" w:fill="FFFFFF" w:themeFill="background1"/>
            <w:noWrap/>
            <w:vAlign w:val="center"/>
          </w:tcPr>
          <w:p w14:paraId="5017B710">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-2.72</w:t>
            </w:r>
          </w:p>
        </w:tc>
        <w:tc>
          <w:tcPr>
            <w:tcW w:w="530" w:type="pct"/>
            <w:tcBorders>
              <w:top w:val="nil"/>
              <w:left w:val="nil"/>
              <w:bottom w:val="nil"/>
              <w:right w:val="nil"/>
            </w:tcBorders>
            <w:shd w:val="clear" w:color="auto" w:fill="FFFFFF" w:themeFill="background1"/>
            <w:noWrap/>
            <w:vAlign w:val="center"/>
          </w:tcPr>
          <w:p w14:paraId="3F6C19CE">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1017.55</w:t>
            </w:r>
          </w:p>
        </w:tc>
        <w:tc>
          <w:tcPr>
            <w:tcW w:w="558" w:type="pct"/>
            <w:tcBorders>
              <w:top w:val="nil"/>
              <w:left w:val="nil"/>
              <w:bottom w:val="nil"/>
              <w:right w:val="nil"/>
            </w:tcBorders>
            <w:shd w:val="clear" w:color="auto" w:fill="FFFFFF" w:themeFill="background1"/>
            <w:noWrap/>
            <w:vAlign w:val="center"/>
          </w:tcPr>
          <w:p w14:paraId="171DE687">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938.79</w:t>
            </w:r>
          </w:p>
        </w:tc>
        <w:tc>
          <w:tcPr>
            <w:tcW w:w="372" w:type="pct"/>
            <w:tcBorders>
              <w:top w:val="nil"/>
              <w:left w:val="nil"/>
              <w:bottom w:val="nil"/>
              <w:right w:val="nil"/>
            </w:tcBorders>
            <w:shd w:val="clear" w:color="auto" w:fill="FFFFFF" w:themeFill="background1"/>
            <w:noWrap/>
            <w:vAlign w:val="center"/>
          </w:tcPr>
          <w:p w14:paraId="065C69D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590.97</w:t>
            </w:r>
          </w:p>
        </w:tc>
        <w:tc>
          <w:tcPr>
            <w:tcW w:w="370" w:type="pct"/>
            <w:tcBorders>
              <w:top w:val="nil"/>
              <w:left w:val="nil"/>
              <w:bottom w:val="nil"/>
              <w:right w:val="nil"/>
            </w:tcBorders>
            <w:shd w:val="clear" w:color="auto" w:fill="FFFFFF" w:themeFill="background1"/>
            <w:noWrap/>
            <w:vAlign w:val="center"/>
          </w:tcPr>
          <w:p w14:paraId="54D8FDD3">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1.72</w:t>
            </w:r>
          </w:p>
        </w:tc>
      </w:tr>
      <w:tr w14:paraId="7F83B0D2">
        <w:tblPrEx>
          <w:tblCellMar>
            <w:top w:w="0" w:type="dxa"/>
            <w:left w:w="108" w:type="dxa"/>
            <w:bottom w:w="0" w:type="dxa"/>
            <w:right w:w="108" w:type="dxa"/>
          </w:tblCellMar>
        </w:tblPrEx>
        <w:trPr>
          <w:jc w:val="center"/>
        </w:trPr>
        <w:tc>
          <w:tcPr>
            <w:tcW w:w="409" w:type="pct"/>
            <w:tcBorders>
              <w:top w:val="nil"/>
              <w:left w:val="nil"/>
              <w:bottom w:val="nil"/>
              <w:right w:val="nil"/>
            </w:tcBorders>
            <w:shd w:val="clear" w:color="auto" w:fill="FFFFFF" w:themeFill="background1"/>
            <w:noWrap/>
            <w:vAlign w:val="center"/>
          </w:tcPr>
          <w:p w14:paraId="72271EE5">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2027</w:t>
            </w:r>
          </w:p>
        </w:tc>
        <w:tc>
          <w:tcPr>
            <w:tcW w:w="408" w:type="pct"/>
            <w:tcBorders>
              <w:top w:val="nil"/>
              <w:left w:val="nil"/>
              <w:bottom w:val="nil"/>
              <w:right w:val="nil"/>
            </w:tcBorders>
            <w:shd w:val="clear" w:color="auto" w:fill="FFFFFF" w:themeFill="background1"/>
            <w:noWrap/>
            <w:vAlign w:val="center"/>
          </w:tcPr>
          <w:p w14:paraId="45C8C6E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1105.86</w:t>
            </w:r>
          </w:p>
        </w:tc>
        <w:tc>
          <w:tcPr>
            <w:tcW w:w="485" w:type="pct"/>
            <w:tcBorders>
              <w:top w:val="nil"/>
              <w:left w:val="nil"/>
              <w:bottom w:val="nil"/>
              <w:right w:val="nil"/>
            </w:tcBorders>
            <w:shd w:val="clear" w:color="auto" w:fill="FFFFFF" w:themeFill="background1"/>
            <w:noWrap/>
            <w:vAlign w:val="center"/>
          </w:tcPr>
          <w:p w14:paraId="13D8FD1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973.92</w:t>
            </w:r>
          </w:p>
        </w:tc>
        <w:tc>
          <w:tcPr>
            <w:tcW w:w="470" w:type="pct"/>
            <w:tcBorders>
              <w:top w:val="nil"/>
              <w:left w:val="nil"/>
              <w:bottom w:val="nil"/>
              <w:right w:val="nil"/>
            </w:tcBorders>
            <w:shd w:val="clear" w:color="auto" w:fill="FFFFFF" w:themeFill="background1"/>
            <w:noWrap/>
            <w:vAlign w:val="center"/>
          </w:tcPr>
          <w:p w14:paraId="4509FF1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31.96</w:t>
            </w:r>
          </w:p>
        </w:tc>
        <w:tc>
          <w:tcPr>
            <w:tcW w:w="443" w:type="pct"/>
            <w:tcBorders>
              <w:top w:val="nil"/>
              <w:left w:val="nil"/>
              <w:bottom w:val="nil"/>
              <w:right w:val="nil"/>
            </w:tcBorders>
            <w:shd w:val="clear" w:color="auto" w:fill="FFFFFF" w:themeFill="background1"/>
            <w:noWrap/>
            <w:vAlign w:val="center"/>
          </w:tcPr>
          <w:p w14:paraId="2D38B50C">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19.13</w:t>
            </w:r>
          </w:p>
        </w:tc>
        <w:tc>
          <w:tcPr>
            <w:tcW w:w="470" w:type="pct"/>
            <w:tcBorders>
              <w:top w:val="nil"/>
              <w:left w:val="nil"/>
              <w:bottom w:val="nil"/>
              <w:right w:val="nil"/>
            </w:tcBorders>
            <w:shd w:val="clear" w:color="auto" w:fill="FFFFFF" w:themeFill="background1"/>
            <w:noWrap/>
            <w:vAlign w:val="center"/>
          </w:tcPr>
          <w:p w14:paraId="09CBE13B">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-36.40</w:t>
            </w:r>
          </w:p>
        </w:tc>
        <w:tc>
          <w:tcPr>
            <w:tcW w:w="485" w:type="pct"/>
            <w:tcBorders>
              <w:top w:val="nil"/>
              <w:left w:val="nil"/>
              <w:bottom w:val="nil"/>
              <w:right w:val="nil"/>
            </w:tcBorders>
            <w:shd w:val="clear" w:color="auto" w:fill="FFFFFF" w:themeFill="background1"/>
            <w:noWrap/>
            <w:vAlign w:val="center"/>
          </w:tcPr>
          <w:p w14:paraId="1B7CBBD7">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-5.43</w:t>
            </w:r>
          </w:p>
        </w:tc>
        <w:tc>
          <w:tcPr>
            <w:tcW w:w="530" w:type="pct"/>
            <w:tcBorders>
              <w:top w:val="nil"/>
              <w:left w:val="nil"/>
              <w:bottom w:val="nil"/>
              <w:right w:val="nil"/>
            </w:tcBorders>
            <w:shd w:val="clear" w:color="auto" w:fill="FFFFFF" w:themeFill="background1"/>
            <w:noWrap/>
            <w:vAlign w:val="center"/>
          </w:tcPr>
          <w:p w14:paraId="42A8D45C">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1101.42</w:t>
            </w:r>
          </w:p>
        </w:tc>
        <w:tc>
          <w:tcPr>
            <w:tcW w:w="558" w:type="pct"/>
            <w:tcBorders>
              <w:top w:val="nil"/>
              <w:left w:val="nil"/>
              <w:bottom w:val="nil"/>
              <w:right w:val="nil"/>
            </w:tcBorders>
            <w:shd w:val="clear" w:color="auto" w:fill="FFFFFF" w:themeFill="background1"/>
            <w:noWrap/>
            <w:vAlign w:val="center"/>
          </w:tcPr>
          <w:p w14:paraId="52EBC8EB">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987.62</w:t>
            </w:r>
          </w:p>
        </w:tc>
        <w:tc>
          <w:tcPr>
            <w:tcW w:w="372" w:type="pct"/>
            <w:tcBorders>
              <w:top w:val="nil"/>
              <w:left w:val="nil"/>
              <w:bottom w:val="nil"/>
              <w:right w:val="nil"/>
            </w:tcBorders>
            <w:shd w:val="clear" w:color="auto" w:fill="FFFFFF" w:themeFill="background1"/>
            <w:noWrap/>
            <w:vAlign w:val="center"/>
          </w:tcPr>
          <w:p w14:paraId="2821BEF9">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630.94</w:t>
            </w:r>
          </w:p>
        </w:tc>
        <w:tc>
          <w:tcPr>
            <w:tcW w:w="370" w:type="pct"/>
            <w:tcBorders>
              <w:top w:val="nil"/>
              <w:left w:val="nil"/>
              <w:bottom w:val="nil"/>
              <w:right w:val="nil"/>
            </w:tcBorders>
            <w:shd w:val="clear" w:color="auto" w:fill="FFFFFF" w:themeFill="background1"/>
            <w:noWrap/>
            <w:vAlign w:val="center"/>
          </w:tcPr>
          <w:p w14:paraId="38AEE72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1.75</w:t>
            </w:r>
          </w:p>
        </w:tc>
      </w:tr>
      <w:tr w14:paraId="725322CD">
        <w:tblPrEx>
          <w:tblCellMar>
            <w:top w:w="0" w:type="dxa"/>
            <w:left w:w="108" w:type="dxa"/>
            <w:bottom w:w="0" w:type="dxa"/>
            <w:right w:w="108" w:type="dxa"/>
          </w:tblCellMar>
        </w:tblPrEx>
        <w:trPr>
          <w:jc w:val="center"/>
        </w:trPr>
        <w:tc>
          <w:tcPr>
            <w:tcW w:w="409" w:type="pct"/>
            <w:tcBorders>
              <w:top w:val="nil"/>
              <w:left w:val="nil"/>
              <w:bottom w:val="nil"/>
              <w:right w:val="nil"/>
            </w:tcBorders>
            <w:shd w:val="clear" w:color="auto" w:fill="FFFFFF" w:themeFill="background1"/>
            <w:noWrap/>
            <w:vAlign w:val="center"/>
          </w:tcPr>
          <w:p w14:paraId="2D998EB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2028</w:t>
            </w:r>
          </w:p>
        </w:tc>
        <w:tc>
          <w:tcPr>
            <w:tcW w:w="408" w:type="pct"/>
            <w:tcBorders>
              <w:top w:val="nil"/>
              <w:left w:val="nil"/>
              <w:bottom w:val="nil"/>
              <w:right w:val="nil"/>
            </w:tcBorders>
            <w:shd w:val="clear" w:color="auto" w:fill="FFFFFF" w:themeFill="background1"/>
            <w:noWrap/>
            <w:vAlign w:val="center"/>
          </w:tcPr>
          <w:p w14:paraId="0C891562">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1105.80</w:t>
            </w:r>
          </w:p>
        </w:tc>
        <w:tc>
          <w:tcPr>
            <w:tcW w:w="485" w:type="pct"/>
            <w:tcBorders>
              <w:top w:val="nil"/>
              <w:left w:val="nil"/>
              <w:bottom w:val="nil"/>
              <w:right w:val="nil"/>
            </w:tcBorders>
            <w:shd w:val="clear" w:color="auto" w:fill="FFFFFF" w:themeFill="background1"/>
            <w:noWrap/>
            <w:vAlign w:val="center"/>
          </w:tcPr>
          <w:p w14:paraId="69F38D1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973.91</w:t>
            </w:r>
          </w:p>
        </w:tc>
        <w:tc>
          <w:tcPr>
            <w:tcW w:w="470" w:type="pct"/>
            <w:tcBorders>
              <w:top w:val="nil"/>
              <w:left w:val="nil"/>
              <w:bottom w:val="nil"/>
              <w:right w:val="nil"/>
            </w:tcBorders>
            <w:shd w:val="clear" w:color="auto" w:fill="FFFFFF" w:themeFill="background1"/>
            <w:noWrap/>
            <w:vAlign w:val="center"/>
          </w:tcPr>
          <w:p w14:paraId="76DBCD1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48.88</w:t>
            </w:r>
          </w:p>
        </w:tc>
        <w:tc>
          <w:tcPr>
            <w:tcW w:w="443" w:type="pct"/>
            <w:tcBorders>
              <w:top w:val="nil"/>
              <w:left w:val="nil"/>
              <w:bottom w:val="nil"/>
              <w:right w:val="nil"/>
            </w:tcBorders>
            <w:shd w:val="clear" w:color="auto" w:fill="FFFFFF" w:themeFill="background1"/>
            <w:noWrap/>
            <w:vAlign w:val="center"/>
          </w:tcPr>
          <w:p w14:paraId="04553003">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23.44</w:t>
            </w:r>
          </w:p>
        </w:tc>
        <w:tc>
          <w:tcPr>
            <w:tcW w:w="470" w:type="pct"/>
            <w:tcBorders>
              <w:top w:val="nil"/>
              <w:left w:val="nil"/>
              <w:bottom w:val="nil"/>
              <w:right w:val="nil"/>
            </w:tcBorders>
            <w:shd w:val="clear" w:color="auto" w:fill="FFFFFF" w:themeFill="background1"/>
            <w:noWrap/>
            <w:vAlign w:val="center"/>
          </w:tcPr>
          <w:p w14:paraId="067BE70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-54.60</w:t>
            </w:r>
          </w:p>
        </w:tc>
        <w:tc>
          <w:tcPr>
            <w:tcW w:w="485" w:type="pct"/>
            <w:tcBorders>
              <w:top w:val="nil"/>
              <w:left w:val="nil"/>
              <w:bottom w:val="nil"/>
              <w:right w:val="nil"/>
            </w:tcBorders>
            <w:shd w:val="clear" w:color="auto" w:fill="FFFFFF" w:themeFill="background1"/>
            <w:noWrap/>
            <w:vAlign w:val="center"/>
          </w:tcPr>
          <w:p w14:paraId="6DAFE6D9">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-8.15</w:t>
            </w:r>
          </w:p>
        </w:tc>
        <w:tc>
          <w:tcPr>
            <w:tcW w:w="530" w:type="pct"/>
            <w:tcBorders>
              <w:top w:val="nil"/>
              <w:left w:val="nil"/>
              <w:bottom w:val="nil"/>
              <w:right w:val="nil"/>
            </w:tcBorders>
            <w:shd w:val="clear" w:color="auto" w:fill="FFFFFF" w:themeFill="background1"/>
            <w:noWrap/>
            <w:vAlign w:val="center"/>
          </w:tcPr>
          <w:p w14:paraId="6AA7FF53">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1100.08</w:t>
            </w:r>
          </w:p>
        </w:tc>
        <w:tc>
          <w:tcPr>
            <w:tcW w:w="558" w:type="pct"/>
            <w:tcBorders>
              <w:top w:val="nil"/>
              <w:left w:val="nil"/>
              <w:bottom w:val="nil"/>
              <w:right w:val="nil"/>
            </w:tcBorders>
            <w:shd w:val="clear" w:color="auto" w:fill="FFFFFF" w:themeFill="background1"/>
            <w:noWrap/>
            <w:vAlign w:val="center"/>
          </w:tcPr>
          <w:p w14:paraId="698CC51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989.20</w:t>
            </w:r>
          </w:p>
        </w:tc>
        <w:tc>
          <w:tcPr>
            <w:tcW w:w="372" w:type="pct"/>
            <w:tcBorders>
              <w:top w:val="nil"/>
              <w:left w:val="nil"/>
              <w:bottom w:val="nil"/>
              <w:right w:val="nil"/>
            </w:tcBorders>
            <w:shd w:val="clear" w:color="auto" w:fill="FFFFFF" w:themeFill="background1"/>
            <w:noWrap/>
            <w:vAlign w:val="center"/>
          </w:tcPr>
          <w:p w14:paraId="5CBC6C1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682.14</w:t>
            </w:r>
          </w:p>
        </w:tc>
        <w:tc>
          <w:tcPr>
            <w:tcW w:w="370" w:type="pct"/>
            <w:tcBorders>
              <w:top w:val="nil"/>
              <w:left w:val="nil"/>
              <w:bottom w:val="nil"/>
              <w:right w:val="nil"/>
            </w:tcBorders>
            <w:shd w:val="clear" w:color="auto" w:fill="FFFFFF" w:themeFill="background1"/>
            <w:noWrap/>
            <w:vAlign w:val="center"/>
          </w:tcPr>
          <w:p w14:paraId="61D91ED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1.61</w:t>
            </w:r>
          </w:p>
        </w:tc>
      </w:tr>
      <w:tr w14:paraId="7333149E">
        <w:tblPrEx>
          <w:tblCellMar>
            <w:top w:w="0" w:type="dxa"/>
            <w:left w:w="108" w:type="dxa"/>
            <w:bottom w:w="0" w:type="dxa"/>
            <w:right w:w="108" w:type="dxa"/>
          </w:tblCellMar>
        </w:tblPrEx>
        <w:trPr>
          <w:jc w:val="center"/>
        </w:trPr>
        <w:tc>
          <w:tcPr>
            <w:tcW w:w="409" w:type="pct"/>
            <w:tcBorders>
              <w:top w:val="nil"/>
              <w:left w:val="nil"/>
              <w:bottom w:val="nil"/>
              <w:right w:val="nil"/>
            </w:tcBorders>
            <w:shd w:val="clear" w:color="auto" w:fill="FFFFFF" w:themeFill="background1"/>
            <w:noWrap/>
            <w:vAlign w:val="center"/>
          </w:tcPr>
          <w:p w14:paraId="47F8BB75">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2029</w:t>
            </w:r>
          </w:p>
        </w:tc>
        <w:tc>
          <w:tcPr>
            <w:tcW w:w="408" w:type="pct"/>
            <w:tcBorders>
              <w:top w:val="nil"/>
              <w:left w:val="nil"/>
              <w:bottom w:val="nil"/>
              <w:right w:val="nil"/>
            </w:tcBorders>
            <w:shd w:val="clear" w:color="auto" w:fill="FFFFFF" w:themeFill="background1"/>
            <w:noWrap/>
            <w:vAlign w:val="center"/>
          </w:tcPr>
          <w:p w14:paraId="755EC5D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1105.77</w:t>
            </w:r>
          </w:p>
        </w:tc>
        <w:tc>
          <w:tcPr>
            <w:tcW w:w="485" w:type="pct"/>
            <w:tcBorders>
              <w:top w:val="nil"/>
              <w:left w:val="nil"/>
              <w:bottom w:val="nil"/>
              <w:right w:val="nil"/>
            </w:tcBorders>
            <w:shd w:val="clear" w:color="auto" w:fill="FFFFFF" w:themeFill="background1"/>
            <w:noWrap/>
            <w:vAlign w:val="center"/>
          </w:tcPr>
          <w:p w14:paraId="1FF51E6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973.89</w:t>
            </w:r>
          </w:p>
        </w:tc>
        <w:tc>
          <w:tcPr>
            <w:tcW w:w="470" w:type="pct"/>
            <w:tcBorders>
              <w:top w:val="nil"/>
              <w:left w:val="nil"/>
              <w:bottom w:val="nil"/>
              <w:right w:val="nil"/>
            </w:tcBorders>
            <w:shd w:val="clear" w:color="auto" w:fill="FFFFFF" w:themeFill="background1"/>
            <w:noWrap/>
            <w:vAlign w:val="center"/>
          </w:tcPr>
          <w:p w14:paraId="40BBA71C">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621.43</w:t>
            </w:r>
          </w:p>
        </w:tc>
        <w:tc>
          <w:tcPr>
            <w:tcW w:w="443" w:type="pct"/>
            <w:tcBorders>
              <w:top w:val="nil"/>
              <w:left w:val="nil"/>
              <w:bottom w:val="nil"/>
              <w:right w:val="nil"/>
            </w:tcBorders>
            <w:shd w:val="clear" w:color="auto" w:fill="FFFFFF" w:themeFill="background1"/>
            <w:noWrap/>
            <w:vAlign w:val="center"/>
          </w:tcPr>
          <w:p w14:paraId="4B8B8D5B">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384.87</w:t>
            </w:r>
          </w:p>
        </w:tc>
        <w:tc>
          <w:tcPr>
            <w:tcW w:w="470" w:type="pct"/>
            <w:tcBorders>
              <w:top w:val="nil"/>
              <w:left w:val="nil"/>
              <w:bottom w:val="nil"/>
              <w:right w:val="nil"/>
            </w:tcBorders>
            <w:shd w:val="clear" w:color="auto" w:fill="FFFFFF" w:themeFill="background1"/>
            <w:noWrap/>
            <w:vAlign w:val="center"/>
          </w:tcPr>
          <w:p w14:paraId="754CCA4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-72.80</w:t>
            </w:r>
          </w:p>
        </w:tc>
        <w:tc>
          <w:tcPr>
            <w:tcW w:w="485" w:type="pct"/>
            <w:tcBorders>
              <w:top w:val="nil"/>
              <w:left w:val="nil"/>
              <w:bottom w:val="nil"/>
              <w:right w:val="nil"/>
            </w:tcBorders>
            <w:shd w:val="clear" w:color="auto" w:fill="FFFFFF" w:themeFill="background1"/>
            <w:noWrap/>
            <w:vAlign w:val="center"/>
          </w:tcPr>
          <w:p w14:paraId="521436C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-10.86</w:t>
            </w:r>
          </w:p>
        </w:tc>
        <w:tc>
          <w:tcPr>
            <w:tcW w:w="530" w:type="pct"/>
            <w:tcBorders>
              <w:top w:val="nil"/>
              <w:left w:val="nil"/>
              <w:bottom w:val="nil"/>
              <w:right w:val="nil"/>
            </w:tcBorders>
            <w:shd w:val="clear" w:color="auto" w:fill="FFFFFF" w:themeFill="background1"/>
            <w:noWrap/>
            <w:vAlign w:val="center"/>
          </w:tcPr>
          <w:p w14:paraId="7C4D2C23">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1654.40</w:t>
            </w:r>
          </w:p>
        </w:tc>
        <w:tc>
          <w:tcPr>
            <w:tcW w:w="558" w:type="pct"/>
            <w:tcBorders>
              <w:top w:val="nil"/>
              <w:left w:val="nil"/>
              <w:bottom w:val="nil"/>
              <w:right w:val="nil"/>
            </w:tcBorders>
            <w:shd w:val="clear" w:color="auto" w:fill="FFFFFF" w:themeFill="background1"/>
            <w:noWrap/>
            <w:vAlign w:val="center"/>
          </w:tcPr>
          <w:p w14:paraId="5054DDC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1347.90</w:t>
            </w:r>
          </w:p>
        </w:tc>
        <w:tc>
          <w:tcPr>
            <w:tcW w:w="372" w:type="pct"/>
            <w:tcBorders>
              <w:top w:val="nil"/>
              <w:left w:val="nil"/>
              <w:bottom w:val="nil"/>
              <w:right w:val="nil"/>
            </w:tcBorders>
            <w:shd w:val="clear" w:color="auto" w:fill="FFFFFF" w:themeFill="background1"/>
            <w:noWrap/>
            <w:vAlign w:val="center"/>
          </w:tcPr>
          <w:p w14:paraId="5B4BCD82">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1038.08</w:t>
            </w:r>
          </w:p>
        </w:tc>
        <w:tc>
          <w:tcPr>
            <w:tcW w:w="370" w:type="pct"/>
            <w:tcBorders>
              <w:top w:val="nil"/>
              <w:left w:val="nil"/>
              <w:bottom w:val="nil"/>
              <w:right w:val="nil"/>
            </w:tcBorders>
            <w:shd w:val="clear" w:color="auto" w:fill="FFFFFF" w:themeFill="background1"/>
            <w:noWrap/>
            <w:vAlign w:val="center"/>
          </w:tcPr>
          <w:p w14:paraId="1F5BDE5C">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1.59</w:t>
            </w:r>
          </w:p>
        </w:tc>
      </w:tr>
      <w:tr w14:paraId="1737084B">
        <w:tblPrEx>
          <w:tblCellMar>
            <w:top w:w="0" w:type="dxa"/>
            <w:left w:w="108" w:type="dxa"/>
            <w:bottom w:w="0" w:type="dxa"/>
            <w:right w:w="108" w:type="dxa"/>
          </w:tblCellMar>
        </w:tblPrEx>
        <w:trPr>
          <w:jc w:val="center"/>
        </w:trPr>
        <w:tc>
          <w:tcPr>
            <w:tcW w:w="409" w:type="pct"/>
            <w:tcBorders>
              <w:top w:val="nil"/>
              <w:left w:val="nil"/>
              <w:bottom w:val="nil"/>
              <w:right w:val="nil"/>
            </w:tcBorders>
            <w:shd w:val="clear" w:color="auto" w:fill="FFFFFF" w:themeFill="background1"/>
            <w:noWrap/>
            <w:vAlign w:val="center"/>
          </w:tcPr>
          <w:p w14:paraId="478B5282">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w:t>
            </w:r>
          </w:p>
        </w:tc>
        <w:tc>
          <w:tcPr>
            <w:tcW w:w="408" w:type="pct"/>
            <w:tcBorders>
              <w:top w:val="nil"/>
              <w:left w:val="nil"/>
              <w:bottom w:val="nil"/>
              <w:right w:val="nil"/>
            </w:tcBorders>
            <w:shd w:val="clear" w:color="auto" w:fill="FFFFFF" w:themeFill="background1"/>
            <w:noWrap/>
            <w:vAlign w:val="center"/>
          </w:tcPr>
          <w:p w14:paraId="4DB9B8C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1105.74</w:t>
            </w:r>
          </w:p>
        </w:tc>
        <w:tc>
          <w:tcPr>
            <w:tcW w:w="485" w:type="pct"/>
            <w:tcBorders>
              <w:top w:val="nil"/>
              <w:left w:val="nil"/>
              <w:bottom w:val="nil"/>
              <w:right w:val="nil"/>
            </w:tcBorders>
            <w:shd w:val="clear" w:color="auto" w:fill="FFFFFF" w:themeFill="background1"/>
            <w:noWrap/>
            <w:vAlign w:val="center"/>
          </w:tcPr>
          <w:p w14:paraId="5BA1E3A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973.88</w:t>
            </w:r>
          </w:p>
        </w:tc>
        <w:tc>
          <w:tcPr>
            <w:tcW w:w="470" w:type="pct"/>
            <w:tcBorders>
              <w:top w:val="nil"/>
              <w:left w:val="nil"/>
              <w:bottom w:val="nil"/>
              <w:right w:val="nil"/>
            </w:tcBorders>
            <w:shd w:val="clear" w:color="auto" w:fill="FFFFFF" w:themeFill="background1"/>
            <w:noWrap/>
            <w:vAlign w:val="center"/>
          </w:tcPr>
          <w:p w14:paraId="25ADDBA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621.43</w:t>
            </w:r>
          </w:p>
        </w:tc>
        <w:tc>
          <w:tcPr>
            <w:tcW w:w="443" w:type="pct"/>
            <w:tcBorders>
              <w:top w:val="nil"/>
              <w:left w:val="nil"/>
              <w:bottom w:val="nil"/>
              <w:right w:val="nil"/>
            </w:tcBorders>
            <w:shd w:val="clear" w:color="auto" w:fill="FFFFFF" w:themeFill="background1"/>
            <w:noWrap/>
            <w:vAlign w:val="center"/>
          </w:tcPr>
          <w:p w14:paraId="6D3FFA2A">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384.87</w:t>
            </w:r>
          </w:p>
        </w:tc>
        <w:tc>
          <w:tcPr>
            <w:tcW w:w="470" w:type="pct"/>
            <w:tcBorders>
              <w:top w:val="nil"/>
              <w:left w:val="nil"/>
              <w:bottom w:val="nil"/>
              <w:right w:val="nil"/>
            </w:tcBorders>
            <w:shd w:val="clear" w:color="auto" w:fill="FFFFFF" w:themeFill="background1"/>
            <w:noWrap/>
            <w:vAlign w:val="center"/>
          </w:tcPr>
          <w:p w14:paraId="38B2232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-91.00</w:t>
            </w:r>
          </w:p>
        </w:tc>
        <w:tc>
          <w:tcPr>
            <w:tcW w:w="485" w:type="pct"/>
            <w:tcBorders>
              <w:top w:val="nil"/>
              <w:left w:val="nil"/>
              <w:bottom w:val="nil"/>
              <w:right w:val="nil"/>
            </w:tcBorders>
            <w:shd w:val="clear" w:color="auto" w:fill="FFFFFF" w:themeFill="background1"/>
            <w:noWrap/>
            <w:vAlign w:val="center"/>
          </w:tcPr>
          <w:p w14:paraId="0E769CF4">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-13.58</w:t>
            </w:r>
          </w:p>
        </w:tc>
        <w:tc>
          <w:tcPr>
            <w:tcW w:w="530" w:type="pct"/>
            <w:tcBorders>
              <w:top w:val="nil"/>
              <w:left w:val="nil"/>
              <w:bottom w:val="nil"/>
              <w:right w:val="nil"/>
            </w:tcBorders>
            <w:shd w:val="clear" w:color="auto" w:fill="FFFFFF" w:themeFill="background1"/>
            <w:noWrap/>
            <w:vAlign w:val="center"/>
          </w:tcPr>
          <w:p w14:paraId="740BB2C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1636.17</w:t>
            </w:r>
          </w:p>
        </w:tc>
        <w:tc>
          <w:tcPr>
            <w:tcW w:w="558" w:type="pct"/>
            <w:tcBorders>
              <w:top w:val="nil"/>
              <w:left w:val="nil"/>
              <w:bottom w:val="nil"/>
              <w:right w:val="nil"/>
            </w:tcBorders>
            <w:shd w:val="clear" w:color="auto" w:fill="FFFFFF" w:themeFill="background1"/>
            <w:noWrap/>
            <w:vAlign w:val="center"/>
          </w:tcPr>
          <w:p w14:paraId="08E8F34E">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1345.17</w:t>
            </w:r>
          </w:p>
        </w:tc>
        <w:tc>
          <w:tcPr>
            <w:tcW w:w="372" w:type="pct"/>
            <w:tcBorders>
              <w:top w:val="nil"/>
              <w:left w:val="nil"/>
              <w:bottom w:val="nil"/>
              <w:right w:val="nil"/>
            </w:tcBorders>
            <w:shd w:val="clear" w:color="auto" w:fill="FFFFFF" w:themeFill="background1"/>
            <w:noWrap/>
            <w:vAlign w:val="center"/>
          </w:tcPr>
          <w:p w14:paraId="4B51FCC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1038.08</w:t>
            </w:r>
          </w:p>
        </w:tc>
        <w:tc>
          <w:tcPr>
            <w:tcW w:w="370" w:type="pct"/>
            <w:tcBorders>
              <w:top w:val="nil"/>
              <w:left w:val="nil"/>
              <w:bottom w:val="nil"/>
              <w:right w:val="nil"/>
            </w:tcBorders>
            <w:shd w:val="clear" w:color="auto" w:fill="FFFFFF" w:themeFill="background1"/>
            <w:noWrap/>
            <w:vAlign w:val="center"/>
          </w:tcPr>
          <w:p w14:paraId="7E51AD8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1.58</w:t>
            </w:r>
          </w:p>
        </w:tc>
      </w:tr>
    </w:tbl>
    <w:p w14:paraId="202BBEDA">
      <w:pPr>
        <w:widowControl/>
        <w:spacing w:line="560" w:lineRule="exact"/>
        <w:rPr>
          <w:rFonts w:ascii="Times New Roman Regular" w:hAnsi="Times New Roman Regular" w:eastAsia="黑体" w:cs="Times New Roman Regular"/>
          <w:color w:val="000000" w:themeColor="text1"/>
          <w:sz w:val="28"/>
          <w:szCs w:val="28"/>
          <w:lang w:bidi="ar"/>
          <w14:textFill>
            <w14:solidFill>
              <w14:schemeClr w14:val="tx1"/>
            </w14:solidFill>
          </w14:textFill>
        </w:rPr>
      </w:pPr>
    </w:p>
    <w:p w14:paraId="0A192A7F">
      <w:pPr>
        <w:widowControl/>
        <w:jc w:val="left"/>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75" w:name="_Toc440"/>
      <w:bookmarkStart w:id="176" w:name="_Toc396689833"/>
      <w:bookmarkStart w:id="177" w:name="_Toc1873295553"/>
      <w:bookmarkStart w:id="178" w:name="_Toc1351959609"/>
      <w:r>
        <w:rPr>
          <w:rFonts w:ascii="Times New Roman Regular" w:hAnsi="Times New Roman Regular" w:eastAsia="黑体" w:cs="Times New Roman Regular"/>
          <w:color w:val="000000" w:themeColor="text1"/>
          <w:sz w:val="28"/>
          <w:szCs w:val="28"/>
          <w:lang w:bidi="ar"/>
          <w14:textFill>
            <w14:solidFill>
              <w14:schemeClr w14:val="tx1"/>
            </w14:solidFill>
          </w14:textFill>
        </w:rPr>
        <w:br w:type="page"/>
      </w:r>
    </w:p>
    <w:p w14:paraId="3F77EA16">
      <w:pPr>
        <w:widowControl/>
        <w:spacing w:line="560" w:lineRule="exact"/>
        <w:outlineLvl w:val="1"/>
        <w:rPr>
          <w:rFonts w:ascii="Times New Roman Regular" w:hAnsi="Times New Roman Regular" w:eastAsia="黑体" w:cs="Times New Roman Regular"/>
          <w:color w:val="000000" w:themeColor="text1"/>
          <w:sz w:val="28"/>
          <w:szCs w:val="28"/>
          <w:lang w:bidi="ar"/>
          <w14:textFill>
            <w14:solidFill>
              <w14:schemeClr w14:val="tx1"/>
            </w14:solidFill>
          </w14:textFill>
        </w:rPr>
      </w:pPr>
      <w:bookmarkStart w:id="179" w:name="_Toc1694037311"/>
      <w:r>
        <w:rPr>
          <w:rFonts w:ascii="Times New Roman Regular" w:hAnsi="Times New Roman Regular" w:eastAsia="黑体" w:cs="Times New Roman Regular"/>
          <w:color w:val="000000" w:themeColor="text1"/>
          <w:sz w:val="28"/>
          <w:szCs w:val="28"/>
          <w:lang w:bidi="ar"/>
          <w14:textFill>
            <w14:solidFill>
              <w14:schemeClr w14:val="tx1"/>
            </w14:solidFill>
          </w14:textFill>
        </w:rPr>
        <w:t>7.</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3</w:t>
      </w:r>
      <w:r>
        <w:rPr>
          <w:rFonts w:ascii="Times New Roman Regular" w:hAnsi="Times New Roman Regular" w:eastAsia="黑体" w:cs="Times New Roman Regular"/>
          <w:color w:val="000000" w:themeColor="text1"/>
          <w:sz w:val="28"/>
          <w:szCs w:val="28"/>
          <w:lang w:bidi="ar"/>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“十五五”低碳发展预测效果（芳烃延后情况下）</w:t>
      </w:r>
      <w:bookmarkEnd w:id="179"/>
    </w:p>
    <w:p w14:paraId="21E59B1F">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考虑到120万吨/年芳烃扩能项目存在建设周期、市场需求和价格波动的不确定性，研究专门设置了“芳烃延后实施”情景，即假定该项目在2030年前不投产，将产值、碳排放和能耗贡献推后到2031年之后。</w:t>
      </w:r>
    </w:p>
    <w:p w14:paraId="6411A102">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模型结果显示，延后该项目可在2030年减少约50万吨二氧化碳排放和27万吨标准煤能耗，整体降低公司2030年碳排放峰值。但由于芳烃项目本身的排放强度较高，延后实施也同步减少了产值贡献，使得公司整体排放强度改善幅度有限。</w:t>
      </w:r>
    </w:p>
    <w:p w14:paraId="770BC3CF">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具体来看，基准情景下2030年排放总量从1727万吨降至1677万吨，强度指标为1.77吨/万元；情景1（全部+创新措施）下强度为1.42吨/万元；情景4（保守情景）下为1.67吨/万元。</w:t>
      </w:r>
    </w:p>
    <w:p w14:paraId="4E511931">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这表明芳烃项目的投产时点对企业2030年碳排放总量影响显著，但对排放强度影响较小。因此在制定“十五五”低碳目标和考核指标时，需充分考虑芳烃项目建设节奏和产能利用率对总量和强度的不同作用，并结合投资计划和市场预期进行动态调整。</w:t>
      </w:r>
    </w:p>
    <w:p w14:paraId="30629E02">
      <w:pPr>
        <w:widowControl/>
        <w:spacing w:line="600" w:lineRule="exact"/>
        <w:ind w:firstLine="560" w:firstLineChars="200"/>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pPr>
    </w:p>
    <w:p w14:paraId="0256B99C">
      <w:pPr>
        <w:widowControl/>
        <w:snapToGrid w:val="0"/>
        <w:jc w:val="center"/>
        <w:rPr>
          <w:rFonts w:ascii="Times New Roman Regular" w:hAnsi="Times New Roman Regular" w:eastAsia="黑体" w:cs="Times New Roman Regular"/>
          <w:color w:val="000000" w:themeColor="text1"/>
          <w:sz w:val="20"/>
          <w:szCs w:val="20"/>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3</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LEAP模型多情景分析结果汇总（2030年预测，芳烃延后情况）</w:t>
      </w:r>
    </w:p>
    <w:p w14:paraId="69CCE9A3">
      <w:pPr>
        <w:widowControl/>
        <w:snapToGrid w:val="0"/>
        <w:jc w:val="center"/>
        <w:rPr>
          <w:rFonts w:ascii="Times New Roman Regular" w:hAnsi="Times New Roman Regular" w:eastAsia="黑体" w:cs="Times New Roman Regular"/>
          <w:color w:val="000000" w:themeColor="text1"/>
          <w:sz w:val="20"/>
          <w:szCs w:val="20"/>
          <w:lang w:bidi="ar"/>
          <w14:textFill>
            <w14:solidFill>
              <w14:schemeClr w14:val="tx1"/>
            </w14:solidFill>
          </w14:textFill>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0DB8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217" w:type="dxa"/>
            <w:vAlign w:val="center"/>
          </w:tcPr>
          <w:p w14:paraId="1881052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w:t>
            </w:r>
          </w:p>
        </w:tc>
        <w:tc>
          <w:tcPr>
            <w:tcW w:w="1217" w:type="dxa"/>
            <w:vAlign w:val="center"/>
          </w:tcPr>
          <w:p w14:paraId="375C2B7B">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投资额（万元）</w:t>
            </w:r>
          </w:p>
        </w:tc>
        <w:tc>
          <w:tcPr>
            <w:tcW w:w="1217" w:type="dxa"/>
            <w:vAlign w:val="center"/>
          </w:tcPr>
          <w:p w14:paraId="5B811F24">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2030年减排量（万吨CO₂）</w:t>
            </w:r>
          </w:p>
        </w:tc>
        <w:tc>
          <w:tcPr>
            <w:tcW w:w="1217" w:type="dxa"/>
            <w:vAlign w:val="center"/>
          </w:tcPr>
          <w:p w14:paraId="7C8CAF5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2030年碳排放总量（万吨CO₂）</w:t>
            </w:r>
          </w:p>
        </w:tc>
        <w:tc>
          <w:tcPr>
            <w:tcW w:w="1218" w:type="dxa"/>
            <w:vAlign w:val="center"/>
          </w:tcPr>
          <w:p w14:paraId="42139A3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2030年碳排放强度（吨/万元）</w:t>
            </w:r>
          </w:p>
        </w:tc>
        <w:tc>
          <w:tcPr>
            <w:tcW w:w="1218" w:type="dxa"/>
            <w:vAlign w:val="center"/>
          </w:tcPr>
          <w:p w14:paraId="19D70C7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综合能源消费总量（万吨标准煤）</w:t>
            </w:r>
          </w:p>
        </w:tc>
        <w:tc>
          <w:tcPr>
            <w:tcW w:w="1218" w:type="dxa"/>
            <w:vAlign w:val="center"/>
          </w:tcPr>
          <w:p w14:paraId="49ADA0D2">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能耗强度（吨标准煤/万元）</w:t>
            </w:r>
          </w:p>
        </w:tc>
      </w:tr>
      <w:tr w14:paraId="1776B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3C6046E">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基准情景（芳烃延后）</w:t>
            </w:r>
          </w:p>
        </w:tc>
        <w:tc>
          <w:tcPr>
            <w:tcW w:w="1217" w:type="dxa"/>
            <w:vAlign w:val="center"/>
          </w:tcPr>
          <w:p w14:paraId="142A181A">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1217" w:type="dxa"/>
            <w:vAlign w:val="center"/>
          </w:tcPr>
          <w:p w14:paraId="52C95F39">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0</w:t>
            </w:r>
          </w:p>
        </w:tc>
        <w:tc>
          <w:tcPr>
            <w:tcW w:w="1217" w:type="dxa"/>
            <w:vAlign w:val="center"/>
          </w:tcPr>
          <w:p w14:paraId="1F6AB66F">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1677.2</w:t>
            </w:r>
          </w:p>
        </w:tc>
        <w:tc>
          <w:tcPr>
            <w:tcW w:w="1218" w:type="dxa"/>
            <w:vAlign w:val="center"/>
          </w:tcPr>
          <w:p w14:paraId="27C525E6">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1.77</w:t>
            </w:r>
          </w:p>
        </w:tc>
        <w:tc>
          <w:tcPr>
            <w:tcW w:w="1218" w:type="dxa"/>
            <w:vAlign w:val="center"/>
          </w:tcPr>
          <w:p w14:paraId="40A66B0F">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基准情景（芳烃延后）</w:t>
            </w:r>
          </w:p>
        </w:tc>
        <w:tc>
          <w:tcPr>
            <w:tcW w:w="1218" w:type="dxa"/>
            <w:vAlign w:val="center"/>
          </w:tcPr>
          <w:p w14:paraId="17761533">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r>
      <w:tr w14:paraId="00379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5AD49486">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情景1（全部+创新，芳烃延后）</w:t>
            </w:r>
          </w:p>
        </w:tc>
        <w:tc>
          <w:tcPr>
            <w:tcW w:w="1217" w:type="dxa"/>
            <w:vAlign w:val="center"/>
          </w:tcPr>
          <w:p w14:paraId="354A3A92">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171,637</w:t>
            </w:r>
          </w:p>
        </w:tc>
        <w:tc>
          <w:tcPr>
            <w:tcW w:w="1217" w:type="dxa"/>
            <w:vAlign w:val="center"/>
          </w:tcPr>
          <w:p w14:paraId="5FA01D63">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332.92</w:t>
            </w:r>
          </w:p>
        </w:tc>
        <w:tc>
          <w:tcPr>
            <w:tcW w:w="1217" w:type="dxa"/>
            <w:vAlign w:val="center"/>
          </w:tcPr>
          <w:p w14:paraId="0B1A9F26">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1344.4</w:t>
            </w:r>
          </w:p>
        </w:tc>
        <w:tc>
          <w:tcPr>
            <w:tcW w:w="1218" w:type="dxa"/>
            <w:vAlign w:val="center"/>
          </w:tcPr>
          <w:p w14:paraId="4F6A18EE">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1.42</w:t>
            </w:r>
          </w:p>
        </w:tc>
        <w:tc>
          <w:tcPr>
            <w:tcW w:w="1218" w:type="dxa"/>
            <w:vAlign w:val="center"/>
          </w:tcPr>
          <w:p w14:paraId="762AF45C">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情景1（全部+创新，芳烃延后）</w:t>
            </w:r>
          </w:p>
        </w:tc>
        <w:tc>
          <w:tcPr>
            <w:tcW w:w="1218" w:type="dxa"/>
            <w:vAlign w:val="center"/>
          </w:tcPr>
          <w:p w14:paraId="39E32FF5">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171,637</w:t>
            </w:r>
          </w:p>
        </w:tc>
      </w:tr>
      <w:tr w14:paraId="0705F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17400CC5">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情景2（全部已规划，芳烃延后）</w:t>
            </w:r>
          </w:p>
        </w:tc>
        <w:tc>
          <w:tcPr>
            <w:tcW w:w="1217" w:type="dxa"/>
            <w:vAlign w:val="center"/>
          </w:tcPr>
          <w:p w14:paraId="1D7F3698">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134,637</w:t>
            </w:r>
          </w:p>
        </w:tc>
        <w:tc>
          <w:tcPr>
            <w:tcW w:w="1217" w:type="dxa"/>
            <w:vAlign w:val="center"/>
          </w:tcPr>
          <w:p w14:paraId="590206B4">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260.01</w:t>
            </w:r>
          </w:p>
        </w:tc>
        <w:tc>
          <w:tcPr>
            <w:tcW w:w="1217" w:type="dxa"/>
            <w:vAlign w:val="center"/>
          </w:tcPr>
          <w:p w14:paraId="72FF04BA">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1417.4</w:t>
            </w:r>
          </w:p>
        </w:tc>
        <w:tc>
          <w:tcPr>
            <w:tcW w:w="1218" w:type="dxa"/>
            <w:vAlign w:val="center"/>
          </w:tcPr>
          <w:p w14:paraId="233BAC8A">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1.49</w:t>
            </w:r>
          </w:p>
        </w:tc>
        <w:tc>
          <w:tcPr>
            <w:tcW w:w="1218" w:type="dxa"/>
            <w:vAlign w:val="center"/>
          </w:tcPr>
          <w:p w14:paraId="3A64F467">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情景2（全部已规划，芳烃延后）</w:t>
            </w:r>
          </w:p>
        </w:tc>
        <w:tc>
          <w:tcPr>
            <w:tcW w:w="1218" w:type="dxa"/>
            <w:vAlign w:val="center"/>
          </w:tcPr>
          <w:p w14:paraId="3CD1C9F1">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134,637</w:t>
            </w:r>
          </w:p>
        </w:tc>
      </w:tr>
      <w:tr w14:paraId="0FDC2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208FDF72">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情景3（权重打折，芳烃延后）</w:t>
            </w:r>
          </w:p>
        </w:tc>
        <w:tc>
          <w:tcPr>
            <w:tcW w:w="1217" w:type="dxa"/>
            <w:vAlign w:val="center"/>
          </w:tcPr>
          <w:p w14:paraId="16D74CF5">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126,013</w:t>
            </w:r>
          </w:p>
        </w:tc>
        <w:tc>
          <w:tcPr>
            <w:tcW w:w="1217" w:type="dxa"/>
            <w:vAlign w:val="center"/>
          </w:tcPr>
          <w:p w14:paraId="6C74A5AD">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158.41</w:t>
            </w:r>
          </w:p>
        </w:tc>
        <w:tc>
          <w:tcPr>
            <w:tcW w:w="1217" w:type="dxa"/>
            <w:vAlign w:val="center"/>
          </w:tcPr>
          <w:p w14:paraId="429479F6">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1518.9</w:t>
            </w:r>
          </w:p>
        </w:tc>
        <w:tc>
          <w:tcPr>
            <w:tcW w:w="1218" w:type="dxa"/>
            <w:vAlign w:val="center"/>
          </w:tcPr>
          <w:p w14:paraId="2DF66BC1">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1.60</w:t>
            </w:r>
          </w:p>
        </w:tc>
        <w:tc>
          <w:tcPr>
            <w:tcW w:w="1218" w:type="dxa"/>
            <w:vAlign w:val="center"/>
          </w:tcPr>
          <w:p w14:paraId="7947DC76">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情景3（权重打折，芳烃延后）</w:t>
            </w:r>
          </w:p>
        </w:tc>
        <w:tc>
          <w:tcPr>
            <w:tcW w:w="1218" w:type="dxa"/>
            <w:vAlign w:val="center"/>
          </w:tcPr>
          <w:p w14:paraId="6D52D9F6">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126,013</w:t>
            </w:r>
          </w:p>
        </w:tc>
      </w:tr>
      <w:tr w14:paraId="1176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vAlign w:val="center"/>
          </w:tcPr>
          <w:p w14:paraId="35F39CF5">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情景4（更保守权重，芳烃延后）</w:t>
            </w:r>
          </w:p>
        </w:tc>
        <w:tc>
          <w:tcPr>
            <w:tcW w:w="1217" w:type="dxa"/>
            <w:vAlign w:val="center"/>
          </w:tcPr>
          <w:p w14:paraId="18EE96CC">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103,670</w:t>
            </w:r>
          </w:p>
        </w:tc>
        <w:tc>
          <w:tcPr>
            <w:tcW w:w="1217" w:type="dxa"/>
            <w:vAlign w:val="center"/>
          </w:tcPr>
          <w:p w14:paraId="1F69AD5A">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91.00</w:t>
            </w:r>
          </w:p>
        </w:tc>
        <w:tc>
          <w:tcPr>
            <w:tcW w:w="1217" w:type="dxa"/>
            <w:vAlign w:val="center"/>
          </w:tcPr>
          <w:p w14:paraId="1D8A5B9D">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1586.5</w:t>
            </w:r>
          </w:p>
        </w:tc>
        <w:tc>
          <w:tcPr>
            <w:tcW w:w="1218" w:type="dxa"/>
            <w:vAlign w:val="center"/>
          </w:tcPr>
          <w:p w14:paraId="7C99FAFE">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1.67</w:t>
            </w:r>
          </w:p>
        </w:tc>
        <w:tc>
          <w:tcPr>
            <w:tcW w:w="1218" w:type="dxa"/>
            <w:vAlign w:val="center"/>
          </w:tcPr>
          <w:p w14:paraId="7EEFE581">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情景4（更保守权重，芳烃延后）</w:t>
            </w:r>
          </w:p>
        </w:tc>
        <w:tc>
          <w:tcPr>
            <w:tcW w:w="1218" w:type="dxa"/>
            <w:vAlign w:val="center"/>
          </w:tcPr>
          <w:p w14:paraId="2E96A7A1">
            <w:pPr>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103,670</w:t>
            </w:r>
          </w:p>
        </w:tc>
      </w:tr>
    </w:tbl>
    <w:p w14:paraId="71FD03B6">
      <w:pPr>
        <w:widowControl/>
        <w:spacing w:line="600" w:lineRule="exact"/>
        <w:ind w:firstLine="560" w:firstLineChars="200"/>
        <w:rPr>
          <w:rFonts w:ascii="Times New Roman Regular" w:hAnsi="Times New Roman Regular" w:eastAsia="黑体" w:cs="Times New Roman Regular"/>
          <w:color w:val="000000" w:themeColor="text1"/>
          <w:sz w:val="28"/>
          <w:szCs w:val="28"/>
          <w:lang w:bidi="ar"/>
          <w14:textFill>
            <w14:solidFill>
              <w14:schemeClr w14:val="tx1"/>
            </w14:solidFill>
          </w14:textFill>
        </w:rPr>
      </w:pPr>
      <w:r>
        <w:rPr>
          <w:rFonts w:ascii="Times New Roman Regular" w:hAnsi="Times New Roman Regular" w:eastAsia="黑体" w:cs="Times New Roman Regular"/>
          <w:color w:val="000000" w:themeColor="text1"/>
          <w:sz w:val="28"/>
          <w:szCs w:val="28"/>
          <w:lang w:bidi="ar"/>
          <w14:textFill>
            <w14:solidFill>
              <w14:schemeClr w14:val="tx1"/>
            </w14:solidFill>
          </w14:textFill>
        </w:rPr>
        <w:br w:type="page"/>
      </w:r>
    </w:p>
    <w:p w14:paraId="5E116D36">
      <w:pPr>
        <w:widowControl/>
        <w:spacing w:line="560" w:lineRule="exact"/>
        <w:outlineLvl w:val="1"/>
        <w:rPr>
          <w:color w:val="000000" w:themeColor="text1"/>
          <w14:textFill>
            <w14:solidFill>
              <w14:schemeClr w14:val="tx1"/>
            </w14:solidFill>
          </w14:textFill>
        </w:rPr>
      </w:pPr>
      <w:bookmarkStart w:id="180" w:name="_Toc346894051"/>
      <w:r>
        <w:rPr>
          <w:rFonts w:ascii="Times New Roman Regular" w:hAnsi="Times New Roman Regular" w:eastAsia="黑体" w:cs="Times New Roman Regular"/>
          <w:color w:val="000000" w:themeColor="text1"/>
          <w:sz w:val="28"/>
          <w:szCs w:val="28"/>
          <w:lang w:bidi="ar"/>
          <w14:textFill>
            <w14:solidFill>
              <w14:schemeClr w14:val="tx1"/>
            </w14:solidFill>
          </w14:textFill>
        </w:rPr>
        <w:t>7.</w:t>
      </w:r>
      <w:r>
        <w:rPr>
          <w:rFonts w:hint="eastAsia" w:ascii="Times New Roman Regular" w:hAnsi="Times New Roman Regular" w:eastAsia="黑体" w:cs="Times New Roman Regular"/>
          <w:color w:val="000000" w:themeColor="text1"/>
          <w:sz w:val="28"/>
          <w:szCs w:val="28"/>
          <w:lang w:bidi="ar"/>
          <w14:textFill>
            <w14:solidFill>
              <w14:schemeClr w14:val="tx1"/>
            </w14:solidFill>
          </w14:textFill>
        </w:rPr>
        <w:t>4</w:t>
      </w:r>
      <w:r>
        <w:rPr>
          <w:rFonts w:ascii="Times New Roman Regular" w:hAnsi="Times New Roman Regular" w:eastAsia="黑体" w:cs="Times New Roman Regular"/>
          <w:color w:val="000000" w:themeColor="text1"/>
          <w:sz w:val="28"/>
          <w:szCs w:val="28"/>
          <w:lang w:bidi="ar"/>
          <w14:textFill>
            <w14:solidFill>
              <w14:schemeClr w14:val="tx1"/>
            </w14:solidFill>
          </w14:textFill>
        </w:rPr>
        <w:t xml:space="preserve"> 碳中和情景展望</w:t>
      </w:r>
      <w:bookmarkEnd w:id="175"/>
      <w:bookmarkEnd w:id="176"/>
      <w:bookmarkEnd w:id="177"/>
      <w:bookmarkEnd w:id="178"/>
      <w:bookmarkEnd w:id="180"/>
    </w:p>
    <w:p w14:paraId="323F3BB4">
      <w:pPr>
        <w:widowControl/>
        <w:rPr>
          <w:color w:val="000000" w:themeColor="text1"/>
          <w14:textFill>
            <w14:solidFill>
              <w14:schemeClr w14:val="tx1"/>
            </w14:solidFill>
          </w14:textFill>
        </w:rPr>
      </w:pPr>
    </w:p>
    <w:p w14:paraId="64049EAE">
      <w:pPr>
        <w:widowControl/>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68595" cy="2611120"/>
            <wp:effectExtent l="0" t="0" r="1905" b="5080"/>
            <wp:docPr id="1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
                    <pic:cNvPicPr>
                      <a:picLocks noChangeAspect="1"/>
                    </pic:cNvPicPr>
                  </pic:nvPicPr>
                  <pic:blipFill>
                    <a:blip r:embed="rId24"/>
                    <a:stretch>
                      <a:fillRect/>
                    </a:stretch>
                  </pic:blipFill>
                  <pic:spPr>
                    <a:xfrm>
                      <a:off x="0" y="0"/>
                      <a:ext cx="5268595" cy="2611120"/>
                    </a:xfrm>
                    <a:prstGeom prst="rect">
                      <a:avLst/>
                    </a:prstGeom>
                    <a:noFill/>
                    <a:ln>
                      <a:noFill/>
                    </a:ln>
                  </pic:spPr>
                </pic:pic>
              </a:graphicData>
            </a:graphic>
          </wp:inline>
        </w:drawing>
      </w:r>
    </w:p>
    <w:p w14:paraId="4C336CE1">
      <w:pPr>
        <w:widowControl/>
        <w:spacing w:line="560" w:lineRule="exact"/>
        <w:jc w:val="center"/>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图</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4“十五五”中化能源碳排放情景对比图（芳烃延后）</w:t>
      </w:r>
    </w:p>
    <w:p w14:paraId="3CD4FF1C">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从石化行业总体碳排放特征来看，化石燃料燃烧、工业生产过程排放、净购入电力和热力排放均对碳排放有一定贡献，可以分别施策、定向减碳。通过采用包括绿氢、天然气、乙烷、丙烷在内的低碳原料可以减少工业过程中的排放，通过采用低碳燃料可以减少化石燃料燃烧碳排放，采用深度电气化可以减少净购入电力和热力合计的碳排放。通过CCUS可以减少化石燃料燃烧和工业生产过程排放等直接排放的CO2。通过采取各种节能降耗技术及采用数字化可以取得整体减碳的效果，结合以上分析，中化能源碳达峰碳中和路径可以从产业结构调整、轻质原料替代、节能降耗、发展绿氢、深度电气化、CCUS等多方面入手，具体对应减排潜力详见下表。</w:t>
      </w:r>
    </w:p>
    <w:p w14:paraId="3234D3C4">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3264E799">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5B4B9F45">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7CC5FBB0">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08163ACD">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p>
    <w:p w14:paraId="4F0F9947">
      <w:pPr>
        <w:widowControl/>
        <w:jc w:val="center"/>
        <w:rPr>
          <w:rFonts w:ascii="Times New Roman Regular" w:hAnsi="Times New Roman Regular" w:eastAsia="黑体" w:cs="Times New Roman Regular"/>
          <w:color w:val="000000" w:themeColor="text1"/>
          <w:sz w:val="28"/>
          <w:szCs w:val="28"/>
          <w14:textFill>
            <w14:solidFill>
              <w14:schemeClr w14:val="tx1"/>
            </w14:solidFill>
          </w14:textFill>
        </w:rPr>
      </w:pPr>
      <w:r>
        <w:rPr>
          <w:rFonts w:ascii="Times New Roman Regular" w:hAnsi="Times New Roman Regular" w:eastAsia="黑体" w:cs="Times New Roman Regular"/>
          <w:color w:val="000000" w:themeColor="text1"/>
          <w:sz w:val="20"/>
          <w:szCs w:val="20"/>
          <w14:textFill>
            <w14:solidFill>
              <w14:schemeClr w14:val="tx1"/>
            </w14:solidFill>
          </w14:textFill>
        </w:rPr>
        <w:t>表</w:t>
      </w:r>
      <w:r>
        <w:rPr>
          <w:rFonts w:hint="eastAsia" w:ascii="Times New Roman Regular" w:hAnsi="Times New Roman Regular" w:eastAsia="黑体" w:cs="Times New Roman Regular"/>
          <w:color w:val="000000" w:themeColor="text1"/>
          <w:sz w:val="20"/>
          <w:szCs w:val="20"/>
          <w14:textFill>
            <w14:solidFill>
              <w14:schemeClr w14:val="tx1"/>
            </w14:solidFill>
          </w14:textFill>
        </w:rPr>
        <w:t>7</w:t>
      </w:r>
      <w:r>
        <w:rPr>
          <w:rFonts w:ascii="Times New Roman Regular" w:hAnsi="Times New Roman Regular" w:eastAsia="黑体" w:cs="Times New Roman Regular"/>
          <w:color w:val="000000" w:themeColor="text1"/>
          <w:sz w:val="20"/>
          <w:szCs w:val="20"/>
          <w14:textFill>
            <w14:solidFill>
              <w14:schemeClr w14:val="tx1"/>
            </w14:solidFill>
          </w14:textFill>
        </w:rPr>
        <w:t>-</w:t>
      </w:r>
      <w:r>
        <w:rPr>
          <w:rFonts w:hint="eastAsia" w:ascii="Times New Roman Regular" w:hAnsi="Times New Roman Regular" w:eastAsia="黑体" w:cs="Times New Roman Regular"/>
          <w:color w:val="000000" w:themeColor="text1"/>
          <w:sz w:val="20"/>
          <w:szCs w:val="20"/>
          <w14:textFill>
            <w14:solidFill>
              <w14:schemeClr w14:val="tx1"/>
            </w14:solidFill>
          </w14:textFill>
        </w:rPr>
        <w:t>3</w:t>
      </w:r>
      <w:r>
        <w:rPr>
          <w:rFonts w:ascii="Times New Roman Regular" w:hAnsi="Times New Roman Regular" w:eastAsia="黑体" w:cs="Times New Roman Regular"/>
          <w:color w:val="000000" w:themeColor="text1"/>
          <w:sz w:val="20"/>
          <w:szCs w:val="20"/>
          <w14:textFill>
            <w14:solidFill>
              <w14:schemeClr w14:val="tx1"/>
            </w14:solidFill>
          </w14:textFill>
        </w:rPr>
        <w:t xml:space="preserve"> </w:t>
      </w:r>
      <w:r>
        <w:rPr>
          <w:rFonts w:hint="eastAsia" w:ascii="Times New Roman Regular" w:hAnsi="Times New Roman Regular" w:eastAsia="黑体" w:cs="Times New Roman Regular"/>
          <w:color w:val="000000" w:themeColor="text1"/>
          <w:sz w:val="20"/>
          <w:szCs w:val="20"/>
          <w14:textFill>
            <w14:solidFill>
              <w14:schemeClr w14:val="tx1"/>
            </w14:solidFill>
          </w14:textFill>
        </w:rPr>
        <w:t>远期减排潜力</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50A2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2130" w:type="dxa"/>
            <w:vAlign w:val="center"/>
          </w:tcPr>
          <w:p w14:paraId="12432055">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序号</w:t>
            </w:r>
          </w:p>
        </w:tc>
        <w:tc>
          <w:tcPr>
            <w:tcW w:w="2130" w:type="dxa"/>
            <w:vAlign w:val="center"/>
          </w:tcPr>
          <w:p w14:paraId="25FDBA82">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项目</w:t>
            </w:r>
          </w:p>
        </w:tc>
        <w:tc>
          <w:tcPr>
            <w:tcW w:w="2131" w:type="dxa"/>
            <w:vAlign w:val="center"/>
          </w:tcPr>
          <w:p w14:paraId="6B06C534">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排放量与减排量</w:t>
            </w:r>
          </w:p>
          <w:p w14:paraId="162E8DC4">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万吨CO</w:t>
            </w:r>
            <w:r>
              <w:rPr>
                <w:rFonts w:ascii="Times New Roman Regular" w:hAnsi="Times New Roman Regular" w:eastAsia="华文楷体" w:cs="Times New Roman Regular"/>
                <w:bCs/>
                <w:color w:val="000000" w:themeColor="text1"/>
                <w:kern w:val="0"/>
                <w:sz w:val="20"/>
                <w:szCs w:val="21"/>
                <w:vertAlign w:val="subscript"/>
                <w:lang w:bidi="ar"/>
                <w14:textFill>
                  <w14:solidFill>
                    <w14:schemeClr w14:val="tx1"/>
                  </w14:solidFill>
                </w14:textFill>
              </w:rPr>
              <w:t>2</w:t>
            </w: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w:t>
            </w:r>
          </w:p>
        </w:tc>
        <w:tc>
          <w:tcPr>
            <w:tcW w:w="2131" w:type="dxa"/>
            <w:vAlign w:val="center"/>
          </w:tcPr>
          <w:p w14:paraId="31BCFB3B">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减排占比</w:t>
            </w:r>
          </w:p>
        </w:tc>
      </w:tr>
      <w:tr w14:paraId="7BCA1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D99D6D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1</w:t>
            </w:r>
          </w:p>
        </w:tc>
        <w:tc>
          <w:tcPr>
            <w:tcW w:w="2130" w:type="dxa"/>
            <w:vAlign w:val="center"/>
          </w:tcPr>
          <w:p w14:paraId="542C2E0E">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基准情景下2060年碳排放</w:t>
            </w:r>
          </w:p>
        </w:tc>
        <w:tc>
          <w:tcPr>
            <w:tcW w:w="2131" w:type="dxa"/>
            <w:vAlign w:val="center"/>
          </w:tcPr>
          <w:p w14:paraId="264D0AF7">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1586</w:t>
            </w:r>
          </w:p>
        </w:tc>
        <w:tc>
          <w:tcPr>
            <w:tcW w:w="2131" w:type="dxa"/>
            <w:vAlign w:val="center"/>
          </w:tcPr>
          <w:p w14:paraId="248E77ED">
            <w:pPr>
              <w:widowControl/>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p>
        </w:tc>
      </w:tr>
      <w:tr w14:paraId="4ED32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F70C6D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w:t>
            </w:r>
          </w:p>
        </w:tc>
        <w:tc>
          <w:tcPr>
            <w:tcW w:w="2130" w:type="dxa"/>
            <w:vAlign w:val="center"/>
          </w:tcPr>
          <w:p w14:paraId="4622616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主要碳减排路径的减排量</w:t>
            </w:r>
          </w:p>
        </w:tc>
        <w:tc>
          <w:tcPr>
            <w:tcW w:w="2131" w:type="dxa"/>
            <w:vAlign w:val="center"/>
          </w:tcPr>
          <w:p w14:paraId="58D322A2">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776.5056</w:t>
            </w:r>
          </w:p>
        </w:tc>
        <w:tc>
          <w:tcPr>
            <w:tcW w:w="2131" w:type="dxa"/>
            <w:vAlign w:val="center"/>
          </w:tcPr>
          <w:p w14:paraId="5DC8FF49">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48.96%</w:t>
            </w:r>
          </w:p>
        </w:tc>
      </w:tr>
      <w:tr w14:paraId="5981A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037563E">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2.1</w:t>
            </w:r>
          </w:p>
        </w:tc>
        <w:tc>
          <w:tcPr>
            <w:tcW w:w="2130" w:type="dxa"/>
            <w:vAlign w:val="center"/>
          </w:tcPr>
          <w:p w14:paraId="4D99317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产业结构调整</w:t>
            </w:r>
          </w:p>
        </w:tc>
        <w:tc>
          <w:tcPr>
            <w:tcW w:w="2131" w:type="dxa"/>
            <w:vAlign w:val="center"/>
          </w:tcPr>
          <w:p w14:paraId="02359611">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271.0474</w:t>
            </w:r>
          </w:p>
        </w:tc>
        <w:tc>
          <w:tcPr>
            <w:tcW w:w="2131" w:type="dxa"/>
            <w:vAlign w:val="center"/>
          </w:tcPr>
          <w:p w14:paraId="1A333793">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17.09%</w:t>
            </w:r>
          </w:p>
        </w:tc>
      </w:tr>
      <w:tr w14:paraId="3EF92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3E7FF3C4">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2.2</w:t>
            </w:r>
          </w:p>
        </w:tc>
        <w:tc>
          <w:tcPr>
            <w:tcW w:w="2130" w:type="dxa"/>
            <w:vAlign w:val="center"/>
          </w:tcPr>
          <w:p w14:paraId="29DB11D6">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轻质原料替代</w:t>
            </w:r>
          </w:p>
        </w:tc>
        <w:tc>
          <w:tcPr>
            <w:tcW w:w="2131" w:type="dxa"/>
            <w:vAlign w:val="center"/>
          </w:tcPr>
          <w:p w14:paraId="403E03D5">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47.58</w:t>
            </w:r>
          </w:p>
        </w:tc>
        <w:tc>
          <w:tcPr>
            <w:tcW w:w="2131" w:type="dxa"/>
            <w:vAlign w:val="center"/>
          </w:tcPr>
          <w:p w14:paraId="12DCFAA0">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3.00%</w:t>
            </w:r>
          </w:p>
        </w:tc>
      </w:tr>
      <w:tr w14:paraId="1FEF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7BD291F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2.3</w:t>
            </w:r>
          </w:p>
        </w:tc>
        <w:tc>
          <w:tcPr>
            <w:tcW w:w="2130" w:type="dxa"/>
            <w:vAlign w:val="center"/>
          </w:tcPr>
          <w:p w14:paraId="6EE15A8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节能降耗</w:t>
            </w:r>
          </w:p>
        </w:tc>
        <w:tc>
          <w:tcPr>
            <w:tcW w:w="2131" w:type="dxa"/>
            <w:vAlign w:val="center"/>
          </w:tcPr>
          <w:p w14:paraId="3C7AC739">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128.1488</w:t>
            </w:r>
          </w:p>
        </w:tc>
        <w:tc>
          <w:tcPr>
            <w:tcW w:w="2131" w:type="dxa"/>
            <w:vAlign w:val="center"/>
          </w:tcPr>
          <w:p w14:paraId="2A3DADE1">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8.08%</w:t>
            </w:r>
          </w:p>
        </w:tc>
      </w:tr>
      <w:tr w14:paraId="4B2D8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2517290">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2.4</w:t>
            </w:r>
          </w:p>
        </w:tc>
        <w:tc>
          <w:tcPr>
            <w:tcW w:w="2130" w:type="dxa"/>
            <w:vAlign w:val="center"/>
          </w:tcPr>
          <w:p w14:paraId="7959AA5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发展绿氢</w:t>
            </w:r>
          </w:p>
        </w:tc>
        <w:tc>
          <w:tcPr>
            <w:tcW w:w="2131" w:type="dxa"/>
            <w:vAlign w:val="center"/>
          </w:tcPr>
          <w:p w14:paraId="0BA61F11">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153.842</w:t>
            </w:r>
          </w:p>
        </w:tc>
        <w:tc>
          <w:tcPr>
            <w:tcW w:w="2131" w:type="dxa"/>
            <w:vAlign w:val="center"/>
          </w:tcPr>
          <w:p w14:paraId="4D0EBDDF">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9.70%</w:t>
            </w:r>
          </w:p>
        </w:tc>
      </w:tr>
      <w:tr w14:paraId="4C342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363472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2.5</w:t>
            </w:r>
          </w:p>
        </w:tc>
        <w:tc>
          <w:tcPr>
            <w:tcW w:w="2130" w:type="dxa"/>
            <w:vAlign w:val="center"/>
          </w:tcPr>
          <w:p w14:paraId="00A88B81">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深度电气化</w:t>
            </w:r>
          </w:p>
        </w:tc>
        <w:tc>
          <w:tcPr>
            <w:tcW w:w="2131" w:type="dxa"/>
            <w:vAlign w:val="center"/>
          </w:tcPr>
          <w:p w14:paraId="092635CB">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65.9776</w:t>
            </w:r>
          </w:p>
        </w:tc>
        <w:tc>
          <w:tcPr>
            <w:tcW w:w="2131" w:type="dxa"/>
            <w:vAlign w:val="center"/>
          </w:tcPr>
          <w:p w14:paraId="463DD0EE">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4.16%</w:t>
            </w:r>
          </w:p>
        </w:tc>
      </w:tr>
      <w:tr w14:paraId="505AE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AFAEE28">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2.6</w:t>
            </w:r>
          </w:p>
        </w:tc>
        <w:tc>
          <w:tcPr>
            <w:tcW w:w="2130" w:type="dxa"/>
            <w:vAlign w:val="center"/>
          </w:tcPr>
          <w:p w14:paraId="52539DB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CCUS</w:t>
            </w:r>
          </w:p>
        </w:tc>
        <w:tc>
          <w:tcPr>
            <w:tcW w:w="2131" w:type="dxa"/>
            <w:vAlign w:val="center"/>
          </w:tcPr>
          <w:p w14:paraId="36CE83B9">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109.9098</w:t>
            </w:r>
          </w:p>
        </w:tc>
        <w:tc>
          <w:tcPr>
            <w:tcW w:w="2131" w:type="dxa"/>
            <w:vAlign w:val="center"/>
          </w:tcPr>
          <w:p w14:paraId="148F23CD">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6.93%</w:t>
            </w:r>
          </w:p>
        </w:tc>
      </w:tr>
      <w:tr w14:paraId="5EFE1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6C92639D">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3</w:t>
            </w:r>
          </w:p>
        </w:tc>
        <w:tc>
          <w:tcPr>
            <w:tcW w:w="2130" w:type="dxa"/>
            <w:vAlign w:val="center"/>
          </w:tcPr>
          <w:p w14:paraId="7ED23FCF">
            <w:pPr>
              <w:widowControl/>
              <w:snapToGrid w:val="0"/>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Times New Roman Regular" w:hAnsi="Times New Roman Regular" w:eastAsia="华文楷体" w:cs="Times New Roman Regular"/>
                <w:bCs/>
                <w:color w:val="000000" w:themeColor="text1"/>
                <w:kern w:val="0"/>
                <w:sz w:val="20"/>
                <w:szCs w:val="21"/>
                <w:lang w:bidi="ar"/>
                <w14:textFill>
                  <w14:solidFill>
                    <w14:schemeClr w14:val="tx1"/>
                  </w14:solidFill>
                </w14:textFill>
              </w:rPr>
              <w:t>采取减碳路径后碳排放量</w:t>
            </w:r>
          </w:p>
        </w:tc>
        <w:tc>
          <w:tcPr>
            <w:tcW w:w="2131" w:type="dxa"/>
            <w:vAlign w:val="center"/>
          </w:tcPr>
          <w:p w14:paraId="25728EB4">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ascii="Times New Roman Regular" w:hAnsi="Times New Roman Regular" w:eastAsia="Times New Roman Regular" w:cs="Times New Roman Regular"/>
                <w:color w:val="000000" w:themeColor="text1"/>
                <w:kern w:val="0"/>
                <w:sz w:val="20"/>
                <w:szCs w:val="20"/>
                <w:lang w:bidi="ar"/>
                <w14:textFill>
                  <w14:solidFill>
                    <w14:schemeClr w14:val="tx1"/>
                  </w14:solidFill>
                </w14:textFill>
              </w:rPr>
              <w:t>809.4944</w:t>
            </w:r>
          </w:p>
        </w:tc>
        <w:tc>
          <w:tcPr>
            <w:tcW w:w="2131" w:type="dxa"/>
            <w:vAlign w:val="center"/>
          </w:tcPr>
          <w:p w14:paraId="025A145E">
            <w:pPr>
              <w:widowControl/>
              <w:textAlignment w:val="center"/>
              <w:rPr>
                <w:rFonts w:ascii="Times New Roman Regular" w:hAnsi="Times New Roman Regular" w:eastAsia="华文楷体" w:cs="Times New Roman Regular"/>
                <w:bCs/>
                <w:color w:val="000000" w:themeColor="text1"/>
                <w:kern w:val="0"/>
                <w:sz w:val="20"/>
                <w:szCs w:val="21"/>
                <w:lang w:bidi="ar"/>
                <w14:textFill>
                  <w14:solidFill>
                    <w14:schemeClr w14:val="tx1"/>
                  </w14:solidFill>
                </w14:textFill>
              </w:rPr>
            </w:pPr>
            <w:r>
              <w:rPr>
                <w:rFonts w:hint="eastAsia" w:ascii="宋体" w:hAnsi="宋体" w:eastAsia="宋体" w:cs="宋体"/>
                <w:color w:val="000000" w:themeColor="text1"/>
                <w:kern w:val="0"/>
                <w:sz w:val="22"/>
                <w:szCs w:val="22"/>
                <w:lang w:bidi="ar"/>
                <w14:textFill>
                  <w14:solidFill>
                    <w14:schemeClr w14:val="tx1"/>
                  </w14:solidFill>
                </w14:textFill>
              </w:rPr>
              <w:t>/</w:t>
            </w:r>
          </w:p>
        </w:tc>
      </w:tr>
    </w:tbl>
    <w:p w14:paraId="161F9F1D">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sectPr>
          <w:type w:val="continuous"/>
          <w:pgSz w:w="11906" w:h="16838"/>
          <w:pgMar w:top="1440" w:right="1800" w:bottom="1440" w:left="1800" w:header="851" w:footer="992" w:gutter="0"/>
          <w:pgNumType w:fmt="numberInDash"/>
          <w:cols w:space="425" w:num="1"/>
          <w:docGrid w:type="lines" w:linePitch="312" w:charSpace="0"/>
        </w:sectPr>
      </w:pPr>
    </w:p>
    <w:p w14:paraId="34F2BAA8">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br w:type="page"/>
      </w:r>
    </w:p>
    <w:p w14:paraId="5F4A4579">
      <w:pPr>
        <w:widowControl/>
        <w:spacing w:line="560" w:lineRule="exact"/>
        <w:outlineLvl w:val="0"/>
        <w:rPr>
          <w:rFonts w:ascii="Times New Roman Regular" w:hAnsi="Times New Roman Regular" w:eastAsia="方正公文小标宋" w:cs="Times New Roman Regular"/>
          <w:color w:val="000000" w:themeColor="text1"/>
          <w:sz w:val="28"/>
          <w:szCs w:val="28"/>
          <w14:textFill>
            <w14:solidFill>
              <w14:schemeClr w14:val="tx1"/>
            </w14:solidFill>
          </w14:textFill>
        </w:rPr>
      </w:pPr>
      <w:bookmarkStart w:id="181" w:name="_Toc2008163203"/>
      <w:bookmarkStart w:id="182" w:name="_Toc30888"/>
      <w:bookmarkStart w:id="183" w:name="_Toc1376782943"/>
      <w:bookmarkStart w:id="184" w:name="_Toc220610604"/>
      <w:bookmarkStart w:id="185" w:name="_Toc1977697199"/>
      <w:r>
        <w:rPr>
          <w:rFonts w:ascii="Times New Roman Regular" w:hAnsi="Times New Roman Regular" w:eastAsia="方正公文小标宋" w:cs="Times New Roman Regular"/>
          <w:color w:val="000000" w:themeColor="text1"/>
          <w:sz w:val="28"/>
          <w:szCs w:val="28"/>
          <w14:textFill>
            <w14:solidFill>
              <w14:schemeClr w14:val="tx1"/>
            </w14:solidFill>
          </w14:textFill>
        </w:rPr>
        <w:t>八、保障措施及建议</w:t>
      </w:r>
      <w:bookmarkEnd w:id="181"/>
      <w:bookmarkEnd w:id="182"/>
      <w:bookmarkEnd w:id="183"/>
      <w:bookmarkEnd w:id="184"/>
      <w:bookmarkEnd w:id="185"/>
      <w:r>
        <w:rPr>
          <w:rFonts w:ascii="Times New Roman Regular" w:hAnsi="Times New Roman Regular" w:eastAsia="方正公文小标宋" w:cs="Times New Roman Regular"/>
          <w:color w:val="000000" w:themeColor="text1"/>
          <w:sz w:val="28"/>
          <w:szCs w:val="28"/>
          <w14:textFill>
            <w14:solidFill>
              <w14:schemeClr w14:val="tx1"/>
            </w14:solidFill>
          </w14:textFill>
        </w:rPr>
        <w:t>（</w:t>
      </w:r>
      <w:r>
        <w:rPr>
          <w:rFonts w:ascii="宋体" w:hAnsi="宋体" w:eastAsia="宋体" w:cs="宋体"/>
          <w:color w:val="000000" w:themeColor="text1"/>
          <w:sz w:val="28"/>
          <w:szCs w:val="28"/>
          <w14:textFill>
            <w14:solidFill>
              <w14:schemeClr w14:val="tx1"/>
            </w14:solidFill>
          </w14:textFill>
        </w:rPr>
        <w:t>请补充科技创新方面的保障措施</w:t>
      </w:r>
      <w:r>
        <w:rPr>
          <w:rFonts w:ascii="Times New Roman Regular" w:hAnsi="Times New Roman Regular" w:eastAsia="方正公文小标宋" w:cs="Times New Roman Regular"/>
          <w:color w:val="000000" w:themeColor="text1"/>
          <w:sz w:val="28"/>
          <w:szCs w:val="28"/>
          <w14:textFill>
            <w14:solidFill>
              <w14:schemeClr w14:val="tx1"/>
            </w14:solidFill>
          </w14:textFill>
        </w:rPr>
        <w:t>）</w:t>
      </w:r>
    </w:p>
    <w:p w14:paraId="1750BECD">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186" w:name="_Toc404935327"/>
      <w:bookmarkStart w:id="187" w:name="_Toc1345956569"/>
      <w:bookmarkStart w:id="188" w:name="_Toc14148"/>
      <w:bookmarkStart w:id="189" w:name="_Toc1245646706"/>
      <w:bookmarkStart w:id="190" w:name="_Toc454626576"/>
      <w:r>
        <w:rPr>
          <w:rFonts w:ascii="Times New Roman Regular" w:hAnsi="Times New Roman Regular" w:eastAsia="仿宋_GB2312" w:cs="Times New Roman Regular"/>
          <w:color w:val="000000" w:themeColor="text1"/>
          <w:sz w:val="28"/>
          <w:szCs w:val="28"/>
          <w14:textFill>
            <w14:solidFill>
              <w14:schemeClr w14:val="tx1"/>
            </w14:solidFill>
          </w14:textFill>
        </w:rPr>
        <w:t>8.1 加强组织领导与协调</w:t>
      </w:r>
      <w:bookmarkEnd w:id="186"/>
      <w:bookmarkEnd w:id="187"/>
      <w:bookmarkEnd w:id="188"/>
      <w:bookmarkEnd w:id="189"/>
      <w:bookmarkEnd w:id="190"/>
    </w:p>
    <w:p w14:paraId="628EC83B">
      <w:pPr>
        <w:widowControl/>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建立健全</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中化能源</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绿色低碳管理运营机制，加强配套组织管理体系建设。组建专业团队全面统筹</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中化能源</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的绿色低碳发展。设置低碳发展和碳管理工作专岗，配合落实中国中化低碳发展相关任务，符合常具体工作职责。在现有绩效考核制度框架体系下，将绿色低碳发展相关工作纳入到相关部门、人员的年度绩效考核目标体系，全面提升绿色低碳运营水平。</w:t>
      </w:r>
    </w:p>
    <w:p w14:paraId="7F6219AD">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191" w:name="_Toc162046806"/>
      <w:bookmarkStart w:id="192" w:name="_Toc2046801332"/>
      <w:bookmarkStart w:id="193" w:name="_Toc372363546"/>
      <w:bookmarkStart w:id="194" w:name="_Toc3294"/>
      <w:bookmarkStart w:id="195" w:name="_Toc1913596786"/>
      <w:r>
        <w:rPr>
          <w:rFonts w:ascii="Times New Roman Regular" w:hAnsi="Times New Roman Regular" w:eastAsia="仿宋_GB2312" w:cs="Times New Roman Regular"/>
          <w:color w:val="000000" w:themeColor="text1"/>
          <w:sz w:val="28"/>
          <w:szCs w:val="28"/>
          <w14:textFill>
            <w14:solidFill>
              <w14:schemeClr w14:val="tx1"/>
            </w14:solidFill>
          </w14:textFill>
        </w:rPr>
        <w:t>8.2 完善制度体系与政策支持</w:t>
      </w:r>
      <w:bookmarkEnd w:id="191"/>
      <w:bookmarkEnd w:id="192"/>
      <w:bookmarkEnd w:id="193"/>
      <w:bookmarkEnd w:id="194"/>
      <w:bookmarkEnd w:id="195"/>
    </w:p>
    <w:p w14:paraId="188D2410">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制定</w:t>
      </w:r>
      <w:r>
        <w:rPr>
          <w:rFonts w:ascii="Times New Roman Regular" w:hAnsi="Times New Roman Regular" w:eastAsia="仿宋_GB2312" w:cs="Times New Roman Regular"/>
          <w:color w:val="000000" w:themeColor="text1"/>
          <w:kern w:val="0"/>
          <w:sz w:val="28"/>
          <w:szCs w:val="28"/>
          <w:lang w:eastAsia="zh" w:bidi="ar"/>
          <w14:textFill>
            <w14:solidFill>
              <w14:schemeClr w14:val="tx1"/>
            </w14:solidFill>
          </w14:textFill>
        </w:rPr>
        <w:t>企业碳达峰碳中和行动方案</w:t>
      </w: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及配套管理制度，明确碳排放核算、监测、报告与核查（MRV）标准。建立内部碳定价机制，将碳排放成本纳入项目经济性评估。争取纳入国家绿色制造示范企业、低碳技术试点等政策支持范围，申请节能环保专项补贴、碳减排优惠贷款等资金。定期开展政策解读与合规性审查，确保与国家“十五五”规划、行业碳达峰方案动态衔接。</w:t>
      </w:r>
    </w:p>
    <w:p w14:paraId="1541430F">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196" w:name="_Toc1106084830"/>
      <w:bookmarkStart w:id="197" w:name="_Toc49445631"/>
      <w:bookmarkStart w:id="198" w:name="_Toc546770264"/>
      <w:bookmarkStart w:id="199" w:name="_Toc9396"/>
      <w:bookmarkStart w:id="200" w:name="_Toc511404046"/>
      <w:r>
        <w:rPr>
          <w:rFonts w:ascii="Times New Roman Regular" w:hAnsi="Times New Roman Regular" w:eastAsia="仿宋_GB2312" w:cs="Times New Roman Regular"/>
          <w:color w:val="000000" w:themeColor="text1"/>
          <w:sz w:val="28"/>
          <w:szCs w:val="28"/>
          <w14:textFill>
            <w14:solidFill>
              <w14:schemeClr w14:val="tx1"/>
            </w14:solidFill>
          </w14:textFill>
        </w:rPr>
        <w:t>8.3 应用数字化系统与智能化技术</w:t>
      </w:r>
      <w:bookmarkEnd w:id="196"/>
      <w:bookmarkEnd w:id="197"/>
      <w:bookmarkEnd w:id="198"/>
      <w:bookmarkEnd w:id="199"/>
      <w:bookmarkEnd w:id="200"/>
    </w:p>
    <w:p w14:paraId="60ABA0E6">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引入先进的能源管理数字化系统，实时监测企业能源消耗、碳排放数据，通过数据分析优化能源使用效率。运用智能化技术，如智能控制系统精准调控生产设备运行参数，实现节能减排。搭建数字化低碳管理平台，方便各部门信息共享与协同工作，提升管理效能。</w:t>
      </w:r>
    </w:p>
    <w:p w14:paraId="5A56D20C">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201" w:name="_Toc485301535"/>
      <w:bookmarkStart w:id="202" w:name="_Toc27762"/>
      <w:bookmarkStart w:id="203" w:name="_Toc938245828"/>
      <w:bookmarkStart w:id="204" w:name="_Toc2104032475"/>
      <w:bookmarkStart w:id="205" w:name="_Toc1349289378"/>
      <w:r>
        <w:rPr>
          <w:rFonts w:ascii="Times New Roman Regular" w:hAnsi="Times New Roman Regular" w:eastAsia="仿宋_GB2312" w:cs="Times New Roman Regular"/>
          <w:color w:val="000000" w:themeColor="text1"/>
          <w:sz w:val="28"/>
          <w:szCs w:val="28"/>
          <w14:textFill>
            <w14:solidFill>
              <w14:schemeClr w14:val="tx1"/>
            </w14:solidFill>
          </w14:textFill>
        </w:rPr>
        <w:t>8.4 打造低碳企业文化</w:t>
      </w:r>
      <w:bookmarkEnd w:id="201"/>
      <w:bookmarkEnd w:id="202"/>
      <w:bookmarkEnd w:id="203"/>
      <w:bookmarkEnd w:id="204"/>
      <w:bookmarkEnd w:id="205"/>
    </w:p>
    <w:p w14:paraId="0379D478">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开展多样化的低碳宣传活动，如举办低碳知识讲座、设立企业低碳文化月等，提升员工低碳意识。将低碳理念融入企业价值观与员工培训体系，鼓励员工在日常工作中践行低碳行为，形成全员参与、共同推动企业低碳发展的良好文化氛围。</w:t>
      </w:r>
    </w:p>
    <w:p w14:paraId="4B7AED53">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206" w:name="_Toc79263726"/>
      <w:bookmarkStart w:id="207" w:name="_Toc2008075823"/>
      <w:bookmarkStart w:id="208" w:name="_Toc125211275"/>
      <w:bookmarkStart w:id="209" w:name="_Toc7138"/>
      <w:bookmarkStart w:id="210" w:name="_Toc320007439"/>
      <w:r>
        <w:rPr>
          <w:rFonts w:ascii="Times New Roman Regular" w:hAnsi="Times New Roman Regular" w:eastAsia="仿宋_GB2312" w:cs="Times New Roman Regular"/>
          <w:color w:val="000000" w:themeColor="text1"/>
          <w:sz w:val="28"/>
          <w:szCs w:val="28"/>
          <w14:textFill>
            <w14:solidFill>
              <w14:schemeClr w14:val="tx1"/>
            </w14:solidFill>
          </w14:textFill>
        </w:rPr>
        <w:t>8.5 争取政府支持与资源整合</w:t>
      </w:r>
      <w:bookmarkEnd w:id="206"/>
      <w:bookmarkEnd w:id="207"/>
      <w:bookmarkEnd w:id="208"/>
      <w:bookmarkEnd w:id="209"/>
      <w:bookmarkEnd w:id="210"/>
    </w:p>
    <w:p w14:paraId="2AB985F0">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积极与政府相关部门沟通，及时了解国家及地方低碳政策动态，争取政策补贴、税收优惠等支持。加强与高校、科研机构合作，整合产学研资源，共同开展低碳技术研发与创新，推动科技成果转化应用于企业生产实践。</w:t>
      </w:r>
    </w:p>
    <w:p w14:paraId="5D0FD9F1">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211" w:name="_Toc2039408512"/>
      <w:bookmarkStart w:id="212" w:name="_Toc1065975185"/>
      <w:bookmarkStart w:id="213" w:name="_Toc7241"/>
      <w:bookmarkStart w:id="214" w:name="_Toc2024844556"/>
      <w:bookmarkStart w:id="215" w:name="_Toc745581742"/>
      <w:r>
        <w:rPr>
          <w:rFonts w:ascii="Times New Roman Regular" w:hAnsi="Times New Roman Regular" w:eastAsia="仿宋_GB2312" w:cs="Times New Roman Regular"/>
          <w:color w:val="000000" w:themeColor="text1"/>
          <w:sz w:val="28"/>
          <w:szCs w:val="28"/>
          <w14:textFill>
            <w14:solidFill>
              <w14:schemeClr w14:val="tx1"/>
            </w14:solidFill>
          </w14:textFill>
        </w:rPr>
        <w:t>8.6 加强安全环保监督管理</w:t>
      </w:r>
      <w:bookmarkEnd w:id="211"/>
      <w:bookmarkEnd w:id="212"/>
      <w:bookmarkEnd w:id="213"/>
      <w:bookmarkEnd w:id="214"/>
      <w:bookmarkEnd w:id="215"/>
    </w:p>
    <w:p w14:paraId="7C061D52">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建立严格的安全环保监督机制，将低碳目标纳入安全环保考核体系，确保在推进低碳工作过程中安全生产与环境保护不放松。加大环保设施投入与维护力度，定期开展环境监测与风险评估，保障企业绿色低碳发展的合规性。</w:t>
      </w:r>
    </w:p>
    <w:p w14:paraId="15C9DE89">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216" w:name="_Toc1536351021"/>
      <w:bookmarkStart w:id="217" w:name="_Toc389098683"/>
      <w:bookmarkStart w:id="218" w:name="_Toc425257549"/>
      <w:bookmarkStart w:id="219" w:name="_Toc352371417"/>
      <w:bookmarkStart w:id="220" w:name="_Toc18147"/>
      <w:r>
        <w:rPr>
          <w:rFonts w:ascii="Times New Roman Regular" w:hAnsi="Times New Roman Regular" w:eastAsia="仿宋_GB2312" w:cs="Times New Roman Regular"/>
          <w:color w:val="000000" w:themeColor="text1"/>
          <w:sz w:val="28"/>
          <w:szCs w:val="28"/>
          <w14:textFill>
            <w14:solidFill>
              <w14:schemeClr w14:val="tx1"/>
            </w14:solidFill>
          </w14:textFill>
        </w:rPr>
        <w:t>8.7 专业人才培养与引进</w:t>
      </w:r>
      <w:bookmarkEnd w:id="216"/>
      <w:bookmarkEnd w:id="217"/>
      <w:bookmarkEnd w:id="218"/>
      <w:bookmarkEnd w:id="219"/>
      <w:bookmarkEnd w:id="220"/>
    </w:p>
    <w:p w14:paraId="0C16B0CC">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制定专业人才培养计划，定期选派员工参加国内外低碳技术、管理培训课程，提升员工专业素养。设立人才引进专项基金，吸引具有低碳化工、能源管理等专业背景的高端人才加入企业，充实企业低碳发展人才队伍。</w:t>
      </w:r>
    </w:p>
    <w:p w14:paraId="57503F9E">
      <w:pPr>
        <w:widowControl/>
        <w:spacing w:line="560" w:lineRule="exact"/>
        <w:outlineLvl w:val="1"/>
        <w:rPr>
          <w:rFonts w:ascii="Times New Roman Regular" w:hAnsi="Times New Roman Regular" w:eastAsia="仿宋_GB2312" w:cs="Times New Roman Regular"/>
          <w:color w:val="000000" w:themeColor="text1"/>
          <w:sz w:val="28"/>
          <w:szCs w:val="28"/>
          <w14:textFill>
            <w14:solidFill>
              <w14:schemeClr w14:val="tx1"/>
            </w14:solidFill>
          </w14:textFill>
        </w:rPr>
      </w:pPr>
      <w:bookmarkStart w:id="221" w:name="_Toc1693990740"/>
      <w:bookmarkStart w:id="222" w:name="_Toc493860066"/>
      <w:bookmarkStart w:id="223" w:name="_Toc108238419"/>
      <w:bookmarkStart w:id="224" w:name="_Toc31699"/>
      <w:bookmarkStart w:id="225" w:name="_Toc478048827"/>
      <w:r>
        <w:rPr>
          <w:rFonts w:ascii="Times New Roman Regular" w:hAnsi="Times New Roman Regular" w:eastAsia="仿宋_GB2312" w:cs="Times New Roman Regular"/>
          <w:color w:val="000000" w:themeColor="text1"/>
          <w:sz w:val="28"/>
          <w:szCs w:val="28"/>
          <w14:textFill>
            <w14:solidFill>
              <w14:schemeClr w14:val="tx1"/>
            </w14:solidFill>
          </w14:textFill>
        </w:rPr>
        <w:t>8.8 绿色低碳技术统筹建议</w:t>
      </w:r>
      <w:bookmarkEnd w:id="221"/>
      <w:bookmarkEnd w:id="222"/>
      <w:bookmarkEnd w:id="223"/>
      <w:bookmarkEnd w:id="224"/>
      <w:bookmarkEnd w:id="225"/>
    </w:p>
    <w:p w14:paraId="78B062C4">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t>设立企业内部绿色低碳技术研发中心，整合企业技术力量，统筹规划绿色低碳技术研发方向。加强与行业内其他企业技术交流与合作，共同攻克低碳技术难题，推动石油化工炼化行业整体绿色低碳技术水平提升。</w:t>
      </w:r>
    </w:p>
    <w:p w14:paraId="4421D5E9">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00203E71">
      <w:pPr>
        <w:widowControl/>
        <w:ind w:firstLine="0" w:firstLineChars="0"/>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8.9 加强科技创新与成果转化</w:t>
      </w:r>
    </w:p>
    <w:p w14:paraId="0A2E942E">
      <w:pPr>
        <w:widowControl/>
        <w:ind w:firstLine="560" w:firstLineChars="20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sectPr>
          <w:headerReference r:id="rId15" w:type="default"/>
          <w:type w:val="continuous"/>
          <w:pgSz w:w="11906" w:h="16838"/>
          <w:pgMar w:top="1440" w:right="1800" w:bottom="1440" w:left="1800" w:header="851" w:footer="992" w:gutter="0"/>
          <w:pgNumType w:fmt="numberInDash"/>
          <w:cols w:space="425" w:num="1"/>
          <w:docGrid w:type="lines" w:linePitch="312" w:charSpace="0"/>
        </w:sectPr>
      </w:pPr>
      <w:r>
        <w:rPr>
          <w:rFonts w:hint="eastAsia" w:ascii="Times New Roman Regular" w:hAnsi="Times New Roman Regular" w:eastAsia="仿宋_GB2312" w:cs="Times New Roman Regular"/>
          <w:color w:val="000000" w:themeColor="text1"/>
          <w:kern w:val="0"/>
          <w:sz w:val="28"/>
          <w:szCs w:val="28"/>
          <w:lang w:bidi="ar"/>
          <w14:textFill>
            <w14:solidFill>
              <w14:schemeClr w14:val="tx1"/>
            </w14:solidFill>
          </w14:textFill>
        </w:rPr>
        <w:t>围绕石化行业绿色低碳发展关键技术方向，建立完善的科技创新保障机制。加大科研经费投入，设立绿色低碳专项科研基金，支持企业自主研发碳捕集利用与封存（CCUS）、高效催化、清洁燃料替代、废弃物资源化利用等核心技术。建立产学研用一体化创新平台，深化与国内外高校、科研院所、技术公司合作，推动联合攻关与技术共享。完善科技成果评估与激励机制，加快科研成果在炼化装置、绿色供应链及能源管理系统中的产业化与示范应用，形成“研发—转化—应用—推广”的全链条创新体系。通过持续的技术迭代升级，为企业“十五五”期间低碳转型和高质量发展提供坚实的科技支撑。</w:t>
      </w:r>
    </w:p>
    <w:p w14:paraId="4DDCD603">
      <w:pPr>
        <w:widowControl/>
        <w:ind w:firstLine="0" w:firstLineChars="0"/>
        <w:rPr>
          <w:rFonts w:ascii="Times New Roman Regular" w:hAnsi="Times New Roman Regular" w:eastAsia="仿宋_GB2312" w:cs="Times New Roman Regular"/>
          <w:color w:val="000000" w:themeColor="text1"/>
          <w:kern w:val="0"/>
          <w:sz w:val="28"/>
          <w:szCs w:val="28"/>
          <w:lang w:bidi="ar"/>
          <w14:textFill>
            <w14:solidFill>
              <w14:schemeClr w14:val="tx1"/>
            </w14:solidFill>
          </w14:textFill>
        </w:rPr>
      </w:pPr>
    </w:p>
    <w:p w14:paraId="192FF3BD">
      <w:pPr>
        <w:widowControl/>
        <w:spacing w:line="560" w:lineRule="exact"/>
        <w:outlineLvl w:val="0"/>
        <w:rPr>
          <w:rFonts w:ascii="Times New Roman Regular" w:hAnsi="Times New Roman Regular" w:eastAsia="方正公文小标宋" w:cs="Times New Roman Regular"/>
          <w:color w:val="000000" w:themeColor="text1"/>
          <w:sz w:val="28"/>
          <w:szCs w:val="28"/>
          <w14:textFill>
            <w14:solidFill>
              <w14:schemeClr w14:val="tx1"/>
            </w14:solidFill>
          </w14:textFill>
        </w:rPr>
      </w:pPr>
      <w:bookmarkStart w:id="226" w:name="_Toc22071"/>
      <w:bookmarkStart w:id="227" w:name="_Toc830311962"/>
      <w:bookmarkStart w:id="228" w:name="_Toc1711658901"/>
      <w:bookmarkStart w:id="229" w:name="_Toc244459124"/>
      <w:bookmarkStart w:id="230" w:name="_Toc281833607"/>
      <w:r>
        <w:rPr>
          <w:rFonts w:ascii="Times New Roman Regular" w:hAnsi="Times New Roman Regular" w:eastAsia="方正公文小标宋" w:cs="Times New Roman Regular"/>
          <w:color w:val="000000" w:themeColor="text1"/>
          <w:sz w:val="28"/>
          <w:szCs w:val="28"/>
          <w14:textFill>
            <w14:solidFill>
              <w14:schemeClr w14:val="tx1"/>
            </w14:solidFill>
          </w14:textFill>
        </w:rPr>
        <w:t>九、结论与展望</w:t>
      </w:r>
      <w:bookmarkEnd w:id="226"/>
      <w:bookmarkEnd w:id="227"/>
      <w:bookmarkEnd w:id="228"/>
      <w:bookmarkEnd w:id="229"/>
      <w:bookmarkEnd w:id="230"/>
    </w:p>
    <w:p w14:paraId="23FDFAE7">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展望未来，中化能源将立足于2030年前实现碳达峰的战略目标，持续改进低碳发展方案，加快向绿色高效的能源化工企业转型。在国家“双碳”愿景和“1+N”政策体系指引下，公司将从技术路线、管理机制和产业生态三个层面系统推进低碳转型，为</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2030年前碳达峰</w:t>
      </w:r>
      <w:r>
        <w:rPr>
          <w:rFonts w:ascii="Times New Roman Regular" w:hAnsi="Times New Roman Regular" w:eastAsia="仿宋_GB2312" w:cs="Times New Roman Regular"/>
          <w:color w:val="000000" w:themeColor="text1"/>
          <w:sz w:val="28"/>
          <w:szCs w:val="28"/>
          <w14:textFill>
            <w14:solidFill>
              <w14:schemeClr w14:val="tx1"/>
            </w14:solidFill>
          </w14:textFill>
        </w:rPr>
        <w:t>及</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2060年前碳中和</w:t>
      </w:r>
      <w:r>
        <w:rPr>
          <w:rFonts w:ascii="Times New Roman Regular" w:hAnsi="Times New Roman Regular" w:eastAsia="仿宋_GB2312" w:cs="Times New Roman Regular"/>
          <w:color w:val="000000" w:themeColor="text1"/>
          <w:sz w:val="28"/>
          <w:szCs w:val="28"/>
          <w14:textFill>
            <w14:solidFill>
              <w14:schemeClr w14:val="tx1"/>
            </w14:solidFill>
          </w14:textFill>
        </w:rPr>
        <w:t>目标的实现贡献更大力量。</w:t>
      </w:r>
    </w:p>
    <w:p w14:paraId="41BCBC02">
      <w:pPr>
        <w:widowControl/>
        <w:spacing w:line="560" w:lineRule="exact"/>
        <w:ind w:firstLine="560" w:firstLineChars="200"/>
        <w:rPr>
          <w:rFonts w:hint="eastAsia" w:ascii="Times New Roman Regular" w:hAnsi="Times New Roman Regular" w:eastAsia="仿宋_GB2312" w:cs="Times New Roman Regular"/>
          <w:color w:val="000000" w:themeColor="text1"/>
          <w:sz w:val="28"/>
          <w:szCs w:val="28"/>
          <w:lang w:eastAsia="zh-CN"/>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ab/>
      </w:r>
      <w:r>
        <w:rPr>
          <w:rFonts w:ascii="Times New Roman Regular" w:hAnsi="Times New Roman Regular" w:eastAsia="仿宋_GB2312" w:cs="Times New Roman Regular"/>
          <w:color w:val="000000" w:themeColor="text1"/>
          <w:sz w:val="28"/>
          <w:szCs w:val="28"/>
          <w14:textFill>
            <w14:solidFill>
              <w14:schemeClr w14:val="tx1"/>
            </w14:solidFill>
          </w14:textFill>
        </w:rPr>
        <w:t>对标国家战略，明确低碳转型路径： 中化能源将紧扣国家“双碳”战略部署，制定领先于国家要求的</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碳达峰行动方案</w:t>
      </w:r>
      <w:r>
        <w:rPr>
          <w:rFonts w:ascii="Times New Roman Regular" w:hAnsi="Times New Roman Regular" w:eastAsia="仿宋_GB2312" w:cs="Times New Roman Regular"/>
          <w:color w:val="000000" w:themeColor="text1"/>
          <w:sz w:val="28"/>
          <w:szCs w:val="28"/>
          <w14:textFill>
            <w14:solidFill>
              <w14:schemeClr w14:val="tx1"/>
            </w14:solidFill>
          </w14:textFill>
        </w:rPr>
        <w:t>。结合《2030年前碳达峰行动方案》及相关“1+N”政策，公司将细化分解到2025年和2030年的阶段性目标，与国家指标保持一致甚至更为积极</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w:t>
      </w:r>
      <w:r>
        <w:rPr>
          <w:rFonts w:ascii="Times New Roman Regular" w:hAnsi="Times New Roman Regular" w:eastAsia="仿宋_GB2312" w:cs="Times New Roman Regular"/>
          <w:color w:val="000000" w:themeColor="text1"/>
          <w:sz w:val="28"/>
          <w:szCs w:val="28"/>
          <w14:textFill>
            <w14:solidFill>
              <w14:schemeClr w14:val="tx1"/>
            </w14:solidFill>
          </w14:textFill>
        </w:rPr>
        <w:t>助力全国碳达峰目标如期实现。</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中化能源将力争在2030年前达峰，峰值目标为</w:t>
      </w:r>
      <w:r>
        <w:rPr>
          <w:rFonts w:hint="eastAsia" w:ascii="Times New Roman Regular" w:hAnsi="Times New Roman Regular" w:eastAsia="仿宋_GB2312" w:cs="Times New Roman Regular"/>
          <w:color w:val="000000" w:themeColor="text1"/>
          <w:sz w:val="28"/>
          <w:szCs w:val="28"/>
          <w:lang w:val="en-US" w:eastAsia="zh-CN"/>
          <w14:textFill>
            <w14:solidFill>
              <w14:schemeClr w14:val="tx1"/>
            </w14:solidFill>
          </w14:textFill>
        </w:rPr>
        <w:t>1727万吨</w:t>
      </w:r>
      <w:r>
        <w:rPr>
          <w:rFonts w:hint="eastAsia" w:ascii="Times New Roman Regular" w:hAnsi="Times New Roman Regular" w:eastAsia="仿宋_GB2312" w:cs="Times New Roman Regular"/>
          <w:color w:val="000000" w:themeColor="text1"/>
          <w:sz w:val="28"/>
          <w:szCs w:val="28"/>
          <w:lang w:eastAsia="zh-CN"/>
          <w14:textFill>
            <w14:solidFill>
              <w14:schemeClr w14:val="tx1"/>
            </w14:solidFill>
          </w14:textFill>
        </w:rPr>
        <w:t>。</w:t>
      </w:r>
    </w:p>
    <w:p w14:paraId="72E95F86">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ab/>
      </w:r>
      <w:r>
        <w:rPr>
          <w:rFonts w:ascii="Times New Roman Regular" w:hAnsi="Times New Roman Regular" w:eastAsia="仿宋_GB2312" w:cs="Times New Roman Regular"/>
          <w:color w:val="000000" w:themeColor="text1"/>
          <w:sz w:val="28"/>
          <w:szCs w:val="28"/>
          <w14:textFill>
            <w14:solidFill>
              <w14:schemeClr w14:val="tx1"/>
            </w14:solidFill>
          </w14:textFill>
        </w:rPr>
        <w:t>增强碳管理和政策响应能力： 面向2030年的目标，公司将在管理和制度层面持续完善，确保降碳措施落地见效。首先，提升碳数据管理能力，建设统一的碳排放监测和核算数字平台。运用物联网和信息化手段，对能源消耗和排放数据进行实时采集、分析，实现对各装置、各企业碳排放的精细化管理。一套高效准确的碳管理信息系统将支撑公司内部的决策和外部合规，为参与全国碳交易市场提供可靠的数据基础。其次，完善碳资产管理机制，深化碳金融运作。建立内部碳定价和碳预算制度，将碳成本纳入投资决策和运营考核，引导各单位主动降低碳排放。充分利用全国碳排放权交易市场和林业碳汇等自愿减排机制，优化碳资产组合，实现碳配额的合规履约和盈余</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增值</w:t>
      </w:r>
      <w:r>
        <w:rPr>
          <w:rFonts w:ascii="Times New Roman Regular" w:hAnsi="Times New Roman Regular" w:eastAsia="仿宋_GB2312" w:cs="Times New Roman Regular"/>
          <w:color w:val="000000" w:themeColor="text1"/>
          <w:sz w:val="28"/>
          <w:szCs w:val="28"/>
          <w14:textFill>
            <w14:solidFill>
              <w14:schemeClr w14:val="tx1"/>
            </w14:solidFill>
          </w14:textFill>
        </w:rPr>
        <w:t>。第三，积极参与和响应政府相关政策和标准。密切跟踪国家及地方最新的环保、能效和碳排放标准动态，提前布局合规改造，确保满足日趋严格的准入要求。公司还将主动参与行业协会和政府部门组织的低碳试点和示范工程，为政策完善建言献策，在政策层面赢得先机。通过强化碳管理专业团队建设和内部培训，提高全员碳意识和专业能力，打造一支善于应对“双碳”挑战的人才队伍，为管理升级提供保障。</w:t>
      </w:r>
    </w:p>
    <w:p w14:paraId="0A9BC0EF">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ab/>
      </w:r>
      <w:r>
        <w:rPr>
          <w:rFonts w:ascii="Times New Roman Regular" w:hAnsi="Times New Roman Regular" w:eastAsia="仿宋_GB2312" w:cs="Times New Roman Regular"/>
          <w:color w:val="000000" w:themeColor="text1"/>
          <w:sz w:val="28"/>
          <w:szCs w:val="28"/>
          <w14:textFill>
            <w14:solidFill>
              <w14:schemeClr w14:val="tx1"/>
            </w14:solidFill>
          </w14:textFill>
        </w:rPr>
        <w:t>构建低碳产业生态圈，打造绿色竞争力： 中化能源深知，企业的低碳转型需要产业链各环节协同发力、生态圈共同演进。未来，公司将致力于构建上下游协同的低碳产业生态体系。一方面，加强与供应链伙伴的协作，推动原材料采购、物流运输、产品销售全过程的减碳。与主要原料供应商共同探索降低原料碳足迹的途径，例如优先采购经过碳管理认证的原料，鼓励物流供应商采用新能源车辆运输等；为下游客户提供更清洁的能源产品和解决方案，例如开发供应低硫燃料、绿色化学品，以及提供碳中和认证产品以满足客户减排需求。另一方面，以产业园区为单位推进协同减排和碳中和示范。充分发挥公司在大型石化园区的主导作用，联合园区内其他企业共建能源共享和碳循环利用平台，实现“一园多企”间的资源高效循环利用。例如，通过园区级能源系统优化，企业间互供富余氢气、蒸汽和余热，最大化地减少整体能源消耗和废弃物排放；探索在园区内集中建设碳捕集及利用设施，服务多家企业共同削减碳排放。与此同时，高度重视绿色竞争力的培育，将其上升为公司核心竞争战略之一。通过持续的环保投入和技术升级，确保公司产品和运营在国际国内市场上具备领先的碳足迹优势。积极对接国际可持续发展趋势和标准（如ESG评价、碳边境调节机制等），提升公司品牌的绿色价值和影响力。在内部营造鼓励创新和低碳发展的文化氛围，将绿色低碳表现与绩效激励挂钩，激发组织的绿色创造力。通过以上举措，中化能源将把低碳转型的压力转化为提升竞争力的动力，在未来的市场竞争中掌握主动。</w:t>
      </w:r>
    </w:p>
    <w:p w14:paraId="28408B13">
      <w:pPr>
        <w:widowControl/>
        <w:spacing w:line="560" w:lineRule="exact"/>
        <w:ind w:firstLine="560" w:firstLineChars="200"/>
        <w:rPr>
          <w:rFonts w:ascii="Times New Roman Regular" w:hAnsi="Times New Roman Regular" w:eastAsia="仿宋_GB2312" w:cs="Times New Roman Regular"/>
          <w:color w:val="000000" w:themeColor="text1"/>
          <w:sz w:val="28"/>
          <w:szCs w:val="28"/>
          <w14:textFill>
            <w14:solidFill>
              <w14:schemeClr w14:val="tx1"/>
            </w14:solidFill>
          </w14:textFill>
        </w:rPr>
      </w:pPr>
      <w:r>
        <w:rPr>
          <w:rFonts w:ascii="Times New Roman Regular" w:hAnsi="Times New Roman Regular" w:eastAsia="仿宋_GB2312" w:cs="Times New Roman Regular"/>
          <w:color w:val="000000" w:themeColor="text1"/>
          <w:sz w:val="28"/>
          <w:szCs w:val="28"/>
          <w14:textFill>
            <w14:solidFill>
              <w14:schemeClr w14:val="tx1"/>
            </w14:solidFill>
          </w14:textFill>
        </w:rPr>
        <w:t>总之，中化能源</w:t>
      </w:r>
      <w:r>
        <w:rPr>
          <w:rFonts w:hint="eastAsia" w:ascii="Times New Roman Regular" w:hAnsi="Times New Roman Regular" w:eastAsia="仿宋_GB2312" w:cs="Times New Roman Regular"/>
          <w:color w:val="000000" w:themeColor="text1"/>
          <w:sz w:val="28"/>
          <w:szCs w:val="28"/>
          <w14:textFill>
            <w14:solidFill>
              <w14:schemeClr w14:val="tx1"/>
            </w14:solidFill>
          </w14:textFill>
        </w:rPr>
        <w:t>将在</w:t>
      </w:r>
      <w:r>
        <w:rPr>
          <w:rFonts w:ascii="Times New Roman Regular" w:hAnsi="Times New Roman Regular" w:eastAsia="仿宋_GB2312" w:cs="Times New Roman Regular"/>
          <w:color w:val="000000" w:themeColor="text1"/>
          <w:sz w:val="28"/>
          <w:szCs w:val="28"/>
          <w14:textFill>
            <w14:solidFill>
              <w14:schemeClr w14:val="tx1"/>
            </w14:solidFill>
          </w14:textFill>
        </w:rPr>
        <w:t>“十五五”期间通过扎实的行动证明低碳发展的可行性和有效性，展望未来，公司将在既有成绩和经验基础上再接再厉，沿着绿色高质量发展的道路坚定前行。面向2030年的碳达峰目标，公司有信心、有决心实现更高水平的减污降碳，在保障能源供应和业务稳健发展的同时，加快构建领先的低碳企业新范式。通过持续的技术创新、管理优化和生态协同，中化能源将为我国能源化工行业实现碳达峰、碳中和发挥引领示范作用，塑造企业长期可持续发展的新优势，迈向绿色竞争力更强、社会价值更高的未来。</w:t>
      </w:r>
    </w:p>
    <w:p w14:paraId="0B940136">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12521E2D">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01798A5A">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642961E4">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19458CE9">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2B9B2811">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0C65A7F5">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092D012B">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19C641A4">
      <w:pPr>
        <w:widowControl/>
        <w:spacing w:line="560" w:lineRule="exact"/>
        <w:rPr>
          <w:rFonts w:ascii="Times New Roman Regular" w:hAnsi="Times New Roman Regular" w:eastAsia="楷体" w:cs="Times New Roman Regular"/>
          <w:color w:val="000000" w:themeColor="text1"/>
          <w:sz w:val="28"/>
          <w:szCs w:val="28"/>
          <w14:textFill>
            <w14:solidFill>
              <w14:schemeClr w14:val="tx1"/>
            </w14:solidFill>
          </w14:textFill>
        </w:rPr>
      </w:pPr>
    </w:p>
    <w:p w14:paraId="486BB061"/>
    <w:p w14:paraId="30844CD7"/>
    <w:p w14:paraId="2EA2CA81"/>
    <w:p w14:paraId="098023AD"/>
    <w:p w14:paraId="2D48761C"/>
    <w:p w14:paraId="0F0DAC3C"/>
    <w:p w14:paraId="192550A0"/>
    <w:p w14:paraId="1C3289F6"/>
    <w:p w14:paraId="6DD2BC00"/>
    <w:p w14:paraId="5AF57BE9"/>
    <w:p w14:paraId="068ACC8A"/>
    <w:p w14:paraId="7A0CCB13"/>
    <w:p w14:paraId="2C0EB092"/>
    <w:p w14:paraId="7BFF41E8"/>
    <w:p w14:paraId="53AF9F4A"/>
    <w:p w14:paraId="3BA77F0C"/>
    <w:p w14:paraId="2BE416C9"/>
    <w:p w14:paraId="7266D9F6"/>
    <w:p w14:paraId="4DF5169D"/>
    <w:p w14:paraId="1E27040E"/>
    <w:p w14:paraId="33D79597"/>
    <w:p w14:paraId="746F0DA6"/>
    <w:p w14:paraId="47CA8C23"/>
    <w:sectPr>
      <w:type w:val="continuous"/>
      <w:pgSz w:w="11906" w:h="16838"/>
      <w:pgMar w:top="1440" w:right="1800" w:bottom="1440" w:left="1800" w:header="851" w:footer="992" w:gutter="0"/>
      <w:pgNumType w:fmt="numberInDash"/>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Jiang SHUAI" w:date="2025-09-10T08:14:00Z" w:initials="">
    <w:p w14:paraId="33E6113C">
      <w:pPr>
        <w:pStyle w:val="6"/>
      </w:pPr>
      <w:r>
        <w:annotationRef/>
      </w:r>
    </w:p>
  </w:comment>
  <w:comment w:id="1" w:author="Jiang SHUAI" w:date="2025-09-10T08:19:00Z" w:initials="">
    <w:p w14:paraId="6D30AC97">
      <w:pPr>
        <w:pStyle w:val="6"/>
        <w:rPr>
          <w:rFonts w:hint="default" w:eastAsiaTheme="minorEastAsia"/>
          <w:lang w:val="en-US" w:eastAsia="zh-CN"/>
        </w:rPr>
      </w:pPr>
      <w:r>
        <w:rPr>
          <w:rFonts w:hint="eastAsia"/>
          <w:lang w:val="en-US" w:eastAsia="zh-CN"/>
        </w:rPr>
        <w:t>2022年后，已补充规划值与实际值对比</w:t>
      </w:r>
    </w:p>
  </w:comment>
  <w:comment w:id="2" w:author="Jiang SHUAI" w:date="2025-09-10T09:08:01Z" w:initials="">
    <w:p w14:paraId="466DE789">
      <w:pPr>
        <w:pStyle w:val="6"/>
        <w:rPr>
          <w:rFonts w:hint="default" w:eastAsiaTheme="minorEastAsia"/>
          <w:lang w:val="en-US" w:eastAsia="zh-CN"/>
        </w:rPr>
      </w:pPr>
      <w:r>
        <w:rPr>
          <w:rFonts w:hint="eastAsia"/>
          <w:lang w:val="en-US" w:eastAsia="zh-CN"/>
        </w:rPr>
        <w:t>目前不掌握最新数据，是否协调石化联合会获取2023年或最新数据？</w:t>
      </w:r>
    </w:p>
  </w:comment>
  <w:comment w:id="3" w:author="Jiang SHUAI" w:date="2025-09-12T23:02:37Z" w:initials="">
    <w:p w14:paraId="4D88C78E">
      <w:pPr>
        <w:pStyle w:val="14"/>
        <w:keepNext w:val="0"/>
        <w:keepLines w:val="0"/>
        <w:widowControl/>
        <w:suppressLineNumbers w:val="0"/>
        <w:spacing w:before="0" w:beforeAutospacing="1" w:after="0" w:afterAutospacing="1"/>
        <w:ind w:left="0" w:right="0"/>
      </w:pPr>
      <w:r>
        <w:t>对企业在运输、仓储、配送等环节所涉及的各类计量器具、计量数据、计量行为进行统一管理的制度性文件或规范</w:t>
      </w:r>
    </w:p>
    <w:p w14:paraId="2A025512">
      <w:pPr>
        <w:pStyle w:val="6"/>
      </w:pPr>
    </w:p>
  </w:comment>
  <w:comment w:id="4" w:author="Jiang SHUAI" w:date="2025-09-11T16:45:14Z" w:initials="">
    <w:p w14:paraId="6765B2F6">
      <w:pPr>
        <w:pStyle w:val="6"/>
        <w:rPr>
          <w:rFonts w:hint="default" w:eastAsiaTheme="minorEastAsia"/>
          <w:lang w:val="en-US" w:eastAsia="zh-CN"/>
        </w:rPr>
      </w:pPr>
      <w:r>
        <w:rPr>
          <w:rFonts w:hint="eastAsia"/>
          <w:lang w:val="en-US" w:eastAsia="zh-CN"/>
        </w:rPr>
        <w:t>CCUS相关内容：6.1.8碳汇能力巩固提升</w:t>
      </w:r>
    </w:p>
  </w:comment>
  <w:comment w:id="5" w:author="Jiang SHUAI" w:date="2025-09-11T16:45:40Z" w:initials="">
    <w:p w14:paraId="0A4C4C21">
      <w:pPr>
        <w:pStyle w:val="6"/>
        <w:rPr>
          <w:rFonts w:hint="default" w:eastAsiaTheme="minorEastAsia"/>
          <w:lang w:val="en-US" w:eastAsia="zh-CN"/>
        </w:rPr>
      </w:pPr>
      <w:r>
        <w:rPr>
          <w:rFonts w:hint="eastAsia"/>
          <w:lang w:val="en-US" w:eastAsia="zh-CN"/>
        </w:rPr>
        <w:t>二氧化碳资源化利用：6.1.8 碳汇能力巩固提升</w:t>
      </w:r>
    </w:p>
  </w:comment>
  <w:comment w:id="6" w:author="Jiang SHUAI" w:date="2025-09-12T08:10:07Z" w:initials="">
    <w:p w14:paraId="52E88272">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hint="eastAsia" w:ascii="Times New Roman Regular" w:hAnsi="Times New Roman Regular" w:eastAsia="楷体_GB2312" w:cs="Times New Roman Regular"/>
          <w:color w:val="000000" w:themeColor="text1"/>
          <w:kern w:val="0"/>
          <w:sz w:val="28"/>
          <w:szCs w:val="28"/>
          <w:lang w:val="en-US" w:eastAsia="zh-CN" w:bidi="ar"/>
          <w14:textFill>
            <w14:solidFill>
              <w14:schemeClr w14:val="tx1"/>
            </w14:solidFill>
          </w14:textFill>
        </w:rPr>
        <w:t>对应：</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6.1.9 绿色低碳能力建设</w:t>
      </w:r>
    </w:p>
    <w:p w14:paraId="4A1DBBDA">
      <w:pPr>
        <w:pStyle w:val="6"/>
      </w:pPr>
    </w:p>
  </w:comment>
  <w:comment w:id="7" w:author="Jiang SHUAI" w:date="2025-09-11T14:27:07Z" w:initials="">
    <w:p w14:paraId="6998603C">
      <w:pPr>
        <w:pStyle w:val="6"/>
        <w:rPr>
          <w:rFonts w:hint="eastAsia" w:eastAsiaTheme="minorEastAsia"/>
          <w:lang w:val="en-US" w:eastAsia="zh-CN"/>
        </w:rPr>
      </w:pPr>
      <w:r>
        <w:rPr>
          <w:rFonts w:hint="eastAsia"/>
          <w:lang w:val="en-US" w:eastAsia="zh-CN"/>
        </w:rPr>
        <w:t>对应：6.1.7</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绿色低碳供应链管理</w:t>
      </w:r>
    </w:p>
  </w:comment>
  <w:comment w:id="8" w:author="Jiang SHUAI" w:date="2025-09-12T08:19:07Z" w:initials="">
    <w:p w14:paraId="34424320">
      <w:pPr>
        <w:widowControl/>
        <w:snapToGrid w:val="0"/>
        <w:spacing w:before="156" w:beforeLines="50" w:after="156" w:afterLines="50" w:line="560" w:lineRule="exact"/>
        <w:outlineLvl w:val="2"/>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pPr>
      <w:r>
        <w:rPr>
          <w:rFonts w:hint="eastAsia"/>
          <w:lang w:val="en-US" w:eastAsia="zh-CN"/>
        </w:rPr>
        <w:t>已补充：</w:t>
      </w:r>
      <w:r>
        <w:rPr>
          <w:rFonts w:ascii="Times New Roman Regular" w:hAnsi="Times New Roman Regular" w:eastAsia="楷体_GB2312" w:cs="Times New Roman Regular"/>
          <w:color w:val="000000" w:themeColor="text1"/>
          <w:kern w:val="0"/>
          <w:sz w:val="28"/>
          <w:szCs w:val="28"/>
          <w:lang w:bidi="ar"/>
          <w14:textFill>
            <w14:solidFill>
              <w14:schemeClr w14:val="tx1"/>
            </w14:solidFill>
          </w14:textFill>
        </w:rPr>
        <w:t>6.1.9 绿色低碳能力建设</w:t>
      </w:r>
    </w:p>
    <w:p w14:paraId="7DDF9F0E">
      <w:pPr>
        <w:pStyle w:val="6"/>
        <w:rPr>
          <w:rFonts w:hint="default" w:eastAsiaTheme="minorEastAsia"/>
          <w:lang w:val="en-US" w:eastAsia="zh-CN"/>
        </w:rPr>
      </w:pPr>
    </w:p>
  </w:comment>
  <w:comment w:id="9" w:author="Jiang SHUAI" w:date="2025-09-12T15:50:58Z" w:initials="">
    <w:p w14:paraId="1672994C">
      <w:pPr>
        <w:pStyle w:val="6"/>
        <w:rPr>
          <w:rFonts w:hint="default" w:eastAsiaTheme="minorEastAsia"/>
          <w:lang w:val="en-US" w:eastAsia="zh-CN"/>
        </w:rPr>
      </w:pPr>
      <w:r>
        <w:rPr>
          <w:rFonts w:hint="eastAsia"/>
          <w:lang w:val="en-US" w:eastAsia="zh-CN"/>
        </w:rPr>
        <w:t>目前考虑留出一定余量</w:t>
      </w:r>
    </w:p>
  </w:comment>
  <w:comment w:id="10" w:author="Jiang SHUAI" w:date="2025-09-11T11:26:37Z" w:initials="">
    <w:p w14:paraId="4B3AF909">
      <w:pPr>
        <w:pStyle w:val="6"/>
      </w:pPr>
      <w:r>
        <w:rPr>
          <w:rFonts w:hint="eastAsia" w:ascii="Times New Roman Regular" w:hAnsi="Times New Roman Regular" w:eastAsia="仿宋_GB2312" w:cs="Times New Roman Regular"/>
          <w:color w:val="000000" w:themeColor="text1"/>
          <w:sz w:val="28"/>
          <w:szCs w:val="28"/>
          <w:lang w:bidi="ar"/>
          <w14:textFill>
            <w14:solidFill>
              <w14:schemeClr w14:val="tx1"/>
            </w14:solidFill>
          </w14:textFill>
        </w:rPr>
        <w:t>中化能源应对标这些实践，加大研发投入和产学研合作，在CCUS、绿氢、数字化工厂和生物基材料等方面形成自身特色亮点，加速先进低碳技术的应用落地。（这些建议要体现在后面的科技创新专</w:t>
      </w:r>
      <w:r>
        <w:rPr>
          <w:rFonts w:hint="eastAsia" w:ascii="微软雅黑" w:hAnsi="微软雅黑" w:eastAsia="微软雅黑" w:cs="微软雅黑"/>
          <w:color w:val="000000" w:themeColor="text1"/>
          <w:sz w:val="28"/>
          <w:szCs w:val="28"/>
          <w:lang w:bidi="ar"/>
          <w14:textFill>
            <w14:solidFill>
              <w14:schemeClr w14:val="tx1"/>
            </w14:solidFill>
          </w14:textFill>
        </w:rPr>
        <w:t>篇中</w:t>
      </w:r>
      <w:r>
        <w:rPr>
          <w:rFonts w:hint="eastAsia" w:ascii="___WRD_EMBED_SUB_40" w:hAnsi="___WRD_EMBED_SUB_40" w:eastAsia="___WRD_EMBED_SUB_40" w:cs="___WRD_EMBED_SUB_40"/>
          <w:color w:val="000000" w:themeColor="text1"/>
          <w:sz w:val="28"/>
          <w:szCs w:val="28"/>
          <w:lang w:bidi="ar"/>
          <w14:textFill>
            <w14:solidFill>
              <w14:schemeClr w14:val="tx1"/>
            </w14:solidFill>
          </w14:textFill>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3E6113C" w15:done="0"/>
  <w15:commentEx w15:paraId="6D30AC97" w15:done="0"/>
  <w15:commentEx w15:paraId="466DE789" w15:done="0"/>
  <w15:commentEx w15:paraId="2A025512" w15:done="0"/>
  <w15:commentEx w15:paraId="6765B2F6" w15:done="0"/>
  <w15:commentEx w15:paraId="0A4C4C21" w15:done="0"/>
  <w15:commentEx w15:paraId="4A1DBBDA" w15:done="0"/>
  <w15:commentEx w15:paraId="6998603C" w15:done="0"/>
  <w15:commentEx w15:paraId="7DDF9F0E" w15:done="0"/>
  <w15:commentEx w15:paraId="1672994C" w15:done="0"/>
  <w15:commentEx w15:paraId="4B3AF90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BD9CA0D0-621E-47F8-A630-5FCC9F8C0549}"/>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2" w:fontKey="{49F97184-3A2F-436A-A70B-ABD86E8E0358}"/>
  </w:font>
  <w:font w:name="仿宋_GB2312">
    <w:panose1 w:val="02010609030101010101"/>
    <w:charset w:val="86"/>
    <w:family w:val="modern"/>
    <w:pitch w:val="default"/>
    <w:sig w:usb0="00000001" w:usb1="080E0000" w:usb2="00000000" w:usb3="00000000" w:csb0="00040000" w:csb1="00000000"/>
    <w:embedRegular r:id="rId3" w:fontKey="{C2D015C0-E349-4B94-A2D2-6A083C890922}"/>
  </w:font>
  <w:font w:name="仿宋">
    <w:panose1 w:val="02010609060101010101"/>
    <w:charset w:val="86"/>
    <w:family w:val="modern"/>
    <w:pitch w:val="default"/>
    <w:sig w:usb0="800002BF" w:usb1="38CF7CFA" w:usb2="00000016" w:usb3="00000000" w:csb0="00040001" w:csb1="00000000"/>
    <w:embedRegular r:id="rId4" w:fontKey="{CF841C9B-40D3-4C91-A6A7-5E06D2A69F02}"/>
  </w:font>
  <w:font w:name="Times New Roman Regular">
    <w:altName w:val="Times New Roman"/>
    <w:panose1 w:val="02020503050405090304"/>
    <w:charset w:val="00"/>
    <w:family w:val="auto"/>
    <w:pitch w:val="default"/>
    <w:sig w:usb0="00000000" w:usb1="00000000" w:usb2="00000001" w:usb3="00000000" w:csb0="400001BF" w:csb1="DFF70000"/>
    <w:embedRegular r:id="rId5" w:fontKey="{77763954-8C12-44AC-B5C5-B4C2F46A847A}"/>
  </w:font>
  <w:font w:name="方正公文小标宋">
    <w:panose1 w:val="02000500000000000000"/>
    <w:charset w:val="86"/>
    <w:family w:val="auto"/>
    <w:pitch w:val="default"/>
    <w:sig w:usb0="A00002BF" w:usb1="38CF7CFA" w:usb2="00000016" w:usb3="00000000" w:csb0="00040001" w:csb1="00000000"/>
    <w:embedRegular r:id="rId6" w:fontKey="{F5986CDF-F805-4650-AA8C-1C27AA8B6162}"/>
  </w:font>
  <w:font w:name="楷体_GB2312">
    <w:altName w:val="楷体"/>
    <w:panose1 w:val="02010609030101010101"/>
    <w:charset w:val="86"/>
    <w:family w:val="auto"/>
    <w:pitch w:val="default"/>
    <w:sig w:usb0="00000000" w:usb1="00000000" w:usb2="00000000" w:usb3="00000000" w:csb0="00040000" w:csb1="00000000"/>
    <w:embedRegular r:id="rId7" w:fontKey="{AC83919B-C015-42A6-9307-4CEBFD989B92}"/>
  </w:font>
  <w:font w:name="微软雅黑">
    <w:panose1 w:val="020B0503020204020204"/>
    <w:charset w:val="86"/>
    <w:family w:val="swiss"/>
    <w:pitch w:val="default"/>
    <w:sig w:usb0="80000287" w:usb1="2ACF3C50" w:usb2="00000016" w:usb3="00000000" w:csb0="0004001F" w:csb1="00000000"/>
    <w:embedRegular r:id="rId8" w:fontKey="{D147AE3B-FF48-4995-BDD9-652953F58E5C}"/>
  </w:font>
  <w:font w:name="___WRD_EMBED_SUB_40">
    <w:altName w:val="华文宋体"/>
    <w:panose1 w:val="02010609030101010101"/>
    <w:charset w:val="86"/>
    <w:family w:val="modern"/>
    <w:pitch w:val="default"/>
    <w:sig w:usb0="00000000" w:usb1="00000000" w:usb2="00000000" w:usb3="00000000" w:csb0="00040000" w:csb1="00000000"/>
    <w:embedRegular r:id="rId9" w:fontKey="{4EA1F6D6-FDBB-4715-B66D-DEA10B060018}"/>
  </w:font>
  <w:font w:name="华文楷体">
    <w:panose1 w:val="02010600040101010101"/>
    <w:charset w:val="86"/>
    <w:family w:val="auto"/>
    <w:pitch w:val="default"/>
    <w:sig w:usb0="00000287" w:usb1="080F0000" w:usb2="00000000" w:usb3="00000000" w:csb0="0004009F" w:csb1="DFD70000"/>
    <w:embedRegular r:id="rId10" w:fontKey="{6D71FFE1-082A-42F6-9D4F-BF2A9E9F866D}"/>
  </w:font>
  <w:font w:name="楷体">
    <w:panose1 w:val="02010609060101010101"/>
    <w:charset w:val="86"/>
    <w:family w:val="modern"/>
    <w:pitch w:val="default"/>
    <w:sig w:usb0="800002BF" w:usb1="38CF7CFA" w:usb2="00000016" w:usb3="00000000" w:csb0="00040001" w:csb1="00000000"/>
    <w:embedRegular r:id="rId11" w:fontKey="{F88B4576-67AC-4E41-AD29-0856426AC165}"/>
  </w:font>
  <w:font w:name="汉仪仿宋简">
    <w:panose1 w:val="02010600000101010101"/>
    <w:charset w:val="86"/>
    <w:family w:val="auto"/>
    <w:pitch w:val="default"/>
    <w:sig w:usb0="800002BF" w:usb1="184F6CF8" w:usb2="00000012" w:usb3="00000000" w:csb0="00020001" w:csb1="00000000"/>
    <w:embedRegular r:id="rId12" w:fontKey="{66F69968-8166-4BF4-949F-771F914C379E}"/>
  </w:font>
  <w:font w:name="ArialMT">
    <w:altName w:val="Times New Roman"/>
    <w:panose1 w:val="020B0604020202090204"/>
    <w:charset w:val="00"/>
    <w:family w:val="auto"/>
    <w:pitch w:val="default"/>
    <w:sig w:usb0="00000000" w:usb1="00000000" w:usb2="00000001" w:usb3="00000000" w:csb0="400001BF" w:csb1="DFF70000"/>
    <w:embedRegular r:id="rId13" w:fontKey="{B69EF736-E39F-4BDD-9C12-8D078490A859}"/>
  </w:font>
  <w:font w:name="Arial-BoldMT">
    <w:altName w:val="Segoe Print"/>
    <w:panose1 w:val="020B0604020202090204"/>
    <w:charset w:val="00"/>
    <w:family w:val="auto"/>
    <w:pitch w:val="default"/>
    <w:sig w:usb0="00000000" w:usb1="00000000" w:usb2="00000001" w:usb3="00000000" w:csb0="400001BF" w:csb1="DFF70000"/>
    <w:embedRegular r:id="rId14" w:fontKey="{67A943E9-A85E-4597-BD71-F6AC845AEF30}"/>
  </w:font>
  <w:font w:name="Segoe UI">
    <w:panose1 w:val="020B0502040204020203"/>
    <w:charset w:val="00"/>
    <w:family w:val="auto"/>
    <w:pitch w:val="default"/>
    <w:sig w:usb0="E4002EFF" w:usb1="C000E47F" w:usb2="00000009" w:usb3="00000000" w:csb0="200001FF" w:csb1="00000000"/>
  </w:font>
  <w:font w:name="华文宋体">
    <w:panose1 w:val="02010600040101010101"/>
    <w:charset w:val="86"/>
    <w:family w:val="auto"/>
    <w:pitch w:val="default"/>
    <w:sig w:usb0="00000287" w:usb1="080F0000" w:usb2="00000000" w:usb3="00000000" w:csb0="000400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6B0B60">
    <w:pPr>
      <w:pStyle w:val="9"/>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194235">
                          <w:pPr>
                            <w:pStyle w:val="9"/>
                            <w:rPr>
                              <w:rFonts w:ascii="Times New Roman Regular" w:hAnsi="Times New Roman Regular" w:cs="Times New Roman Regular"/>
                              <w:sz w:val="24"/>
                              <w:szCs w:val="24"/>
                            </w:rPr>
                          </w:pPr>
                          <w:r>
                            <w:rPr>
                              <w:rFonts w:ascii="Times New Roman Regular" w:hAnsi="Times New Roman Regular" w:cs="Times New Roman Regular"/>
                              <w:sz w:val="24"/>
                              <w:szCs w:val="24"/>
                            </w:rPr>
                            <w:fldChar w:fldCharType="begin"/>
                          </w:r>
                          <w:r>
                            <w:rPr>
                              <w:rFonts w:ascii="Times New Roman Regular" w:hAnsi="Times New Roman Regular" w:cs="Times New Roman Regular"/>
                              <w:sz w:val="24"/>
                              <w:szCs w:val="24"/>
                            </w:rPr>
                            <w:instrText xml:space="preserve"> PAGE  \* MERGEFORMAT </w:instrText>
                          </w:r>
                          <w:r>
                            <w:rPr>
                              <w:rFonts w:ascii="Times New Roman Regular" w:hAnsi="Times New Roman Regular" w:cs="Times New Roman Regular"/>
                              <w:sz w:val="24"/>
                              <w:szCs w:val="24"/>
                            </w:rPr>
                            <w:fldChar w:fldCharType="separate"/>
                          </w:r>
                          <w:r>
                            <w:rPr>
                              <w:rFonts w:ascii="Times New Roman Regular" w:hAnsi="Times New Roman Regular" w:cs="Times New Roman Regular"/>
                              <w:sz w:val="24"/>
                              <w:szCs w:val="24"/>
                            </w:rPr>
                            <w:t>- 106 -</w:t>
                          </w:r>
                          <w:r>
                            <w:rPr>
                              <w:rFonts w:ascii="Times New Roman Regular" w:hAnsi="Times New Roman Regular" w:cs="Times New Roman Regular"/>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14:paraId="0C194235">
                    <w:pPr>
                      <w:pStyle w:val="9"/>
                      <w:rPr>
                        <w:rFonts w:ascii="Times New Roman Regular" w:hAnsi="Times New Roman Regular" w:cs="Times New Roman Regular"/>
                        <w:sz w:val="24"/>
                        <w:szCs w:val="24"/>
                      </w:rPr>
                    </w:pPr>
                    <w:r>
                      <w:rPr>
                        <w:rFonts w:ascii="Times New Roman Regular" w:hAnsi="Times New Roman Regular" w:cs="Times New Roman Regular"/>
                        <w:sz w:val="24"/>
                        <w:szCs w:val="24"/>
                      </w:rPr>
                      <w:fldChar w:fldCharType="begin"/>
                    </w:r>
                    <w:r>
                      <w:rPr>
                        <w:rFonts w:ascii="Times New Roman Regular" w:hAnsi="Times New Roman Regular" w:cs="Times New Roman Regular"/>
                        <w:sz w:val="24"/>
                        <w:szCs w:val="24"/>
                      </w:rPr>
                      <w:instrText xml:space="preserve"> PAGE  \* MERGEFORMAT </w:instrText>
                    </w:r>
                    <w:r>
                      <w:rPr>
                        <w:rFonts w:ascii="Times New Roman Regular" w:hAnsi="Times New Roman Regular" w:cs="Times New Roman Regular"/>
                        <w:sz w:val="24"/>
                        <w:szCs w:val="24"/>
                      </w:rPr>
                      <w:fldChar w:fldCharType="separate"/>
                    </w:r>
                    <w:r>
                      <w:rPr>
                        <w:rFonts w:ascii="Times New Roman Regular" w:hAnsi="Times New Roman Regular" w:cs="Times New Roman Regular"/>
                        <w:sz w:val="24"/>
                        <w:szCs w:val="24"/>
                      </w:rPr>
                      <w:t>- 106 -</w:t>
                    </w:r>
                    <w:r>
                      <w:rPr>
                        <w:rFonts w:ascii="Times New Roman Regular" w:hAnsi="Times New Roman Regular" w:cs="Times New Roman Regular"/>
                        <w:sz w:val="24"/>
                        <w:szCs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8">
    <w:p>
      <w:r>
        <w:separator/>
      </w:r>
    </w:p>
  </w:footnote>
  <w:footnote w:type="continuationSeparator" w:id="9">
    <w:p>
      <w:r>
        <w:continuationSeparator/>
      </w:r>
    </w:p>
  </w:footnote>
  <w:footnote w:id="0">
    <w:p w14:paraId="2F60EA5D">
      <w:pPr>
        <w:pStyle w:val="12"/>
      </w:pPr>
      <w:r>
        <w:rPr>
          <w:rStyle w:val="23"/>
        </w:rPr>
        <w:footnoteRef/>
      </w:r>
      <w:r>
        <w:t xml:space="preserve"> </w:t>
      </w:r>
      <w:r>
        <w:rPr>
          <w:rFonts w:hint="eastAsia"/>
        </w:rPr>
        <w:t>备注：山东炼厂在“十四五”低碳发展规划中按照原油加工能力1200万吨/年考虑，由于炼厂暂无排产计划，“十五五”暂不计入考虑。</w:t>
      </w:r>
    </w:p>
  </w:footnote>
  <w:footnote w:id="1">
    <w:p w14:paraId="1135BC96">
      <w:pPr>
        <w:pStyle w:val="12"/>
      </w:pPr>
      <w:r>
        <w:rPr>
          <w:rStyle w:val="23"/>
        </w:rPr>
        <w:footnoteRef/>
      </w:r>
      <w:r>
        <w:t xml:space="preserve"> </w:t>
      </w:r>
      <w:r>
        <w:rPr>
          <w:rFonts w:hint="eastAsia"/>
        </w:rPr>
        <w:t>备注：本次低碳发展规划将重点对生产型企业进行规划，主要原因为非生产型企业碳排放量占比极低，节能减碳措施缺乏刚性，当前国资委考核重点聚焦于高耗能生产性单位；目前非生产企业减排潜力尚难系统性纳入整体战略部署，将重点针对制度建设等开展分析。</w:t>
      </w:r>
    </w:p>
  </w:footnote>
  <w:footnote w:id="2">
    <w:p w14:paraId="69772AE0">
      <w:pPr>
        <w:pStyle w:val="12"/>
      </w:pPr>
      <w:r>
        <w:rPr>
          <w:rStyle w:val="23"/>
        </w:rPr>
        <w:footnoteRef/>
      </w:r>
      <w:r>
        <w:t xml:space="preserve"> </w:t>
      </w:r>
      <w:r>
        <w:rPr>
          <w:rFonts w:hint="eastAsia"/>
        </w:rPr>
        <w:t>对标数据及内容来自各企业2024年ESG（环境、社会及治理）报告</w:t>
      </w:r>
    </w:p>
  </w:footnote>
  <w:footnote w:id="3">
    <w:p w14:paraId="3F1452FA">
      <w:pPr>
        <w:pStyle w:val="12"/>
      </w:pPr>
      <w:r>
        <w:rPr>
          <w:rStyle w:val="23"/>
        </w:rPr>
        <w:footnoteRef/>
      </w:r>
      <w:r>
        <w:t xml:space="preserve"> </w:t>
      </w:r>
      <w:r>
        <w:rPr>
          <w:rFonts w:hint="eastAsia"/>
        </w:rPr>
        <w:t>国标文件中的装置项未能全部涵盖泉化所有炼油装置</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6D7B0">
    <w:pPr>
      <w:pStyle w:val="1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一 整体情况及业务概述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3DEED">
    <w:pPr>
      <w:pStyle w:val="1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二 “十四五”低碳重点工作回顾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433AC">
    <w:pPr>
      <w:pStyle w:val="1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二 “十四五”低碳重点工作回顾</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5490CF">
    <w:pPr>
      <w:pStyle w:val="1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三 发展环境分析</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12D73">
    <w:pPr>
      <w:pStyle w:val="10"/>
      <w:wordWrap w:val="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四 标杆对标</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F00BF">
    <w:pPr>
      <w:pStyle w:val="10"/>
      <w:wordWrap w:val="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五 低碳发展目标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F2BC9F">
    <w:pPr>
      <w:pStyle w:val="10"/>
      <w:wordWrap w:val="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六 低碳发展实施路径</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A32BC">
    <w:pPr>
      <w:pStyle w:val="10"/>
      <w:wordWrap w:val="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七 实施效果分析</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CEE38">
    <w:pPr>
      <w:pStyle w:val="10"/>
      <w:wordWrap w:val="0"/>
      <w:jc w:val="right"/>
      <w:rPr>
        <w:rFonts w:ascii="仿宋_GB2312" w:hAnsi="仿宋_GB2312" w:eastAsia="仿宋_GB2312" w:cs="仿宋_GB2312"/>
        <w:sz w:val="20"/>
        <w:szCs w:val="20"/>
      </w:rPr>
    </w:pPr>
    <w:r>
      <w:rPr>
        <w:rFonts w:hint="eastAsia" w:ascii="仿宋_GB2312" w:hAnsi="仿宋_GB2312" w:eastAsia="仿宋_GB2312" w:cs="仿宋_GB2312"/>
        <w:sz w:val="20"/>
        <w:szCs w:val="20"/>
      </w:rPr>
      <w:t>九 结论与展望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F65B85"/>
    <w:multiLevelType w:val="singleLevel"/>
    <w:tmpl w:val="DBF65B85"/>
    <w:lvl w:ilvl="0" w:tentative="0">
      <w:start w:val="1"/>
      <w:numFmt w:val="bullet"/>
      <w:lvlText w:val=""/>
      <w:lvlJc w:val="left"/>
      <w:pPr>
        <w:ind w:left="420" w:hanging="420"/>
      </w:pPr>
      <w:rPr>
        <w:rFonts w:hint="default" w:ascii="Wingdings" w:hAnsi="Wingdings"/>
      </w:rPr>
    </w:lvl>
  </w:abstractNum>
  <w:abstractNum w:abstractNumId="1">
    <w:nsid w:val="F6927067"/>
    <w:multiLevelType w:val="singleLevel"/>
    <w:tmpl w:val="F6927067"/>
    <w:lvl w:ilvl="0" w:tentative="0">
      <w:start w:val="4"/>
      <w:numFmt w:val="decimal"/>
      <w:suff w:val="nothing"/>
      <w:lvlText w:val="（%1）"/>
      <w:lvlJc w:val="left"/>
    </w:lvl>
  </w:abstractNum>
  <w:abstractNum w:abstractNumId="2">
    <w:nsid w:val="FF7F8B5B"/>
    <w:multiLevelType w:val="singleLevel"/>
    <w:tmpl w:val="FF7F8B5B"/>
    <w:lvl w:ilvl="0" w:tentative="0">
      <w:start w:val="1"/>
      <w:numFmt w:val="bullet"/>
      <w:lvlText w:val=""/>
      <w:lvlJc w:val="left"/>
      <w:pPr>
        <w:ind w:left="420" w:hanging="420"/>
      </w:pPr>
      <w:rPr>
        <w:rFonts w:hint="default" w:ascii="Wingdings" w:hAnsi="Wingdings"/>
      </w:rPr>
    </w:lvl>
  </w:abstractNum>
  <w:abstractNum w:abstractNumId="3">
    <w:nsid w:val="31DB92F6"/>
    <w:multiLevelType w:val="singleLevel"/>
    <w:tmpl w:val="31DB92F6"/>
    <w:lvl w:ilvl="0" w:tentative="0">
      <w:start w:val="1"/>
      <w:numFmt w:val="bullet"/>
      <w:lvlText w:val=""/>
      <w:lvlJc w:val="left"/>
      <w:pPr>
        <w:ind w:left="420" w:hanging="420"/>
      </w:pPr>
      <w:rPr>
        <w:rFonts w:hint="default" w:ascii="Wingdings" w:hAnsi="Wingdings"/>
      </w:rPr>
    </w:lvl>
  </w:abstractNum>
  <w:abstractNum w:abstractNumId="4">
    <w:nsid w:val="333E5B4D"/>
    <w:multiLevelType w:val="singleLevel"/>
    <w:tmpl w:val="333E5B4D"/>
    <w:lvl w:ilvl="0" w:tentative="0">
      <w:start w:val="1"/>
      <w:numFmt w:val="bullet"/>
      <w:lvlText w:val=""/>
      <w:lvlJc w:val="left"/>
      <w:pPr>
        <w:ind w:left="420" w:hanging="420"/>
      </w:pPr>
      <w:rPr>
        <w:rFonts w:hint="default" w:ascii="Wingdings" w:hAnsi="Wingdings"/>
      </w:rPr>
    </w:lvl>
  </w:abstractNum>
  <w:abstractNum w:abstractNumId="5">
    <w:nsid w:val="77BFECB0"/>
    <w:multiLevelType w:val="singleLevel"/>
    <w:tmpl w:val="77BFECB0"/>
    <w:lvl w:ilvl="0" w:tentative="0">
      <w:start w:val="1"/>
      <w:numFmt w:val="decimal"/>
      <w:lvlText w:val="%1."/>
      <w:lvlJc w:val="left"/>
      <w:pPr>
        <w:tabs>
          <w:tab w:val="left" w:pos="312"/>
        </w:tabs>
      </w:p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ang SHUAI">
    <w15:presenceInfo w15:providerId="WPS Office" w15:userId="37731174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TrueTypeFonts/>
  <w:saveSubsetFonts/>
  <w:bordersDoNotSurroundHeader w:val="0"/>
  <w:bordersDoNotSurroundFooter w:val="0"/>
  <w:hideSpellingErrors/>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8"/>
    <w:footnote w:id="9"/>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1E6A53"/>
    <w:rsid w:val="00007D29"/>
    <w:rsid w:val="00041960"/>
    <w:rsid w:val="00046547"/>
    <w:rsid w:val="00052E9F"/>
    <w:rsid w:val="00080F02"/>
    <w:rsid w:val="00083E27"/>
    <w:rsid w:val="0008476D"/>
    <w:rsid w:val="00090112"/>
    <w:rsid w:val="000904FA"/>
    <w:rsid w:val="000C4133"/>
    <w:rsid w:val="000D6AA2"/>
    <w:rsid w:val="000F7279"/>
    <w:rsid w:val="0015185C"/>
    <w:rsid w:val="0017566F"/>
    <w:rsid w:val="00191DCF"/>
    <w:rsid w:val="00196FAE"/>
    <w:rsid w:val="001A7893"/>
    <w:rsid w:val="001B1F39"/>
    <w:rsid w:val="001B2C50"/>
    <w:rsid w:val="001F03BE"/>
    <w:rsid w:val="001F04A9"/>
    <w:rsid w:val="00253438"/>
    <w:rsid w:val="00275E77"/>
    <w:rsid w:val="00295292"/>
    <w:rsid w:val="002A36B0"/>
    <w:rsid w:val="002B4856"/>
    <w:rsid w:val="002B4C28"/>
    <w:rsid w:val="002D1EED"/>
    <w:rsid w:val="002D2D57"/>
    <w:rsid w:val="002D7B7F"/>
    <w:rsid w:val="002E0770"/>
    <w:rsid w:val="002E6DB4"/>
    <w:rsid w:val="00322257"/>
    <w:rsid w:val="003300DC"/>
    <w:rsid w:val="003667A9"/>
    <w:rsid w:val="00377BE1"/>
    <w:rsid w:val="003A3250"/>
    <w:rsid w:val="003C574C"/>
    <w:rsid w:val="003D0480"/>
    <w:rsid w:val="003E104A"/>
    <w:rsid w:val="003E7DAA"/>
    <w:rsid w:val="0046020A"/>
    <w:rsid w:val="00475C0C"/>
    <w:rsid w:val="004865FF"/>
    <w:rsid w:val="004A58F5"/>
    <w:rsid w:val="004B2535"/>
    <w:rsid w:val="004B70CB"/>
    <w:rsid w:val="00512CEC"/>
    <w:rsid w:val="005156B4"/>
    <w:rsid w:val="0053162E"/>
    <w:rsid w:val="005346A2"/>
    <w:rsid w:val="00542CF9"/>
    <w:rsid w:val="0054711C"/>
    <w:rsid w:val="00551755"/>
    <w:rsid w:val="005664C5"/>
    <w:rsid w:val="005A5DF1"/>
    <w:rsid w:val="005D66C6"/>
    <w:rsid w:val="005E763F"/>
    <w:rsid w:val="006A0454"/>
    <w:rsid w:val="0070223B"/>
    <w:rsid w:val="0070665D"/>
    <w:rsid w:val="00726EE2"/>
    <w:rsid w:val="00767DF5"/>
    <w:rsid w:val="00775B24"/>
    <w:rsid w:val="007A5B0A"/>
    <w:rsid w:val="007A5E76"/>
    <w:rsid w:val="007B1756"/>
    <w:rsid w:val="007E2F83"/>
    <w:rsid w:val="007F0895"/>
    <w:rsid w:val="0082340B"/>
    <w:rsid w:val="0083718C"/>
    <w:rsid w:val="0083792A"/>
    <w:rsid w:val="00847C0F"/>
    <w:rsid w:val="00861384"/>
    <w:rsid w:val="008D7411"/>
    <w:rsid w:val="008E190D"/>
    <w:rsid w:val="00914E00"/>
    <w:rsid w:val="00923342"/>
    <w:rsid w:val="00927E0E"/>
    <w:rsid w:val="00960072"/>
    <w:rsid w:val="00977888"/>
    <w:rsid w:val="009F21D5"/>
    <w:rsid w:val="009F3539"/>
    <w:rsid w:val="009F3E86"/>
    <w:rsid w:val="00A17900"/>
    <w:rsid w:val="00A501BC"/>
    <w:rsid w:val="00A50C49"/>
    <w:rsid w:val="00A530DE"/>
    <w:rsid w:val="00A6595C"/>
    <w:rsid w:val="00A82751"/>
    <w:rsid w:val="00AC15A2"/>
    <w:rsid w:val="00AF002E"/>
    <w:rsid w:val="00B11E3D"/>
    <w:rsid w:val="00B256C2"/>
    <w:rsid w:val="00B33AE2"/>
    <w:rsid w:val="00B75CFB"/>
    <w:rsid w:val="00B768B0"/>
    <w:rsid w:val="00B77073"/>
    <w:rsid w:val="00B91C20"/>
    <w:rsid w:val="00BC554D"/>
    <w:rsid w:val="00BD5C38"/>
    <w:rsid w:val="00C007C8"/>
    <w:rsid w:val="00C017B8"/>
    <w:rsid w:val="00C34ED9"/>
    <w:rsid w:val="00C65832"/>
    <w:rsid w:val="00CB6E97"/>
    <w:rsid w:val="00CC5699"/>
    <w:rsid w:val="00CD19F0"/>
    <w:rsid w:val="00CE410C"/>
    <w:rsid w:val="00D011C6"/>
    <w:rsid w:val="00D0363E"/>
    <w:rsid w:val="00D6708C"/>
    <w:rsid w:val="00D87521"/>
    <w:rsid w:val="00DB6A4E"/>
    <w:rsid w:val="00DD6498"/>
    <w:rsid w:val="00E31CE4"/>
    <w:rsid w:val="00E4754E"/>
    <w:rsid w:val="00E7368A"/>
    <w:rsid w:val="00ED5D3A"/>
    <w:rsid w:val="00EF43D4"/>
    <w:rsid w:val="00F31D2F"/>
    <w:rsid w:val="00F52EFA"/>
    <w:rsid w:val="00F64BCE"/>
    <w:rsid w:val="00F758A0"/>
    <w:rsid w:val="00FA07D0"/>
    <w:rsid w:val="00FA2B2B"/>
    <w:rsid w:val="00FB325B"/>
    <w:rsid w:val="01712E5B"/>
    <w:rsid w:val="018F4C90"/>
    <w:rsid w:val="03E05C76"/>
    <w:rsid w:val="042913CB"/>
    <w:rsid w:val="049376AE"/>
    <w:rsid w:val="07CC09EB"/>
    <w:rsid w:val="081F2912"/>
    <w:rsid w:val="0882554E"/>
    <w:rsid w:val="0BAF4DBB"/>
    <w:rsid w:val="0BF86194"/>
    <w:rsid w:val="0C451165"/>
    <w:rsid w:val="0CD143AE"/>
    <w:rsid w:val="0FF705D0"/>
    <w:rsid w:val="118045F5"/>
    <w:rsid w:val="1272218F"/>
    <w:rsid w:val="14D6523E"/>
    <w:rsid w:val="150A2B53"/>
    <w:rsid w:val="15F553C2"/>
    <w:rsid w:val="191F5033"/>
    <w:rsid w:val="1A7914D1"/>
    <w:rsid w:val="1AE7387F"/>
    <w:rsid w:val="1BA17641"/>
    <w:rsid w:val="1C116586"/>
    <w:rsid w:val="1CA473E9"/>
    <w:rsid w:val="1D5030CD"/>
    <w:rsid w:val="1E9E23E8"/>
    <w:rsid w:val="202A40A9"/>
    <w:rsid w:val="21CF1755"/>
    <w:rsid w:val="21FA8276"/>
    <w:rsid w:val="220438EA"/>
    <w:rsid w:val="249F2F71"/>
    <w:rsid w:val="258C1362"/>
    <w:rsid w:val="260A4BE2"/>
    <w:rsid w:val="266D2F42"/>
    <w:rsid w:val="27462BA9"/>
    <w:rsid w:val="27DE2E89"/>
    <w:rsid w:val="29C0798D"/>
    <w:rsid w:val="2AA66A22"/>
    <w:rsid w:val="2C131E96"/>
    <w:rsid w:val="2C22657D"/>
    <w:rsid w:val="2C680FE8"/>
    <w:rsid w:val="2C863E1B"/>
    <w:rsid w:val="2D6D3657"/>
    <w:rsid w:val="2D7626DC"/>
    <w:rsid w:val="2DCD2FD2"/>
    <w:rsid w:val="2DDBD7F9"/>
    <w:rsid w:val="2DEE5D39"/>
    <w:rsid w:val="2F2D326E"/>
    <w:rsid w:val="307A6987"/>
    <w:rsid w:val="308C66BA"/>
    <w:rsid w:val="31D36E32"/>
    <w:rsid w:val="31E22A36"/>
    <w:rsid w:val="32CF302C"/>
    <w:rsid w:val="333A0650"/>
    <w:rsid w:val="3431735D"/>
    <w:rsid w:val="347D07F4"/>
    <w:rsid w:val="3482765D"/>
    <w:rsid w:val="34B561E0"/>
    <w:rsid w:val="357C3ACE"/>
    <w:rsid w:val="36B204FD"/>
    <w:rsid w:val="38EF77E6"/>
    <w:rsid w:val="391060DB"/>
    <w:rsid w:val="39DA4378"/>
    <w:rsid w:val="3A0F6392"/>
    <w:rsid w:val="3ADD4E9F"/>
    <w:rsid w:val="3BF33A92"/>
    <w:rsid w:val="3C9D6E21"/>
    <w:rsid w:val="3F9FDB7E"/>
    <w:rsid w:val="42EB101F"/>
    <w:rsid w:val="45F96148"/>
    <w:rsid w:val="46072F94"/>
    <w:rsid w:val="48727C11"/>
    <w:rsid w:val="48987CCA"/>
    <w:rsid w:val="48A95C04"/>
    <w:rsid w:val="493556E9"/>
    <w:rsid w:val="4CB2553B"/>
    <w:rsid w:val="4CD60F91"/>
    <w:rsid w:val="4D8F494F"/>
    <w:rsid w:val="52395CCA"/>
    <w:rsid w:val="53EC4BF7"/>
    <w:rsid w:val="557D1BD1"/>
    <w:rsid w:val="559600AE"/>
    <w:rsid w:val="568E6439"/>
    <w:rsid w:val="56B81467"/>
    <w:rsid w:val="59407715"/>
    <w:rsid w:val="5C6E089F"/>
    <w:rsid w:val="5DFF2DC4"/>
    <w:rsid w:val="5E8F3317"/>
    <w:rsid w:val="5EF145FA"/>
    <w:rsid w:val="5EF7203C"/>
    <w:rsid w:val="610D3747"/>
    <w:rsid w:val="64FD6C64"/>
    <w:rsid w:val="65786B89"/>
    <w:rsid w:val="65827499"/>
    <w:rsid w:val="65DD17FE"/>
    <w:rsid w:val="65FBA2E8"/>
    <w:rsid w:val="662621EA"/>
    <w:rsid w:val="67D7C573"/>
    <w:rsid w:val="6A8D335E"/>
    <w:rsid w:val="6B855C05"/>
    <w:rsid w:val="6D832555"/>
    <w:rsid w:val="6DF76589"/>
    <w:rsid w:val="6E0A65A1"/>
    <w:rsid w:val="6EEA0C8B"/>
    <w:rsid w:val="6EEF7597"/>
    <w:rsid w:val="6F3239AE"/>
    <w:rsid w:val="6F3911E0"/>
    <w:rsid w:val="6F756A5D"/>
    <w:rsid w:val="70822713"/>
    <w:rsid w:val="727B1879"/>
    <w:rsid w:val="732E6B82"/>
    <w:rsid w:val="744A3547"/>
    <w:rsid w:val="74607793"/>
    <w:rsid w:val="76997802"/>
    <w:rsid w:val="771B501C"/>
    <w:rsid w:val="771E6A53"/>
    <w:rsid w:val="773F06AD"/>
    <w:rsid w:val="774E15A1"/>
    <w:rsid w:val="778356EE"/>
    <w:rsid w:val="77F9E163"/>
    <w:rsid w:val="79BB4C11"/>
    <w:rsid w:val="79C35E3E"/>
    <w:rsid w:val="7AEF76A5"/>
    <w:rsid w:val="7B024B7C"/>
    <w:rsid w:val="7BA93249"/>
    <w:rsid w:val="7BEC3ECE"/>
    <w:rsid w:val="7C3201A0"/>
    <w:rsid w:val="7C86235A"/>
    <w:rsid w:val="7D6D68D0"/>
    <w:rsid w:val="7DA02A18"/>
    <w:rsid w:val="7DAE5640"/>
    <w:rsid w:val="7DBE8590"/>
    <w:rsid w:val="7E673064"/>
    <w:rsid w:val="7EB50157"/>
    <w:rsid w:val="7EFF7C24"/>
    <w:rsid w:val="7F5EB06F"/>
    <w:rsid w:val="7FBF4DD1"/>
    <w:rsid w:val="7FE9A04E"/>
    <w:rsid w:val="7FF56A5D"/>
    <w:rsid w:val="9DBA831D"/>
    <w:rsid w:val="9EE3A31C"/>
    <w:rsid w:val="9F8AAD7F"/>
    <w:rsid w:val="A3BF980B"/>
    <w:rsid w:val="A7594A43"/>
    <w:rsid w:val="AF9160E6"/>
    <w:rsid w:val="AFB2FF09"/>
    <w:rsid w:val="B3E79F3A"/>
    <w:rsid w:val="B7E6A2D0"/>
    <w:rsid w:val="B7EB6B15"/>
    <w:rsid w:val="B9EF4E00"/>
    <w:rsid w:val="BFBE6411"/>
    <w:rsid w:val="BFF7F3A9"/>
    <w:rsid w:val="CFBA1432"/>
    <w:rsid w:val="DBF95E64"/>
    <w:rsid w:val="DF7EA885"/>
    <w:rsid w:val="EAFE7478"/>
    <w:rsid w:val="EFEF0AC6"/>
    <w:rsid w:val="EFF6B85E"/>
    <w:rsid w:val="F1B1F31F"/>
    <w:rsid w:val="F3C7FB42"/>
    <w:rsid w:val="F5F4660D"/>
    <w:rsid w:val="F6CD2C1F"/>
    <w:rsid w:val="F77FC014"/>
    <w:rsid w:val="F7FFC226"/>
    <w:rsid w:val="F9DF833B"/>
    <w:rsid w:val="F9FB444F"/>
    <w:rsid w:val="FBE38EC1"/>
    <w:rsid w:val="FBF5F091"/>
    <w:rsid w:val="FE457DB5"/>
    <w:rsid w:val="FE7FB6D8"/>
    <w:rsid w:val="FEF68740"/>
    <w:rsid w:val="FF3F1FD7"/>
    <w:rsid w:val="FFABA0E7"/>
    <w:rsid w:val="FFBF4F20"/>
    <w:rsid w:val="FFDB8E82"/>
    <w:rsid w:val="FFF672C3"/>
    <w:rsid w:val="FFF92BBF"/>
    <w:rsid w:val="FFFE15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4">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qFormat/>
    <w:uiPriority w:val="0"/>
    <w:pPr>
      <w:jc w:val="left"/>
    </w:pPr>
  </w:style>
  <w:style w:type="paragraph" w:styleId="7">
    <w:name w:val="Body Text Indent"/>
    <w:basedOn w:val="1"/>
    <w:next w:val="1"/>
    <w:qFormat/>
    <w:uiPriority w:val="99"/>
    <w:pPr>
      <w:ind w:firstLine="640" w:firstLineChars="200"/>
    </w:pPr>
    <w:rPr>
      <w:rFonts w:ascii="仿宋_GB2312" w:hAnsi="宋体"/>
    </w:rPr>
  </w:style>
  <w:style w:type="paragraph" w:styleId="8">
    <w:name w:val="Balloon Text"/>
    <w:basedOn w:val="1"/>
    <w:link w:val="25"/>
    <w:qFormat/>
    <w:uiPriority w:val="0"/>
    <w:rPr>
      <w:sz w:val="18"/>
      <w:szCs w:val="18"/>
    </w:rPr>
  </w:style>
  <w:style w:type="paragraph" w:styleId="9">
    <w:name w:val="footer"/>
    <w:basedOn w:val="1"/>
    <w:link w:val="27"/>
    <w:qFormat/>
    <w:uiPriority w:val="0"/>
    <w:pPr>
      <w:tabs>
        <w:tab w:val="center" w:pos="4153"/>
        <w:tab w:val="right" w:pos="8306"/>
      </w:tabs>
      <w:snapToGrid w:val="0"/>
      <w:jc w:val="left"/>
    </w:pPr>
    <w:rPr>
      <w:sz w:val="18"/>
      <w:szCs w:val="18"/>
    </w:rPr>
  </w:style>
  <w:style w:type="paragraph" w:styleId="10">
    <w:name w:val="header"/>
    <w:basedOn w:val="1"/>
    <w:link w:val="26"/>
    <w:qFormat/>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qFormat/>
    <w:uiPriority w:val="0"/>
  </w:style>
  <w:style w:type="paragraph" w:styleId="12">
    <w:name w:val="footnote text"/>
    <w:basedOn w:val="1"/>
    <w:qFormat/>
    <w:uiPriority w:val="0"/>
    <w:pPr>
      <w:snapToGrid w:val="0"/>
      <w:jc w:val="left"/>
    </w:pPr>
    <w:rPr>
      <w:sz w:val="18"/>
    </w:rPr>
  </w:style>
  <w:style w:type="paragraph" w:styleId="13">
    <w:name w:val="toc 2"/>
    <w:basedOn w:val="1"/>
    <w:next w:val="1"/>
    <w:qFormat/>
    <w:uiPriority w:val="0"/>
    <w:pPr>
      <w:ind w:left="420" w:leftChars="200"/>
    </w:pPr>
  </w:style>
  <w:style w:type="paragraph" w:styleId="14">
    <w:name w:val="Normal (Web)"/>
    <w:basedOn w:val="1"/>
    <w:qFormat/>
    <w:uiPriority w:val="0"/>
    <w:pPr>
      <w:spacing w:beforeAutospacing="1" w:afterAutospacing="1"/>
      <w:jc w:val="left"/>
    </w:pPr>
    <w:rPr>
      <w:rFonts w:cs="Times New Roman"/>
      <w:kern w:val="0"/>
      <w:sz w:val="24"/>
    </w:rPr>
  </w:style>
  <w:style w:type="paragraph" w:styleId="15">
    <w:name w:val="Body Text First Indent 2"/>
    <w:basedOn w:val="7"/>
    <w:next w:val="1"/>
    <w:unhideWhenUsed/>
    <w:qFormat/>
    <w:uiPriority w:val="99"/>
    <w:pPr>
      <w:widowControl/>
      <w:tabs>
        <w:tab w:val="left" w:pos="420"/>
      </w:tabs>
      <w:ind w:firstLine="420"/>
    </w:pPr>
    <w:rPr>
      <w:rFonts w:cs="宋体"/>
      <w:kern w:val="0"/>
    </w:rPr>
  </w:style>
  <w:style w:type="table" w:styleId="17">
    <w:name w:val="Table Grid"/>
    <w:basedOn w:val="1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0"/>
    <w:rPr>
      <w:b/>
    </w:rPr>
  </w:style>
  <w:style w:type="character" w:styleId="20">
    <w:name w:val="page number"/>
    <w:basedOn w:val="18"/>
    <w:qFormat/>
    <w:uiPriority w:val="0"/>
  </w:style>
  <w:style w:type="character" w:styleId="21">
    <w:name w:val="Hyperlink"/>
    <w:basedOn w:val="18"/>
    <w:qFormat/>
    <w:uiPriority w:val="0"/>
    <w:rPr>
      <w:color w:val="0000FF"/>
      <w:u w:val="single"/>
    </w:rPr>
  </w:style>
  <w:style w:type="character" w:styleId="22">
    <w:name w:val="annotation reference"/>
    <w:basedOn w:val="18"/>
    <w:qFormat/>
    <w:uiPriority w:val="0"/>
    <w:rPr>
      <w:sz w:val="21"/>
      <w:szCs w:val="21"/>
    </w:rPr>
  </w:style>
  <w:style w:type="character" w:styleId="23">
    <w:name w:val="footnote reference"/>
    <w:basedOn w:val="18"/>
    <w:qFormat/>
    <w:uiPriority w:val="0"/>
    <w:rPr>
      <w:vertAlign w:val="superscript"/>
    </w:rPr>
  </w:style>
  <w:style w:type="paragraph" w:customStyle="1" w:styleId="24">
    <w:name w:val="表内容"/>
    <w:basedOn w:val="1"/>
    <w:next w:val="1"/>
    <w:qFormat/>
    <w:uiPriority w:val="0"/>
  </w:style>
  <w:style w:type="character" w:customStyle="1" w:styleId="25">
    <w:name w:val="批注框文本 Char"/>
    <w:basedOn w:val="18"/>
    <w:link w:val="8"/>
    <w:qFormat/>
    <w:uiPriority w:val="0"/>
    <w:rPr>
      <w:rFonts w:asciiTheme="minorHAnsi" w:hAnsiTheme="minorHAnsi" w:eastAsiaTheme="minorEastAsia" w:cstheme="minorBidi"/>
      <w:kern w:val="2"/>
      <w:sz w:val="18"/>
      <w:szCs w:val="18"/>
    </w:rPr>
  </w:style>
  <w:style w:type="character" w:customStyle="1" w:styleId="26">
    <w:name w:val="页眉 Char"/>
    <w:basedOn w:val="18"/>
    <w:link w:val="10"/>
    <w:qFormat/>
    <w:uiPriority w:val="0"/>
    <w:rPr>
      <w:rFonts w:asciiTheme="minorHAnsi" w:hAnsiTheme="minorHAnsi" w:eastAsiaTheme="minorEastAsia" w:cstheme="minorBidi"/>
      <w:kern w:val="2"/>
      <w:sz w:val="18"/>
      <w:szCs w:val="18"/>
    </w:rPr>
  </w:style>
  <w:style w:type="character" w:customStyle="1" w:styleId="27">
    <w:name w:val="页脚 Char"/>
    <w:basedOn w:val="18"/>
    <w:link w:val="9"/>
    <w:qFormat/>
    <w:uiPriority w:val="0"/>
    <w:rPr>
      <w:rFonts w:asciiTheme="minorHAnsi" w:hAnsiTheme="minorHAnsi" w:eastAsiaTheme="minorEastAsia" w:cstheme="minorBidi"/>
      <w:kern w:val="2"/>
      <w:sz w:val="18"/>
      <w:szCs w:val="18"/>
    </w:rPr>
  </w:style>
  <w:style w:type="paragraph" w:styleId="28">
    <w:name w:val="List Paragraph"/>
    <w:basedOn w:val="1"/>
    <w:qFormat/>
    <w:uiPriority w:val="99"/>
    <w:pPr>
      <w:ind w:firstLine="420" w:firstLineChars="200"/>
    </w:pPr>
  </w:style>
  <w:style w:type="table" w:customStyle="1" w:styleId="29">
    <w:name w:val="无格式表格 111"/>
    <w:basedOn w:val="16"/>
    <w:qFormat/>
    <w:uiPriority w:val="41"/>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cPr>
        <w:tcBorders>
          <w:top w:val="double" w:color="BFBFBF" w:sz="4" w:space="0"/>
        </w:tcBorders>
      </w:tcPr>
    </w:tblStylePr>
    <w:tblStylePr w:type="firstCol">
      <w:rPr>
        <w:b/>
        <w:bCs/>
      </w:rPr>
    </w:tblStylePr>
    <w:tblStylePr w:type="lastCol">
      <w:rPr>
        <w:b/>
        <w:bCs/>
      </w:rPr>
    </w:tblStylePr>
    <w:tblStylePr w:type="band1Vert">
      <w:tcPr>
        <w:shd w:val="clear" w:color="auto" w:fill="F2F2F2"/>
      </w:tcPr>
    </w:tblStylePr>
    <w:tblStylePr w:type="band1Horz">
      <w:tcPr>
        <w:shd w:val="clear" w:color="auto" w:fill="F2F2F2"/>
      </w:tcPr>
    </w:tblStylePr>
  </w:style>
  <w:style w:type="character" w:customStyle="1" w:styleId="30">
    <w:name w:val="16"/>
    <w:basedOn w:val="18"/>
    <w:qFormat/>
    <w:uiPriority w:val="0"/>
    <w:rPr>
      <w:rFonts w:hint="default" w:ascii="仿宋" w:hAnsi="仿宋" w:eastAsia="仿宋" w:cs="仿宋"/>
      <w:color w:val="000000"/>
      <w:sz w:val="24"/>
      <w:szCs w:val="24"/>
    </w:rPr>
  </w:style>
  <w:style w:type="character" w:customStyle="1" w:styleId="31">
    <w:name w:val="10"/>
    <w:basedOn w:val="18"/>
    <w:qFormat/>
    <w:uiPriority w:val="0"/>
    <w:rPr>
      <w:rFonts w:hint="default" w:ascii="Times New Roman" w:hAnsi="Times New Roman" w:cs="Times New Roman"/>
    </w:rPr>
  </w:style>
  <w:style w:type="character" w:customStyle="1" w:styleId="32">
    <w:name w:val="19"/>
    <w:basedOn w:val="18"/>
    <w:qFormat/>
    <w:uiPriority w:val="0"/>
    <w:rPr>
      <w:rFonts w:hint="eastAsia" w:ascii="宋体" w:hAnsi="宋体" w:eastAsia="宋体" w:cs="宋体"/>
      <w:b/>
      <w:bCs/>
      <w:color w:val="000000"/>
      <w:sz w:val="24"/>
      <w:szCs w:val="24"/>
    </w:rPr>
  </w:style>
  <w:style w:type="character" w:customStyle="1" w:styleId="33">
    <w:name w:val="20"/>
    <w:basedOn w:val="18"/>
    <w:qFormat/>
    <w:uiPriority w:val="0"/>
    <w:rPr>
      <w:rFonts w:hint="default" w:ascii="仿宋" w:hAnsi="仿宋" w:eastAsia="仿宋" w:cs="仿宋"/>
      <w:b/>
      <w:bCs/>
      <w:color w:val="000000"/>
      <w:sz w:val="24"/>
      <w:szCs w:val="24"/>
    </w:rPr>
  </w:style>
  <w:style w:type="character" w:customStyle="1" w:styleId="34">
    <w:name w:val="17"/>
    <w:basedOn w:val="18"/>
    <w:qFormat/>
    <w:uiPriority w:val="0"/>
    <w:rPr>
      <w:rFonts w:hint="default" w:ascii="Times New Roman" w:hAnsi="Times New Roman" w:cs="Times New Roman"/>
      <w:b/>
      <w:bCs/>
      <w:color w:val="000000"/>
      <w:sz w:val="24"/>
      <w:szCs w:val="24"/>
    </w:rPr>
  </w:style>
  <w:style w:type="character" w:customStyle="1" w:styleId="35">
    <w:name w:val="18"/>
    <w:basedOn w:val="18"/>
    <w:qFormat/>
    <w:uiPriority w:val="0"/>
    <w:rPr>
      <w:rFonts w:hint="default" w:ascii="Times New Roman" w:hAnsi="Times New Roman" w:cs="Times New Roman"/>
      <w:b/>
      <w:bCs/>
      <w:color w:val="000000"/>
      <w:sz w:val="24"/>
      <w:szCs w:val="24"/>
      <w:vertAlign w:val="subscript"/>
    </w:rPr>
  </w:style>
  <w:style w:type="character" w:customStyle="1" w:styleId="36">
    <w:name w:val="15"/>
    <w:basedOn w:val="18"/>
    <w:qFormat/>
    <w:uiPriority w:val="0"/>
    <w:rPr>
      <w:rFonts w:hint="eastAsia" w:ascii="宋体" w:hAnsi="宋体" w:eastAsia="宋体" w:cs="宋体"/>
      <w:color w:val="000000"/>
      <w:sz w:val="24"/>
      <w:szCs w:val="24"/>
    </w:rPr>
  </w:style>
  <w:style w:type="character" w:customStyle="1" w:styleId="37">
    <w:name w:val="font41"/>
    <w:basedOn w:val="18"/>
    <w:qFormat/>
    <w:uiPriority w:val="0"/>
    <w:rPr>
      <w:rFonts w:ascii="仿宋" w:hAnsi="仿宋" w:eastAsia="仿宋" w:cs="仿宋"/>
      <w:b/>
      <w:bCs/>
      <w:color w:val="000000"/>
      <w:sz w:val="24"/>
      <w:szCs w:val="24"/>
      <w:u w:val="none"/>
    </w:rPr>
  </w:style>
  <w:style w:type="character" w:customStyle="1" w:styleId="38">
    <w:name w:val="font51"/>
    <w:basedOn w:val="18"/>
    <w:qFormat/>
    <w:uiPriority w:val="0"/>
    <w:rPr>
      <w:rFonts w:hint="eastAsia" w:ascii="宋体" w:hAnsi="宋体" w:eastAsia="宋体" w:cs="宋体"/>
      <w:b/>
      <w:bCs/>
      <w:color w:val="000000"/>
      <w:sz w:val="24"/>
      <w:szCs w:val="24"/>
      <w:u w:val="none"/>
    </w:rPr>
  </w:style>
  <w:style w:type="character" w:customStyle="1" w:styleId="39">
    <w:name w:val="font21"/>
    <w:basedOn w:val="18"/>
    <w:qFormat/>
    <w:uiPriority w:val="0"/>
    <w:rPr>
      <w:rFonts w:hint="default" w:ascii="Times New Roman" w:hAnsi="Times New Roman" w:cs="Times New Roman"/>
      <w:b/>
      <w:bCs/>
      <w:color w:val="000000"/>
      <w:sz w:val="24"/>
      <w:szCs w:val="24"/>
      <w:u w:val="none"/>
    </w:rPr>
  </w:style>
  <w:style w:type="character" w:customStyle="1" w:styleId="40">
    <w:name w:val="font61"/>
    <w:basedOn w:val="18"/>
    <w:qFormat/>
    <w:uiPriority w:val="0"/>
    <w:rPr>
      <w:rFonts w:hint="default" w:ascii="Times New Roman" w:hAnsi="Times New Roman" w:cs="Times New Roman"/>
      <w:b/>
      <w:bCs/>
      <w:color w:val="000000"/>
      <w:sz w:val="24"/>
      <w:szCs w:val="24"/>
      <w:u w:val="none"/>
      <w:vertAlign w:val="subscript"/>
    </w:rPr>
  </w:style>
  <w:style w:type="character" w:customStyle="1" w:styleId="41">
    <w:name w:val="font71"/>
    <w:basedOn w:val="18"/>
    <w:qFormat/>
    <w:uiPriority w:val="0"/>
    <w:rPr>
      <w:rFonts w:hint="eastAsia" w:ascii="宋体" w:hAnsi="宋体" w:eastAsia="宋体" w:cs="宋体"/>
      <w:color w:val="000000"/>
      <w:sz w:val="24"/>
      <w:szCs w:val="24"/>
      <w:u w:val="none"/>
    </w:rPr>
  </w:style>
  <w:style w:type="character" w:customStyle="1" w:styleId="42">
    <w:name w:val="font81"/>
    <w:basedOn w:val="18"/>
    <w:qFormat/>
    <w:uiPriority w:val="0"/>
    <w:rPr>
      <w:rFonts w:hint="eastAsia" w:ascii="仿宋" w:hAnsi="仿宋" w:eastAsia="仿宋" w:cs="仿宋"/>
      <w:color w:val="000000"/>
      <w:sz w:val="24"/>
      <w:szCs w:val="24"/>
      <w:u w:val="none"/>
    </w:rPr>
  </w:style>
  <w:style w:type="table" w:customStyle="1" w:styleId="43">
    <w:name w:val="网格型浅色1"/>
    <w:basedOn w:val="16"/>
    <w:qFormat/>
    <w:uiPriority w:val="40"/>
    <w:rPr>
      <w:kern w:val="2"/>
      <w:sz w:val="21"/>
      <w:szCs w:val="22"/>
    </w:r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customStyle="1" w:styleId="44">
    <w:name w:val="WPSOffice手动目录 1"/>
    <w:qFormat/>
    <w:uiPriority w:val="0"/>
    <w:rPr>
      <w:rFonts w:ascii="Times New Roman" w:hAnsi="Times New Roman" w:eastAsia="宋体" w:cs="Times New Roman"/>
      <w:lang w:val="en-US" w:eastAsia="zh-CN" w:bidi="ar-SA"/>
    </w:rPr>
  </w:style>
  <w:style w:type="paragraph" w:customStyle="1" w:styleId="45">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46">
    <w:name w:val="font11"/>
    <w:basedOn w:val="18"/>
    <w:qFormat/>
    <w:uiPriority w:val="0"/>
    <w:rPr>
      <w:rFonts w:hint="eastAsia" w:ascii="宋体" w:hAnsi="宋体" w:eastAsia="宋体" w:cs="宋体"/>
      <w:color w:val="000000"/>
      <w:sz w:val="22"/>
      <w:szCs w:val="22"/>
      <w:u w:val="none"/>
    </w:rPr>
  </w:style>
  <w:style w:type="character" w:customStyle="1" w:styleId="47">
    <w:name w:val="font31"/>
    <w:basedOn w:val="18"/>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footer" Target="footer1.xml"/><Relationship Id="rId6" Type="http://schemas.openxmlformats.org/officeDocument/2006/relationships/header" Target="head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chart" Target="charts/chart3.xml"/><Relationship Id="rId18" Type="http://schemas.openxmlformats.org/officeDocument/2006/relationships/chart" Target="charts/chart2.xml"/><Relationship Id="rId17" Type="http://schemas.openxmlformats.org/officeDocument/2006/relationships/chart" Target="charts/chart1.xml"/><Relationship Id="rId16" Type="http://schemas.openxmlformats.org/officeDocument/2006/relationships/theme" Target="theme/theme1.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4" Type="http://schemas.openxmlformats.org/officeDocument/2006/relationships/font" Target="fonts/font14.odttf"/><Relationship Id="rId13" Type="http://schemas.openxmlformats.org/officeDocument/2006/relationships/font" Target="fonts/font13.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shuaijiang\WPS%20Cloud%20Files\.234153169\cachedata\09D2D1A748E04712AD0E5BBF2605DCB9\&#33021;&#28304;&#20302;&#30899;&#8220;&#21313;&#20116;&#20116;&#8221;&#35268;&#21010;&#25968;&#25454;&#24213;&#3492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admin\Desktop\&#26032;&#24314;%20XLSX%20&#24037;&#20316;&#3492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admin\Desktop\&#26032;&#24314;%20XLSX%20&#24037;&#20316;&#3492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[能源低碳“十五五”规划数据底表.xlsx]图表绘制!$C$23</c:f>
              <c:strCache>
                <c:ptCount val="1"/>
                <c:pt idx="0">
                  <c:v>排放量实际值（万吨）</c:v>
                </c:pt>
              </c:strCache>
            </c:strRef>
          </c:tx>
          <c:spPr>
            <a:solidFill>
              <a:schemeClr val="accent1"/>
            </a:solidFill>
            <a:ln>
              <a:noFill/>
            </a:ln>
            <a:effectLst/>
          </c:spPr>
          <c:invertIfNegative val="0"/>
          <c:dLbls>
            <c:delete val="1"/>
          </c:dLbls>
          <c:cat>
            <c:strRef>
              <c:f>[能源低碳“十五五”规划数据底表.xlsx]图表绘制!$B$24:$B$28</c:f>
              <c:strCache>
                <c:ptCount val="5"/>
                <c:pt idx="0">
                  <c:v>2020年</c:v>
                </c:pt>
                <c:pt idx="1">
                  <c:v>2021年</c:v>
                </c:pt>
                <c:pt idx="2">
                  <c:v>2022年</c:v>
                </c:pt>
                <c:pt idx="3">
                  <c:v>2023年</c:v>
                </c:pt>
                <c:pt idx="4">
                  <c:v>2024年</c:v>
                </c:pt>
              </c:strCache>
            </c:strRef>
          </c:cat>
          <c:val>
            <c:numRef>
              <c:f>[能源低碳“十五五”规划数据底表.xlsx]图表绘制!$C$24:$C$28</c:f>
              <c:numCache>
                <c:formatCode>General</c:formatCode>
                <c:ptCount val="5"/>
                <c:pt idx="0">
                  <c:v>1113.09</c:v>
                </c:pt>
                <c:pt idx="1">
                  <c:v>1540.25</c:v>
                </c:pt>
                <c:pt idx="2">
                  <c:v>1298.37</c:v>
                </c:pt>
                <c:pt idx="3">
                  <c:v>1321.82</c:v>
                </c:pt>
                <c:pt idx="4">
                  <c:v>1184.57</c:v>
                </c:pt>
              </c:numCache>
            </c:numRef>
          </c:val>
        </c:ser>
        <c:ser>
          <c:idx val="1"/>
          <c:order val="1"/>
          <c:tx>
            <c:strRef>
              <c:f>[能源低碳“十五五”规划数据底表.xlsx]图表绘制!$D$23</c:f>
              <c:strCache>
                <c:ptCount val="1"/>
                <c:pt idx="0">
                  <c:v>排放量规划值（万吨）</c:v>
                </c:pt>
              </c:strCache>
            </c:strRef>
          </c:tx>
          <c:spPr>
            <a:solidFill>
              <a:schemeClr val="accent2"/>
            </a:solidFill>
            <a:ln>
              <a:noFill/>
            </a:ln>
            <a:effectLst/>
          </c:spPr>
          <c:invertIfNegative val="0"/>
          <c:dLbls>
            <c:delete val="1"/>
          </c:dLbls>
          <c:cat>
            <c:strRef>
              <c:f>[能源低碳“十五五”规划数据底表.xlsx]图表绘制!$B$24:$B$28</c:f>
              <c:strCache>
                <c:ptCount val="5"/>
                <c:pt idx="0">
                  <c:v>2020年</c:v>
                </c:pt>
                <c:pt idx="1">
                  <c:v>2021年</c:v>
                </c:pt>
                <c:pt idx="2">
                  <c:v>2022年</c:v>
                </c:pt>
                <c:pt idx="3">
                  <c:v>2023年</c:v>
                </c:pt>
                <c:pt idx="4">
                  <c:v>2024年</c:v>
                </c:pt>
              </c:strCache>
            </c:strRef>
          </c:cat>
          <c:val>
            <c:numRef>
              <c:f>[能源低碳“十五五”规划数据底表.xlsx]图表绘制!$D$24:$D$28</c:f>
              <c:numCache>
                <c:formatCode>General</c:formatCode>
                <c:ptCount val="5"/>
                <c:pt idx="2">
                  <c:v>1332.33</c:v>
                </c:pt>
                <c:pt idx="3">
                  <c:v>1514.62</c:v>
                </c:pt>
                <c:pt idx="4">
                  <c:v>1514.04</c:v>
                </c:pt>
              </c:numCache>
            </c:numRef>
          </c:val>
        </c:ser>
        <c:dLbls>
          <c:showLegendKey val="0"/>
          <c:showVal val="0"/>
          <c:showCatName val="0"/>
          <c:showSerName val="0"/>
          <c:showPercent val="0"/>
          <c:showBubbleSize val="0"/>
        </c:dLbls>
        <c:gapWidth val="219"/>
        <c:overlap val="-27"/>
        <c:axId val="480085988"/>
        <c:axId val="685038102"/>
      </c:barChart>
      <c:lineChart>
        <c:grouping val="standard"/>
        <c:varyColors val="0"/>
        <c:dLbls>
          <c:showLegendKey val="0"/>
          <c:showVal val="0"/>
          <c:showCatName val="0"/>
          <c:showSerName val="0"/>
          <c:showPercent val="0"/>
          <c:showBubbleSize val="0"/>
        </c:dLbls>
        <c:marker val="0"/>
        <c:smooth val="0"/>
        <c:axId val="480085988"/>
        <c:axId val="685038102"/>
      </c:lineChart>
      <c:lineChart>
        <c:grouping val="standard"/>
        <c:varyColors val="0"/>
        <c:ser>
          <c:idx val="2"/>
          <c:order val="2"/>
          <c:tx>
            <c:strRef>
              <c:f>[能源低碳“十五五”规划数据底表.xlsx]图表绘制!$E$23</c:f>
              <c:strCache>
                <c:ptCount val="1"/>
                <c:pt idx="0">
                  <c:v>强度实际值（吨CO2/万元）</c:v>
                </c:pt>
              </c:strCache>
            </c:strRef>
          </c:tx>
          <c:spPr>
            <a:ln w="28575" cap="rnd">
              <a:solidFill>
                <a:schemeClr val="accent3"/>
              </a:solidFill>
              <a:round/>
            </a:ln>
            <a:effectLst/>
          </c:spPr>
          <c:marker>
            <c:symbol val="none"/>
          </c:marker>
          <c:dLbls>
            <c:delete val="1"/>
          </c:dLbls>
          <c:cat>
            <c:strRef>
              <c:f>[能源低碳“十五五”规划数据底表.xlsx]图表绘制!$B$24:$B$28</c:f>
              <c:strCache>
                <c:ptCount val="5"/>
                <c:pt idx="0">
                  <c:v>2020年</c:v>
                </c:pt>
                <c:pt idx="1">
                  <c:v>2021年</c:v>
                </c:pt>
                <c:pt idx="2">
                  <c:v>2022年</c:v>
                </c:pt>
                <c:pt idx="3">
                  <c:v>2023年</c:v>
                </c:pt>
                <c:pt idx="4">
                  <c:v>2024年</c:v>
                </c:pt>
              </c:strCache>
            </c:strRef>
          </c:cat>
          <c:val>
            <c:numRef>
              <c:f>[能源低碳“十五五”规划数据底表.xlsx]图表绘制!$E$24:$E$28</c:f>
              <c:numCache>
                <c:formatCode>General</c:formatCode>
                <c:ptCount val="5"/>
                <c:pt idx="0">
                  <c:v>1.04</c:v>
                </c:pt>
                <c:pt idx="1">
                  <c:v>1.18</c:v>
                </c:pt>
                <c:pt idx="2">
                  <c:v>1.23</c:v>
                </c:pt>
                <c:pt idx="3">
                  <c:v>1.12</c:v>
                </c:pt>
                <c:pt idx="4">
                  <c:v>1.45</c:v>
                </c:pt>
              </c:numCache>
            </c:numRef>
          </c:val>
          <c:smooth val="0"/>
        </c:ser>
        <c:ser>
          <c:idx val="3"/>
          <c:order val="3"/>
          <c:tx>
            <c:strRef>
              <c:f>[能源低碳“十五五”规划数据底表.xlsx]图表绘制!$F$23</c:f>
              <c:strCache>
                <c:ptCount val="1"/>
                <c:pt idx="0">
                  <c:v>强度规划值（吨CO2/万元）</c:v>
                </c:pt>
              </c:strCache>
            </c:strRef>
          </c:tx>
          <c:spPr>
            <a:ln w="28575" cap="rnd">
              <a:solidFill>
                <a:schemeClr val="accent4"/>
              </a:solidFill>
              <a:round/>
            </a:ln>
            <a:effectLst/>
          </c:spPr>
          <c:marker>
            <c:symbol val="none"/>
          </c:marker>
          <c:dLbls>
            <c:delete val="1"/>
          </c:dLbls>
          <c:cat>
            <c:strRef>
              <c:f>[能源低碳“十五五”规划数据底表.xlsx]图表绘制!$B$24:$B$28</c:f>
              <c:strCache>
                <c:ptCount val="5"/>
                <c:pt idx="0">
                  <c:v>2020年</c:v>
                </c:pt>
                <c:pt idx="1">
                  <c:v>2021年</c:v>
                </c:pt>
                <c:pt idx="2">
                  <c:v>2022年</c:v>
                </c:pt>
                <c:pt idx="3">
                  <c:v>2023年</c:v>
                </c:pt>
                <c:pt idx="4">
                  <c:v>2024年</c:v>
                </c:pt>
              </c:strCache>
            </c:strRef>
          </c:cat>
          <c:val>
            <c:numRef>
              <c:f>[能源低碳“十五五”规划数据底表.xlsx]图表绘制!$F$24:$F$28</c:f>
              <c:numCache>
                <c:formatCode>General</c:formatCode>
                <c:ptCount val="5"/>
                <c:pt idx="2">
                  <c:v>1.22</c:v>
                </c:pt>
                <c:pt idx="3">
                  <c:v>1.19</c:v>
                </c:pt>
                <c:pt idx="4">
                  <c:v>1.24</c:v>
                </c:pt>
              </c:numCache>
            </c:numRef>
          </c:val>
          <c:smooth val="0"/>
        </c:ser>
        <c:dLbls>
          <c:showLegendKey val="0"/>
          <c:showVal val="0"/>
          <c:showCatName val="0"/>
          <c:showSerName val="0"/>
          <c:showPercent val="0"/>
          <c:showBubbleSize val="0"/>
        </c:dLbls>
        <c:marker val="0"/>
        <c:smooth val="0"/>
        <c:axId val="709987117"/>
        <c:axId val="767171880"/>
      </c:lineChart>
      <c:catAx>
        <c:axId val="48008598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85038102"/>
        <c:crosses val="autoZero"/>
        <c:auto val="1"/>
        <c:lblAlgn val="ctr"/>
        <c:lblOffset val="100"/>
        <c:noMultiLvlLbl val="0"/>
      </c:catAx>
      <c:valAx>
        <c:axId val="685038102"/>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80085988"/>
        <c:crosses val="autoZero"/>
        <c:crossBetween val="between"/>
      </c:valAx>
      <c:catAx>
        <c:axId val="709987117"/>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67171880"/>
        <c:crosses val="autoZero"/>
        <c:auto val="1"/>
        <c:lblAlgn val="ctr"/>
        <c:lblOffset val="100"/>
        <c:noMultiLvlLbl val="0"/>
      </c:catAx>
      <c:valAx>
        <c:axId val="767171880"/>
        <c:scaling>
          <c:orientation val="minMax"/>
        </c:scaling>
        <c:delete val="0"/>
        <c:axPos val="r"/>
        <c:numFmt formatCode="General"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09987117"/>
        <c:crosses val="max"/>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中化能源碳排放结构（万</a:t>
            </a:r>
            <a:r>
              <a:rPr lang="en-US" altLang="zh-CN"/>
              <a:t>tCO2e</a:t>
            </a:r>
            <a:r>
              <a:rPr lang="en-US"/>
              <a:t>）</a:t>
            </a:r>
            <a:endParaRPr lang="en-US"/>
          </a:p>
        </c:rich>
      </c:tx>
      <c:layout/>
      <c:overlay val="0"/>
      <c:spPr>
        <a:noFill/>
        <a:ln>
          <a:noFill/>
        </a:ln>
        <a:effectLst/>
      </c:spPr>
    </c:title>
    <c:autoTitleDeleted val="0"/>
    <c:plotArea>
      <c:layout/>
      <c:barChart>
        <c:barDir val="col"/>
        <c:grouping val="stacked"/>
        <c:varyColors val="0"/>
        <c:ser>
          <c:idx val="0"/>
          <c:order val="0"/>
          <c:tx>
            <c:strRef>
              <c:f>'[新建 XLSX 工作表.xlsx]Sheet2'!$H$33</c:f>
              <c:strCache>
                <c:ptCount val="1"/>
                <c:pt idx="0">
                  <c:v>直接排放</c:v>
                </c:pt>
              </c:strCache>
            </c:strRef>
          </c:tx>
          <c:spPr>
            <a:solidFill>
              <a:schemeClr val="accent1"/>
            </a:solidFill>
            <a:ln>
              <a:noFill/>
            </a:ln>
            <a:effectLst/>
          </c:spPr>
          <c:invertIfNegative val="0"/>
          <c:dLbls>
            <c:delete val="1"/>
          </c:dLbls>
          <c:cat>
            <c:strRef>
              <c:f>'[新建 XLSX 工作表.xlsx]Sheet2'!$A$34:$A$38</c:f>
              <c:strCache>
                <c:ptCount val="5"/>
                <c:pt idx="0">
                  <c:v>2020年</c:v>
                </c:pt>
                <c:pt idx="1">
                  <c:v>2021年</c:v>
                </c:pt>
                <c:pt idx="2">
                  <c:v>2022年</c:v>
                </c:pt>
                <c:pt idx="3">
                  <c:v>2023年</c:v>
                </c:pt>
                <c:pt idx="4">
                  <c:v>2024年</c:v>
                </c:pt>
              </c:strCache>
            </c:strRef>
          </c:cat>
          <c:val>
            <c:numRef>
              <c:f>'[新建 XLSX 工作表.xlsx]Sheet2'!$H$34:$H$38</c:f>
              <c:numCache>
                <c:formatCode>0.00_ </c:formatCode>
                <c:ptCount val="5"/>
                <c:pt idx="0">
                  <c:v>925.648298818814</c:v>
                </c:pt>
                <c:pt idx="1">
                  <c:v>1063.16341684934</c:v>
                </c:pt>
                <c:pt idx="2">
                  <c:v>899.190015345413</c:v>
                </c:pt>
                <c:pt idx="3">
                  <c:v>943.8026</c:v>
                </c:pt>
                <c:pt idx="4">
                  <c:v>833.9521471028</c:v>
                </c:pt>
              </c:numCache>
            </c:numRef>
          </c:val>
        </c:ser>
        <c:ser>
          <c:idx val="1"/>
          <c:order val="1"/>
          <c:tx>
            <c:strRef>
              <c:f>'[新建 XLSX 工作表.xlsx]Sheet2'!$I$33</c:f>
              <c:strCache>
                <c:ptCount val="1"/>
                <c:pt idx="0">
                  <c:v>间接排放</c:v>
                </c:pt>
              </c:strCache>
            </c:strRef>
          </c:tx>
          <c:spPr>
            <a:solidFill>
              <a:schemeClr val="accent2"/>
            </a:solidFill>
            <a:ln>
              <a:noFill/>
            </a:ln>
            <a:effectLst/>
          </c:spPr>
          <c:invertIfNegative val="0"/>
          <c:dLbls>
            <c:delete val="1"/>
          </c:dLbls>
          <c:cat>
            <c:strRef>
              <c:f>'[新建 XLSX 工作表.xlsx]Sheet2'!$A$34:$A$38</c:f>
              <c:strCache>
                <c:ptCount val="5"/>
                <c:pt idx="0">
                  <c:v>2020年</c:v>
                </c:pt>
                <c:pt idx="1">
                  <c:v>2021年</c:v>
                </c:pt>
                <c:pt idx="2">
                  <c:v>2022年</c:v>
                </c:pt>
                <c:pt idx="3">
                  <c:v>2023年</c:v>
                </c:pt>
                <c:pt idx="4">
                  <c:v>2024年</c:v>
                </c:pt>
              </c:strCache>
            </c:strRef>
          </c:cat>
          <c:val>
            <c:numRef>
              <c:f>'[新建 XLSX 工作表.xlsx]Sheet2'!$I$34:$I$38</c:f>
              <c:numCache>
                <c:formatCode>0.00_ </c:formatCode>
                <c:ptCount val="5"/>
                <c:pt idx="0">
                  <c:v>187.441701181185</c:v>
                </c:pt>
                <c:pt idx="1">
                  <c:v>477.086583150665</c:v>
                </c:pt>
                <c:pt idx="2">
                  <c:v>399.179984654587</c:v>
                </c:pt>
                <c:pt idx="3">
                  <c:v>378.0174</c:v>
                </c:pt>
                <c:pt idx="4">
                  <c:v>350.6178528972</c:v>
                </c:pt>
              </c:numCache>
            </c:numRef>
          </c:val>
        </c:ser>
        <c:dLbls>
          <c:showLegendKey val="0"/>
          <c:showVal val="0"/>
          <c:showCatName val="0"/>
          <c:showSerName val="0"/>
          <c:showPercent val="0"/>
          <c:showBubbleSize val="0"/>
        </c:dLbls>
        <c:gapWidth val="219"/>
        <c:overlap val="100"/>
        <c:axId val="1003641280"/>
        <c:axId val="1003633120"/>
      </c:barChart>
      <c:catAx>
        <c:axId val="1003641280"/>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3633120"/>
        <c:crosses val="autoZero"/>
        <c:auto val="1"/>
        <c:lblAlgn val="ctr"/>
        <c:lblOffset val="100"/>
        <c:noMultiLvlLbl val="0"/>
      </c:catAx>
      <c:valAx>
        <c:axId val="1003633120"/>
        <c:scaling>
          <c:orientation val="minMax"/>
        </c:scaling>
        <c:delete val="0"/>
        <c:axPos val="l"/>
        <c:majorGridlines>
          <c:spPr>
            <a:ln w="9525" cap="flat" cmpd="sng" algn="ctr">
              <a:solidFill>
                <a:schemeClr val="lt1">
                  <a:lumMod val="90200"/>
                </a:schemeClr>
              </a:solidFill>
              <a:round/>
            </a:ln>
            <a:effectLst/>
          </c:spPr>
        </c:majorGridlines>
        <c:numFmt formatCode="0.00_ "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364128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rPr lang="zh-CN" altLang="en-US"/>
              <a:t>中化能源能耗总量及单位产值能耗强度</a:t>
            </a:r>
            <a:endParaRPr lang="zh-CN" altLang="en-US"/>
          </a:p>
        </c:rich>
      </c:tx>
      <c:layout>
        <c:manualLayout>
          <c:xMode val="edge"/>
          <c:yMode val="edge"/>
          <c:x val="0.164262379373179"/>
          <c:y val="0.0210120819471196"/>
        </c:manualLayout>
      </c:layout>
      <c:overlay val="0"/>
      <c:spPr>
        <a:noFill/>
        <a:ln>
          <a:noFill/>
        </a:ln>
        <a:effectLst/>
      </c:spPr>
    </c:title>
    <c:autoTitleDeleted val="0"/>
    <c:plotArea>
      <c:layout/>
      <c:barChart>
        <c:barDir val="col"/>
        <c:grouping val="clustered"/>
        <c:varyColors val="0"/>
        <c:ser>
          <c:idx val="0"/>
          <c:order val="0"/>
          <c:tx>
            <c:strRef>
              <c:f>'[新建 XLSX 工作表.xlsx]Sheet2'!$B$42</c:f>
              <c:strCache>
                <c:ptCount val="1"/>
                <c:pt idx="0">
                  <c:v>万吨标煤</c:v>
                </c:pt>
              </c:strCache>
            </c:strRef>
          </c:tx>
          <c:spPr>
            <a:solidFill>
              <a:schemeClr val="accent1"/>
            </a:solidFill>
            <a:ln>
              <a:noFill/>
            </a:ln>
            <a:effectLst/>
          </c:spPr>
          <c:invertIfNegative val="0"/>
          <c:dLbls>
            <c:delete val="1"/>
          </c:dLbls>
          <c:cat>
            <c:strRef>
              <c:f>'[新建 XLSX 工作表.xlsx]Sheet2'!$A$43:$A$47</c:f>
              <c:strCache>
                <c:ptCount val="5"/>
                <c:pt idx="0">
                  <c:v>2020年</c:v>
                </c:pt>
                <c:pt idx="1">
                  <c:v>2021年</c:v>
                </c:pt>
                <c:pt idx="2">
                  <c:v>2022年</c:v>
                </c:pt>
                <c:pt idx="3">
                  <c:v>2023年</c:v>
                </c:pt>
                <c:pt idx="4">
                  <c:v>2024年</c:v>
                </c:pt>
              </c:strCache>
            </c:strRef>
          </c:cat>
          <c:val>
            <c:numRef>
              <c:f>'[新建 XLSX 工作表.xlsx]Sheet2'!$B$43:$B$47</c:f>
              <c:numCache>
                <c:formatCode>General</c:formatCode>
                <c:ptCount val="5"/>
                <c:pt idx="0">
                  <c:v>534.11</c:v>
                </c:pt>
                <c:pt idx="1">
                  <c:v>1220.04</c:v>
                </c:pt>
                <c:pt idx="2">
                  <c:v>1099.64</c:v>
                </c:pt>
                <c:pt idx="3">
                  <c:v>1226.58</c:v>
                </c:pt>
                <c:pt idx="4">
                  <c:v>1114.43</c:v>
                </c:pt>
              </c:numCache>
            </c:numRef>
          </c:val>
        </c:ser>
        <c:dLbls>
          <c:showLegendKey val="0"/>
          <c:showVal val="0"/>
          <c:showCatName val="0"/>
          <c:showSerName val="0"/>
          <c:showPercent val="0"/>
          <c:showBubbleSize val="0"/>
        </c:dLbls>
        <c:gapWidth val="219"/>
        <c:overlap val="-27"/>
        <c:axId val="1003630944"/>
        <c:axId val="1003636384"/>
      </c:barChart>
      <c:lineChart>
        <c:grouping val="standard"/>
        <c:varyColors val="0"/>
        <c:ser>
          <c:idx val="1"/>
          <c:order val="1"/>
          <c:tx>
            <c:strRef>
              <c:f>'[新建 XLSX 工作表.xlsx]Sheet2'!$E$42</c:f>
              <c:strCache>
                <c:ptCount val="1"/>
                <c:pt idx="0">
                  <c:v>吨标煤/万元</c:v>
                </c:pt>
              </c:strCache>
            </c:strRef>
          </c:tx>
          <c:spPr>
            <a:ln w="28575" cap="rnd">
              <a:solidFill>
                <a:schemeClr val="accent2"/>
              </a:solidFill>
              <a:round/>
            </a:ln>
            <a:effectLst/>
          </c:spPr>
          <c:marker>
            <c:symbol val="none"/>
          </c:marker>
          <c:dLbls>
            <c:delete val="1"/>
          </c:dLbls>
          <c:cat>
            <c:strRef>
              <c:f>'[新建 XLSX 工作表.xlsx]Sheet2'!$A$43:$A$47</c:f>
              <c:strCache>
                <c:ptCount val="5"/>
                <c:pt idx="0">
                  <c:v>2020年</c:v>
                </c:pt>
                <c:pt idx="1">
                  <c:v>2021年</c:v>
                </c:pt>
                <c:pt idx="2">
                  <c:v>2022年</c:v>
                </c:pt>
                <c:pt idx="3">
                  <c:v>2023年</c:v>
                </c:pt>
                <c:pt idx="4">
                  <c:v>2024年</c:v>
                </c:pt>
              </c:strCache>
            </c:strRef>
          </c:cat>
          <c:val>
            <c:numRef>
              <c:f>'[新建 XLSX 工作表.xlsx]Sheet2'!$E$43:$E$47</c:f>
              <c:numCache>
                <c:formatCode>General</c:formatCode>
                <c:ptCount val="5"/>
                <c:pt idx="0">
                  <c:v>0.5</c:v>
                </c:pt>
                <c:pt idx="1">
                  <c:v>0.93</c:v>
                </c:pt>
                <c:pt idx="2">
                  <c:v>1.04</c:v>
                </c:pt>
                <c:pt idx="3">
                  <c:v>1.04</c:v>
                </c:pt>
                <c:pt idx="4">
                  <c:v>1.37</c:v>
                </c:pt>
              </c:numCache>
            </c:numRef>
          </c:val>
          <c:smooth val="0"/>
        </c:ser>
        <c:dLbls>
          <c:showLegendKey val="0"/>
          <c:showVal val="0"/>
          <c:showCatName val="0"/>
          <c:showSerName val="0"/>
          <c:showPercent val="0"/>
          <c:showBubbleSize val="0"/>
        </c:dLbls>
        <c:marker val="0"/>
        <c:smooth val="0"/>
        <c:axId val="1003629856"/>
        <c:axId val="1003631488"/>
      </c:lineChart>
      <c:catAx>
        <c:axId val="1003630944"/>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3636384"/>
        <c:crosses val="autoZero"/>
        <c:auto val="1"/>
        <c:lblAlgn val="ctr"/>
        <c:lblOffset val="100"/>
        <c:noMultiLvlLbl val="0"/>
      </c:catAx>
      <c:valAx>
        <c:axId val="1003636384"/>
        <c:scaling>
          <c:orientation val="minMax"/>
        </c:scaling>
        <c:delete val="0"/>
        <c:axPos val="l"/>
        <c:majorGridlines>
          <c:spPr>
            <a:ln w="9525" cap="flat" cmpd="sng" algn="ctr">
              <a:solidFill>
                <a:schemeClr val="lt1">
                  <a:lumMod val="902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3630944"/>
        <c:crosses val="autoZero"/>
        <c:crossBetween val="between"/>
      </c:valAx>
      <c:catAx>
        <c:axId val="1003629856"/>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3631488"/>
        <c:crosses val="autoZero"/>
        <c:auto val="1"/>
        <c:lblAlgn val="ctr"/>
        <c:lblOffset val="100"/>
        <c:noMultiLvlLbl val="0"/>
      </c:catAx>
      <c:valAx>
        <c:axId val="1003631488"/>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003629856"/>
        <c:crosses val="max"/>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147</Pages>
  <Words>4499</Words>
  <Characters>4883</Characters>
  <Lines>635</Lines>
  <Paragraphs>178</Paragraphs>
  <TotalTime>7</TotalTime>
  <ScaleCrop>false</ScaleCrop>
  <LinksUpToDate>false</LinksUpToDate>
  <CharactersWithSpaces>5180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2025-09-09T09:43:00Z</dcterms:created>
  <dc:creator>张华-化信中心（公司低碳发展研究中心）</dc:creator>
  <cp:lastModifiedBy>武振华</cp:lastModifiedBy>
  <cp:lastPrinted>2025-09-05T15:37:00Z</cp:lastPrinted>
  <dcterms:modified xsi:type="dcterms:W3CDTF">2026-07-01T09:07:21Z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EC1DB6302D65056F0837C468288CF48E_43</vt:lpwstr>
  </property>
  <property fmtid="{D5CDD505-2E9C-101B-9397-08002B2CF9AE}" pid="4" name="KSOTemplateDocerSaveRecord">
    <vt:lpwstr>eyJoZGlkIjoiNDJiMTBiMGE5ZjdhNjNiZWEwZTEyNmIwOWM0ZTljZjUiLCJ1c2VySWQiOiIyMzQxNTMxNjkifQ==</vt:lpwstr>
  </property>
</Properties>
</file>