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1A5A64">
      <w:pPr>
        <w:pStyle w:val="2"/>
        <w:keepNext w:val="0"/>
        <w:keepLines w:val="0"/>
        <w:widowControl/>
        <w:suppressLineNumbers w:val="0"/>
      </w:pPr>
      <w:r>
        <w:rPr>
          <w:i w:val="0"/>
          <w:iCs w:val="0"/>
          <w:caps w:val="0"/>
          <w:color w:val="000000"/>
          <w:spacing w:val="0"/>
          <w:u w:val="none"/>
        </w:rPr>
        <w:t xml:space="preserve">The professional solution for visualizing women in songwriting does an excellent job with interactive visualizations, primarily through scrolling interactions. As the audience scrolls down the page, highlights of songwriting teams and annotations </w:t>
      </w:r>
      <w:r>
        <w:rPr>
          <w:rFonts w:hint="default"/>
          <w:i w:val="0"/>
          <w:iCs w:val="0"/>
          <w:caps w:val="0"/>
          <w:color w:val="000000"/>
          <w:spacing w:val="0"/>
          <w:u w:val="none"/>
          <w:lang w:val="en-US"/>
        </w:rPr>
        <w:t xml:space="preserve">would </w:t>
      </w:r>
      <w:r>
        <w:rPr>
          <w:i w:val="0"/>
          <w:iCs w:val="0"/>
          <w:caps w:val="0"/>
          <w:color w:val="000000"/>
          <w:spacing w:val="0"/>
          <w:u w:val="none"/>
        </w:rPr>
        <w:t xml:space="preserve">appear, </w:t>
      </w:r>
      <w:r>
        <w:rPr>
          <w:rFonts w:hint="default"/>
          <w:i w:val="0"/>
          <w:iCs w:val="0"/>
          <w:caps w:val="0"/>
          <w:color w:val="000000"/>
          <w:spacing w:val="0"/>
          <w:u w:val="none"/>
          <w:lang w:val="en-US"/>
        </w:rPr>
        <w:t xml:space="preserve">which </w:t>
      </w:r>
      <w:r>
        <w:rPr>
          <w:i w:val="0"/>
          <w:iCs w:val="0"/>
          <w:caps w:val="0"/>
          <w:color w:val="000000"/>
          <w:spacing w:val="0"/>
          <w:u w:val="none"/>
        </w:rPr>
        <w:t>creat</w:t>
      </w:r>
      <w:r>
        <w:rPr>
          <w:rFonts w:hint="default"/>
          <w:i w:val="0"/>
          <w:iCs w:val="0"/>
          <w:caps w:val="0"/>
          <w:color w:val="000000"/>
          <w:spacing w:val="0"/>
          <w:u w:val="none"/>
          <w:lang w:val="en-US"/>
        </w:rPr>
        <w:t>es</w:t>
      </w:r>
      <w:r>
        <w:rPr>
          <w:i w:val="0"/>
          <w:iCs w:val="0"/>
          <w:caps w:val="0"/>
          <w:color w:val="000000"/>
          <w:spacing w:val="0"/>
          <w:u w:val="none"/>
        </w:rPr>
        <w:t xml:space="preserve"> a seamless narrative. Additionally, the solution effectively showcases top historical songs with clear visual emphasis on the gender of songwriters. This approach successfully addresses </w:t>
      </w:r>
      <w:r>
        <w:rPr>
          <w:rFonts w:hint="default"/>
          <w:i w:val="0"/>
          <w:iCs w:val="0"/>
          <w:caps w:val="0"/>
          <w:color w:val="000000"/>
          <w:spacing w:val="0"/>
          <w:u w:val="none"/>
          <w:lang w:val="en-US"/>
        </w:rPr>
        <w:t>domain tasks of</w:t>
      </w:r>
      <w:r>
        <w:rPr>
          <w:i w:val="0"/>
          <w:iCs w:val="0"/>
          <w:caps w:val="0"/>
          <w:color w:val="000000"/>
          <w:spacing w:val="0"/>
          <w:u w:val="none"/>
        </w:rPr>
        <w:t xml:space="preserve"> visualizing gender differences among songwriters on the Billboard Hot 100, showing the proportion of female-written songs performed by different genders, and enabling data exploration by songwriter and performer gender.</w:t>
      </w:r>
    </w:p>
    <w:p w14:paraId="16F429E1">
      <w:pPr>
        <w:pStyle w:val="2"/>
        <w:keepNext w:val="0"/>
        <w:keepLines w:val="0"/>
        <w:widowControl/>
        <w:suppressLineNumbers w:val="0"/>
        <w:rPr>
          <w:rFonts w:hint="default" w:eastAsiaTheme="minorEastAsia"/>
          <w:lang w:val="en-US" w:eastAsia="zh-CN"/>
        </w:rPr>
      </w:pPr>
      <w:r>
        <w:rPr>
          <w:i w:val="0"/>
          <w:iCs w:val="0"/>
          <w:caps w:val="0"/>
          <w:color w:val="000000"/>
          <w:spacing w:val="0"/>
          <w:u w:val="none"/>
        </w:rPr>
        <w:t xml:space="preserve">To take inspiration from this solution, we could incorporate scrolling interactions, </w:t>
      </w:r>
      <w:r>
        <w:rPr>
          <w:rFonts w:hint="default"/>
          <w:i w:val="0"/>
          <w:iCs w:val="0"/>
          <w:caps w:val="0"/>
          <w:color w:val="000000"/>
          <w:spacing w:val="0"/>
          <w:u w:val="none"/>
          <w:lang w:val="en-US"/>
        </w:rPr>
        <w:t xml:space="preserve">which </w:t>
      </w:r>
      <w:r>
        <w:rPr>
          <w:i w:val="0"/>
          <w:iCs w:val="0"/>
          <w:caps w:val="0"/>
          <w:color w:val="000000"/>
          <w:spacing w:val="0"/>
          <w:u w:val="none"/>
        </w:rPr>
        <w:t>allow</w:t>
      </w:r>
      <w:r>
        <w:rPr>
          <w:rFonts w:hint="default"/>
          <w:i w:val="0"/>
          <w:iCs w:val="0"/>
          <w:caps w:val="0"/>
          <w:color w:val="000000"/>
          <w:spacing w:val="0"/>
          <w:u w:val="none"/>
          <w:lang w:val="en-US"/>
        </w:rPr>
        <w:t>s</w:t>
      </w:r>
      <w:r>
        <w:rPr>
          <w:i w:val="0"/>
          <w:iCs w:val="0"/>
          <w:caps w:val="0"/>
          <w:color w:val="000000"/>
          <w:spacing w:val="0"/>
          <w:u w:val="none"/>
        </w:rPr>
        <w:t xml:space="preserve"> the audience to control the pace and enhancing the visual experience. Additionally, starting with highlighted insights and then transitioning to open data exploration could guide audiences to key patterns before encouraging independent discovery</w:t>
      </w:r>
      <w:r>
        <w:rPr>
          <w:rFonts w:hint="default"/>
          <w:i w:val="0"/>
          <w:iCs w:val="0"/>
          <w:caps w:val="0"/>
          <w:color w:val="000000"/>
          <w:spacing w:val="0"/>
          <w:u w:val="none"/>
          <w:lang w:val="en-U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1ZDE3NmY1MDMwNmEzN2IwNThlZDIzNmFjZmRiNjUifQ=="/>
  </w:docVars>
  <w:rsids>
    <w:rsidRoot w:val="00000000"/>
    <w:rsid w:val="1DF8D98E"/>
    <w:rsid w:val="69FE5018"/>
    <w:rsid w:val="ED7DA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2024-11-10T19:34:58Z</dcterms:created>
  <dc:creator>Data</dc:creator>
  <cp:lastModifiedBy>陈加予</cp:lastModifiedBy>
  <dcterms:modified xsi:type="dcterms:W3CDTF">2024-11-10T20:43:43Z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2D3AF196EF333A04DA55316715327FD1_42</vt:lpwstr>
  </property>
</Properties>
</file>