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line="264" w:lineRule="auto"/>
      </w:pPr>
      <w:r>
        <w:rPr>
          <w:b/>
          <w:sz w:val="44"/>
          <w:szCs w:val="44"/>
          <w:color w:val="111827"/>
        </w:rPr>
        <w:t xml:space="preserve">Lost Trades in the Mega Score Rule</w:t>
      </w:r>
    </w:p>
    <w:p>
      <w:pPr>
        <w:spacing w:before="0" w:after="140" w:line="264" w:lineRule="auto"/>
      </w:pPr>
      <w:r>
        <w:rPr>
          <w:i/>
          <w:sz w:val="22"/>
          <w:szCs w:val="22"/>
          <w:color w:val="4B5563"/>
        </w:rPr>
        <w:t xml:space="preserve">A measured diagnosis: why the rule loses, what was tried, and what the evidence cannot tell us</w:t>
      </w:r>
    </w:p>
    <w:p>
      <w:pPr>
        <w:spacing w:before="0" w:after="200" w:line="264" w:lineRule="auto"/>
      </w:pPr>
      <w:r>
        <w:rPr>
          <w:sz w:val="18"/>
          <w:szCs w:val="18"/>
          <w:color w:val="6B7280"/>
        </w:rPr>
        <w:t xml:space="preserve">Stockfolio (ACCUBOOK) · measurement run 30 October 2026 · prepared for Richard Najem</w:t>
      </w:r>
    </w:p>
    <w:p>
      <w:pPr>
        <w:spacing w:before="0" w:after="80" w:line="264" w:lineRule="auto"/>
      </w:pPr>
      <w:r>
        <w:rPr>
          <w:sz w:val="20"/>
          <w:szCs w:val="20"/>
        </w:rPr>
        <w:t xml:space="preserve">Scope: the shipped Mega Score regime rule (buy at the composite, exit below it) on every ticker cached in this install, plus the weight-training, filter and stop-loss variants that could plausibly reduce losing trades. All figures are outputs of the harnesses named in section 1; none are estimates or hand-written.</w:t>
      </w:r>
    </w:p>
    <w:p>
      <w:pPr>
        <w:spacing w:before="0" w:after="140" w:line="264" w:lineRule="auto"/>
      </w:pPr>
      <w:r>
        <w:rPr>
          <w:i/>
          <w:sz w:val="19"/>
          <w:szCs w:val="19"/>
          <w:color w:val="4B5563"/>
        </w:rPr>
        <w:t xml:space="preserve">Short on time? Read "The problems, in plain words" first. The numbered sections after it hold the figures and the caveats behind each statement.</w:t>
      </w:r>
    </w:p>
    <w:p>
      <w:pPr>
        <w:spacing w:before="0" w:after="200" w:line="264" w:lineRule="auto"/>
        <w:shd w:val="clear" w:color="auto" w:fill="FFF7ED"/>
      </w:pPr>
      <w:r>
        <w:rPr>
          <w:b/>
          <w:sz w:val="21"/>
          <w:szCs w:val="21"/>
          <w:color w:val="9A3412"/>
        </w:rPr>
        <w:t xml:space="preserve">Bottom line: the losing trades are not an entry-quality problem, and no filter, stop, trailing stop or retrained weight map tested here reduces them without costing more than it saves.</w:t>
      </w:r>
    </w:p>
    <w:p>
      <w:pPr>
        <w:keepNext/>
        <w:spacing w:before="360" w:after="140"/>
        <w:outlineLvl w:val="0"/>
        <w:pBdr>
          <w:bottom w:val="single" w:sz="6" w:space="2" w:color="C7D2FE"/>
        </w:pBdr>
      </w:pPr>
      <w:r>
        <w:rPr>
          <w:b/>
          <w:sz w:val="30"/>
          <w:szCs w:val="30"/>
          <w:color w:val="1E3A8A"/>
        </w:rPr>
        <w:t xml:space="preserve">The problems, in plain words</w:t>
      </w:r>
    </w:p>
    <w:p>
      <w:pPr>
        <w:spacing w:before="0" w:after="120" w:line="264" w:lineRule="auto"/>
      </w:pPr>
      <w:r>
        <w:rPr>
          <w:i/>
          <w:sz w:val="18"/>
          <w:szCs w:val="18"/>
          <w:color w:val="4B5563"/>
        </w:rPr>
        <w:t xml:space="preserve">This section explains what the measurements found without jargon. Each heading is one problem, in the order the evidence puts it.</w:t>
      </w:r>
    </w:p>
    <w:p>
      <w:pPr>
        <w:keepNext/>
        <w:spacing w:before="260" w:after="100"/>
        <w:outlineLvl w:val="1"/>
      </w:pPr>
      <w:r>
        <w:rPr>
          <w:b/>
          <w:sz w:val="24"/>
          <w:szCs w:val="24"/>
          <w:color w:val="111827"/>
        </w:rPr>
        <w:t xml:space="preserve">1. The rule almost never sells</w:t>
      </w:r>
    </w:p>
    <w:p>
      <w:pPr>
        <w:spacing w:before="0" w:after="100" w:line="264" w:lineRule="auto"/>
      </w:pPr>
      <w:r>
        <w:rPr/>
        <w:t xml:space="preserve">The composite score is told to sell below 25. On these 26 stocks over twenty years it never got that low on 22 of them — its floor was 23 to 34. So the rule bought and then simply held, for years: 5 decisions in total. Its '60 % loss rate' is 3 losers out of 5 trades, which tells you nothing about skill. In practice this strategy is buy-and-hold with a fire alarm wired below the temperature the house ever reaches.</w:t>
      </w:r>
    </w:p>
    <w:p>
      <w:pPr>
        <w:keepNext/>
        <w:spacing w:before="260" w:after="100"/>
        <w:outlineLvl w:val="1"/>
      </w:pPr>
      <w:r>
        <w:rPr>
          <w:b/>
          <w:sz w:val="24"/>
          <w:szCs w:val="24"/>
          <w:color w:val="111827"/>
        </w:rPr>
        <w:t xml:space="preserve">2. When it does sell, it sells late</w:t>
      </w:r>
    </w:p>
    <w:p>
      <w:pPr>
        <w:spacing w:before="0" w:after="100" w:line="264" w:lineRule="auto"/>
      </w:pPr>
      <w:r>
        <w:rPr/>
        <w:t xml:space="preserve">The score is an average of 58 indicator readings, smoothed over five days. By the time that average has fallen under the exit line, most of the fall has already happened. The rule then waits for the score to climb back above the entry line before buying again, so it sells low, waits, and buys back higher. That is the single biggest source of 'lost' trades: winners were held 135 days on average, losers 31.</w:t>
      </w:r>
    </w:p>
    <w:p>
      <w:pPr>
        <w:keepNext/>
        <w:spacing w:before="260" w:after="100"/>
        <w:outlineLvl w:val="1"/>
      </w:pPr>
      <w:r>
        <w:rPr>
          <w:b/>
          <w:sz w:val="24"/>
          <w:szCs w:val="24"/>
          <w:color w:val="111827"/>
        </w:rPr>
        <w:t xml:space="preserve">3. A stop-loss makes it worse, not better</w:t>
      </w:r>
    </w:p>
    <w:p>
      <w:pPr>
        <w:spacing w:before="0" w:after="100" w:line="264" w:lineRule="auto"/>
      </w:pPr>
      <w:r>
        <w:rPr/>
        <w:t xml:space="preserve">A stop feels like protection, but this engine buys again as soon as the trend signal is still positive. At the shipped bands a 15 % stop turned 5 decisions into 133 trades, of which 130 lost. Waiting for a fresh buy signal after the stop produced 27 trades and all 27 lost. The stop did not avoid the fall; it paid for the fall several times over in commissions and badly timed re-entries.</w:t>
      </w:r>
    </w:p>
    <w:p>
      <w:pPr>
        <w:keepNext/>
        <w:spacing w:before="260" w:after="100"/>
        <w:outlineLvl w:val="1"/>
      </w:pPr>
      <w:r>
        <w:rPr>
          <w:b/>
          <w:sz w:val="24"/>
          <w:szCs w:val="24"/>
          <w:color w:val="111827"/>
        </w:rPr>
        <w:t xml:space="preserve">4. The entry reading cannot tell a winner from a loser</w:t>
      </w:r>
    </w:p>
    <w:p>
      <w:pPr>
        <w:spacing w:before="0" w:after="100" w:line="264" w:lineRule="auto"/>
      </w:pPr>
      <w:r>
        <w:rPr/>
        <w:t xml:space="preserve">If bad entries caused the losses, losing trades would start from visibly lower scores. They do not: winners started at 68.7 and losers at 67.7 — a one-point gap on a 100-point scale. A coin-flip test (the chance a random winner's entry reading beats a random loser's) lands between 0.44 and 0.56 depending on the weights; chance is 0.5. The score measures how healthy a stock looks today, not whether next month will be kind.</w:t>
      </w:r>
    </w:p>
    <w:p>
      <w:pPr>
        <w:keepNext/>
        <w:spacing w:before="260" w:after="100"/>
        <w:outlineLvl w:val="1"/>
      </w:pPr>
      <w:r>
        <w:rPr>
          <w:b/>
          <w:sz w:val="24"/>
          <w:szCs w:val="24"/>
          <w:color w:val="111827"/>
        </w:rPr>
        <w:t xml:space="preserve">5. Retraining the weights does not fix it</w:t>
      </w:r>
    </w:p>
    <w:p>
      <w:pPr>
        <w:spacing w:before="0" w:after="100" w:line="264" w:lineRule="auto"/>
      </w:pPr>
      <w:r>
        <w:rPr/>
        <w:t xml:space="preserve">Four weight maps were fitted, then judged only on sessions they had never seen. Every one did worse than the shipped default, and none cleared its own luck threshold. One map had the LOWEST loss rate while its coin-flip score was 0.44, below chance — it lost less by trading different stocks, not by choosing better ones. Training on 25 stocks and testing the 26th cold said the same: the fitted map beat the default on 3 of 8 names, weights alone on 0 of 8.</w:t>
      </w:r>
    </w:p>
    <w:p>
      <w:pPr>
        <w:keepNext/>
        <w:spacing w:before="260" w:after="100"/>
        <w:outlineLvl w:val="1"/>
      </w:pPr>
      <w:r>
        <w:rPr>
          <w:b/>
          <w:sz w:val="24"/>
          <w:szCs w:val="24"/>
          <w:color w:val="111827"/>
        </w:rPr>
        <w:t xml:space="preserve">6. The data itself had a seam — now fixed</w:t>
      </w:r>
    </w:p>
    <w:p>
      <w:pPr>
        <w:spacing w:before="0" w:after="100" w:line="264" w:lineRule="auto"/>
      </w:pPr>
      <w:r>
        <w:rPr/>
        <w:t xml:space="preserve">Price providers disagree about history: one adjusts past prices for dividends, another leaves them raw. The app is meant to REPLACE a symbol's history when the provider changes, never splice the two together. Two gaps allowed a splice: a cache with no recorded provider was extended instead of replaced, and a provider change re-stored only the requested window (so a 1-year request could shrink a 10-year cache). Both are fixed and covered by tests. A seam like that looks exactly like strategy behaviour, which is why it is called out here.</w:t>
      </w:r>
    </w:p>
    <w:p>
      <w:pPr>
        <w:keepNext/>
        <w:spacing w:before="260" w:after="100"/>
        <w:outlineLvl w:val="1"/>
      </w:pPr>
      <w:r>
        <w:rPr>
          <w:b/>
          <w:sz w:val="24"/>
          <w:szCs w:val="24"/>
          <w:color w:val="111827"/>
        </w:rPr>
        <w:t xml:space="preserve">7. What this document can and cannot prove</w:t>
      </w:r>
    </w:p>
    <w:p>
      <w:pPr>
        <w:spacing w:before="0" w:after="160" w:line="264" w:lineRule="auto"/>
      </w:pPr>
      <w:r>
        <w:rPr/>
        <w:t xml:space="preserve">It can show, on 26 mostly large US stocks over twenty years, that the losing trades are short whipsaws and that no stop, entry gate or reweighting tested recovers what they cost. It cannot show the same for other markets, delisted companies, or intraday trading. The cached universe contains only survivors, the period is mostly a bull market, and at the shipped bands there are too few trades to judge anything. Every figure is stated with its window so it can be re-checked, and none of it is investment advice.</w:t>
      </w:r>
    </w:p>
    <w:p>
      <w:pPr>
        <w:keepNext/>
        <w:spacing w:before="360" w:after="140"/>
        <w:outlineLvl w:val="0"/>
        <w:pBdr>
          <w:bottom w:val="single" w:sz="6" w:space="2" w:color="C7D2FE"/>
        </w:pBdr>
      </w:pPr>
      <w:r>
        <w:rPr>
          <w:b/>
          <w:sz w:val="30"/>
          <w:szCs w:val="30"/>
          <w:color w:val="1E3A8A"/>
        </w:rPr>
        <w:t xml:space="preserve">1. What was run</w:t>
      </w:r>
    </w:p>
    <w:p>
      <w:pPr>
        <w:spacing w:before="0" w:after="100" w:line="264" w:lineRule="auto"/>
      </w:pPr>
      <w:r>
        <w:rPr/>
        <w:t xml:space="preserve">Universe: 26 instruments cached in portfolio.db — 8 index/large-cap ETFs and names (SPY, QQQ, IWM, DIA, AAPL, MSFT, AMZN, GOOGL, META, JNJ, JPM, KO, PG, WMT, XOM, BAC, NFLX, NVDA) and 8 high-volatility names (TSLA, AMD, MSTR, SMCI, COIN, FSLR, MU, GME). History 2006-10 to 2026-10 (5,029 daily bars per name; COIN only since 2021).</w:t>
      </w:r>
    </w:p>
    <w:p>
      <w:pPr>
        <w:spacing w:before="0" w:after="60" w:line="264" w:lineRule="auto"/>
        <w:ind w:left="340" w:hanging="220"/>
      </w:pPr>
      <w:r>
        <w:rPr/>
        <w:t xml:space="preserve">•  npm run test:filters — 10 entry-gate/risk-exit variants × 2 band pairs × 3 windows (full, last 40 %, last 30 %), plus a loss autopsy on the volatile block.</w:t>
      </w:r>
    </w:p>
    <w:p>
      <w:pPr>
        <w:spacing w:before="0" w:after="60" w:line="264" w:lineRule="auto"/>
        <w:ind w:left="340" w:hanging="220"/>
      </w:pPr>
      <w:r>
        <w:rPr/>
        <w:t xml:space="preserve">•  npm run test:trained — 4 weight maps trained by coordinate descent (built-in 70 %, catalogue 60/70/80 %), each scored on the SAME held-out last-40 % and last-20 % windows, with entry-reading separation and per-symbol AUC.</w:t>
      </w:r>
    </w:p>
    <w:p>
      <w:pPr>
        <w:spacing w:before="0" w:after="60" w:line="264" w:lineRule="auto"/>
        <w:ind w:left="340" w:hanging="220"/>
      </w:pPr>
      <w:r>
        <w:rPr/>
        <w:t xml:space="preserve">•  npm run test:leaveout — train on 25 names, test the excluded name cold on its last 30 %.</w:t>
      </w:r>
    </w:p>
    <w:p>
      <w:pPr>
        <w:spacing w:before="0" w:after="60" w:line="264" w:lineRule="auto"/>
        <w:ind w:left="340" w:hanging="220"/>
      </w:pPr>
      <w:r>
        <w:rPr/>
        <w:t xml:space="preserve">•  Indicator reconciliations against both reference workbooks (technicals richard.xlsx, Indicators project 181026.xlsx): 98 tests, 4 suites.</w:t>
      </w:r>
    </w:p>
    <w:p>
      <w:pPr>
        <w:spacing w:before="0" w:after="60" w:line="264" w:lineRule="auto"/>
        <w:ind w:left="340" w:hanging="220"/>
      </w:pPr>
      <w:r>
        <w:rPr/>
        <w:t xml:space="preserve">•  Price-basis audit of the cache loader, with a new regression suite (tests/basis-guard.test.ts).</w:t>
      </w:r>
    </w:p>
    <w:p>
      <w:pPr>
        <w:spacing w:before="0" w:after="160" w:line="264" w:lineRule="auto"/>
      </w:pPr>
      <w:r>
        <w:rPr>
          <w:i/>
          <w:sz w:val="18"/>
          <w:szCs w:val="18"/>
          <w:color w:val="4B5563"/>
        </w:rPr>
        <w:t xml:space="preserve">Costs in every backtest: 2 bps commission + 2 bps slippage each way, 100 % position size. Bands are shown as entry/exit on the 0-100 composite.</w:t>
      </w:r>
    </w:p>
    <w:p>
      <w:pPr>
        <w:keepNext/>
        <w:spacing w:before="360" w:after="140"/>
        <w:outlineLvl w:val="0"/>
        <w:pBdr>
          <w:bottom w:val="single" w:sz="6" w:space="2" w:color="C7D2FE"/>
        </w:pBdr>
      </w:pPr>
      <w:r>
        <w:rPr>
          <w:b/>
          <w:sz w:val="30"/>
          <w:szCs w:val="30"/>
          <w:color w:val="1E3A8A"/>
        </w:rPr>
        <w:t xml:space="preserve">2. The headline numbers</w:t>
      </w:r>
    </w:p>
    <w:p>
      <w:pPr>
        <w:spacing w:before="0" w:after="80" w:line="264" w:lineRule="auto"/>
      </w:pPr>
      <w:r>
        <w:rPr>
          <w:b/>
          <w:sz w:val="22"/>
          <w:szCs w:val="22"/>
        </w:rPr>
        <w:t xml:space="preserve">2.1 The shipped rule (70/25) barely trades</w:t>
      </w:r>
    </w:p>
    <w:p>
      <w:pPr>
        <w:spacing w:before="0" w:after="100" w:line="264" w:lineRule="auto"/>
      </w:pPr>
      <w:r>
        <w:rPr/>
        <w:t xml:space="preserve">Across 26 instruments and twenty years the shipped rule made 5 decisions in total on the full window: 3 of them lost (60 %). That is not a strategy being measured, it is buy-and-hold with a guardrail that almost never fires. The composite's own floor on these names sat at 23-34 while the exit band is 25, so the exit condition is reached only in genuine breakdowns.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1500"/>
        <w:gridCol w:w="800"/>
        <w:gridCol w:w="800"/>
        <w:gridCol w:w="900"/>
        <w:gridCol w:w="1000"/>
        <w:gridCol w:w="1000"/>
        <w:gridCol w:w="1100"/>
        <w:gridCol w:w="900"/>
      </w:tblGrid>
      <w:tr>
        <w:trPr>
          <w:tblHeader/>
        </w:trPr>
        <w:tc>
          <w:tcPr>
            <w:tcW w:w="1500" w:type="dxa"/>
            <w:shd w:val="clear" w:color="auto" w:fill="E0E7FF"/>
          </w:tcPr>
          <w:p>
            <w:pPr>
              <w:spacing w:before="0" w:after="0" w:line="240" w:lineRule="auto"/>
            </w:pPr>
            <w:r>
              <w:rPr>
                <w:b/>
                <w:sz w:val="18"/>
                <w:szCs w:val="18"/>
              </w:rPr>
              <w:t xml:space="preserve">Bands</w:t>
            </w:r>
          </w:p>
        </w:tc>
        <w:tc>
          <w:tcPr>
            <w:tcW w:w="800" w:type="dxa"/>
            <w:shd w:val="clear" w:color="auto" w:fill="E0E7FF"/>
          </w:tcPr>
          <w:p>
            <w:pPr>
              <w:spacing w:before="0" w:after="0" w:line="240" w:lineRule="auto"/>
            </w:pPr>
            <w:r>
              <w:rPr>
                <w:b/>
                <w:sz w:val="18"/>
                <w:szCs w:val="18"/>
              </w:rPr>
              <w:t xml:space="preserve">Trades</w:t>
            </w:r>
          </w:p>
        </w:tc>
        <w:tc>
          <w:tcPr>
            <w:tcW w:w="800" w:type="dxa"/>
            <w:shd w:val="clear" w:color="auto" w:fill="E0E7FF"/>
          </w:tcPr>
          <w:p>
            <w:pPr>
              <w:spacing w:before="0" w:after="0" w:line="240" w:lineRule="auto"/>
            </w:pPr>
            <w:r>
              <w:rPr>
                <w:b/>
                <w:sz w:val="18"/>
                <w:szCs w:val="18"/>
              </w:rPr>
              <w:t xml:space="preserve">Losers</w:t>
            </w:r>
          </w:p>
        </w:tc>
        <w:tc>
          <w:tcPr>
            <w:tcW w:w="900" w:type="dxa"/>
            <w:shd w:val="clear" w:color="auto" w:fill="E0E7FF"/>
          </w:tcPr>
          <w:p>
            <w:pPr>
              <w:spacing w:before="0" w:after="0" w:line="240" w:lineRule="auto"/>
            </w:pPr>
            <w:r>
              <w:rPr>
                <w:b/>
                <w:sz w:val="18"/>
                <w:szCs w:val="18"/>
              </w:rPr>
              <w:t xml:space="preserve">Loss rate</w:t>
            </w:r>
          </w:p>
        </w:tc>
        <w:tc>
          <w:tcPr>
            <w:tcW w:w="1000" w:type="dxa"/>
            <w:shd w:val="clear" w:color="auto" w:fill="E0E7FF"/>
          </w:tcPr>
          <w:p>
            <w:pPr>
              <w:spacing w:before="0" w:after="0" w:line="240" w:lineRule="auto"/>
            </w:pPr>
            <w:r>
              <w:rPr>
                <w:b/>
                <w:sz w:val="18"/>
                <w:szCs w:val="18"/>
              </w:rPr>
              <w:t xml:space="preserve">Avg win</w:t>
            </w:r>
          </w:p>
        </w:tc>
        <w:tc>
          <w:tcPr>
            <w:tcW w:w="1000" w:type="dxa"/>
            <w:shd w:val="clear" w:color="auto" w:fill="E0E7FF"/>
          </w:tcPr>
          <w:p>
            <w:pPr>
              <w:spacing w:before="0" w:after="0" w:line="240" w:lineRule="auto"/>
            </w:pPr>
            <w:r>
              <w:rPr>
                <w:b/>
                <w:sz w:val="18"/>
                <w:szCs w:val="18"/>
              </w:rPr>
              <w:t xml:space="preserve">Avg loss</w:t>
            </w:r>
          </w:p>
        </w:tc>
        <w:tc>
          <w:tcPr>
            <w:tcW w:w="1100" w:type="dxa"/>
            <w:shd w:val="clear" w:color="auto" w:fill="E0E7FF"/>
          </w:tcPr>
          <w:p>
            <w:pPr>
              <w:spacing w:before="0" w:after="0" w:line="240" w:lineRule="auto"/>
            </w:pPr>
            <w:r>
              <w:rPr>
                <w:b/>
                <w:sz w:val="18"/>
                <w:szCs w:val="18"/>
              </w:rPr>
              <w:t xml:space="preserve">Avg trade</w:t>
            </w:r>
          </w:p>
        </w:tc>
        <w:tc>
          <w:tcPr>
            <w:tcW w:w="900" w:type="dxa"/>
            <w:shd w:val="clear" w:color="auto" w:fill="E0E7FF"/>
          </w:tcPr>
          <w:p>
            <w:pPr>
              <w:spacing w:before="0" w:after="0" w:line="240" w:lineRule="auto"/>
            </w:pPr>
            <w:r>
              <w:rPr>
                <w:b/>
                <w:sz w:val="18"/>
                <w:szCs w:val="18"/>
              </w:rPr>
              <w:t xml:space="preserve">Sharpe</w:t>
            </w:r>
          </w:p>
        </w:tc>
      </w:tr>
      <w:tr>
        <w:tc>
          <w:tcPr>
            <w:tcW w:w="1500" w:type="dxa"/>
          </w:tcPr>
          <w:p>
            <w:pPr>
              <w:spacing w:before="0" w:after="0" w:line="240" w:lineRule="auto"/>
            </w:pPr>
            <w:r>
              <w:rPr>
                <w:sz w:val="18"/>
                <w:szCs w:val="18"/>
              </w:rPr>
              <w:t xml:space="preserve">70/25 (shipped)</w:t>
            </w:r>
          </w:p>
        </w:tc>
        <w:tc>
          <w:tcPr>
            <w:tcW w:w="800" w:type="dxa"/>
          </w:tcPr>
          <w:p>
            <w:pPr>
              <w:spacing w:before="0" w:after="0" w:line="240" w:lineRule="auto"/>
            </w:pPr>
            <w:r>
              <w:rPr>
                <w:sz w:val="18"/>
                <w:szCs w:val="18"/>
              </w:rPr>
              <w:t xml:space="preserve">5</w:t>
            </w:r>
          </w:p>
        </w:tc>
        <w:tc>
          <w:tcPr>
            <w:tcW w:w="800" w:type="dxa"/>
          </w:tcPr>
          <w:p>
            <w:pPr>
              <w:spacing w:before="0" w:after="0" w:line="240" w:lineRule="auto"/>
            </w:pPr>
            <w:r>
              <w:rPr>
                <w:sz w:val="18"/>
                <w:szCs w:val="18"/>
              </w:rPr>
              <w:t xml:space="preserve">3</w:t>
            </w:r>
          </w:p>
        </w:tc>
        <w:tc>
          <w:tcPr>
            <w:tcW w:w="900" w:type="dxa"/>
          </w:tcPr>
          <w:p>
            <w:pPr>
              <w:spacing w:before="0" w:after="0" w:line="240" w:lineRule="auto"/>
            </w:pPr>
            <w:r>
              <w:rPr>
                <w:sz w:val="18"/>
                <w:szCs w:val="18"/>
              </w:rPr>
              <w:t xml:space="preserve">60.0%</w:t>
            </w:r>
          </w:p>
        </w:tc>
        <w:tc>
          <w:tcPr>
            <w:tcW w:w="1000" w:type="dxa"/>
          </w:tcPr>
          <w:p>
            <w:pPr>
              <w:spacing w:before="0" w:after="0" w:line="240" w:lineRule="auto"/>
            </w:pPr>
            <w:r>
              <w:rPr>
                <w:sz w:val="18"/>
                <w:szCs w:val="18"/>
              </w:rPr>
              <w:t xml:space="preserve">+1,310%</w:t>
            </w:r>
          </w:p>
        </w:tc>
        <w:tc>
          <w:tcPr>
            <w:tcW w:w="1000" w:type="dxa"/>
          </w:tcPr>
          <w:p>
            <w:pPr>
              <w:spacing w:before="0" w:after="0" w:line="240" w:lineRule="auto"/>
            </w:pPr>
            <w:r>
              <w:rPr>
                <w:sz w:val="18"/>
                <w:szCs w:val="18"/>
              </w:rPr>
              <w:t xml:space="preserve">-60.8%</w:t>
            </w:r>
          </w:p>
        </w:tc>
        <w:tc>
          <w:tcPr>
            <w:tcW w:w="1100" w:type="dxa"/>
          </w:tcPr>
          <w:p>
            <w:pPr>
              <w:spacing w:before="0" w:after="0" w:line="240" w:lineRule="auto"/>
            </w:pPr>
            <w:r>
              <w:rPr>
                <w:sz w:val="18"/>
                <w:szCs w:val="18"/>
              </w:rPr>
              <w:t xml:space="preserve">+487.7%</w:t>
            </w:r>
          </w:p>
        </w:tc>
        <w:tc>
          <w:tcPr>
            <w:tcW w:w="900" w:type="dxa"/>
          </w:tcPr>
          <w:p>
            <w:pPr>
              <w:spacing w:before="0" w:after="0" w:line="240" w:lineRule="auto"/>
            </w:pPr>
            <w:r>
              <w:rPr>
                <w:sz w:val="18"/>
                <w:szCs w:val="18"/>
              </w:rPr>
              <w:t xml:space="preserve">0.64</w:t>
            </w:r>
          </w:p>
        </w:tc>
      </w:tr>
      <w:tr>
        <w:tc>
          <w:tcPr>
            <w:tcW w:w="1500" w:type="dxa"/>
          </w:tcPr>
          <w:p>
            <w:pPr>
              <w:spacing w:before="0" w:after="0" w:line="240" w:lineRule="auto"/>
            </w:pPr>
            <w:r>
              <w:rPr>
                <w:sz w:val="18"/>
                <w:szCs w:val="18"/>
              </w:rPr>
              <w:t xml:space="preserve">55/45 (measurable)</w:t>
            </w:r>
          </w:p>
        </w:tc>
        <w:tc>
          <w:tcPr>
            <w:tcW w:w="800" w:type="dxa"/>
          </w:tcPr>
          <w:p>
            <w:pPr>
              <w:spacing w:before="0" w:after="0" w:line="240" w:lineRule="auto"/>
            </w:pPr>
            <w:r>
              <w:rPr>
                <w:sz w:val="18"/>
                <w:szCs w:val="18"/>
              </w:rPr>
              <w:t xml:space="preserve">1,359</w:t>
            </w:r>
          </w:p>
        </w:tc>
        <w:tc>
          <w:tcPr>
            <w:tcW w:w="800" w:type="dxa"/>
          </w:tcPr>
          <w:p>
            <w:pPr>
              <w:spacing w:before="0" w:after="0" w:line="240" w:lineRule="auto"/>
            </w:pPr>
            <w:r>
              <w:rPr>
                <w:sz w:val="18"/>
                <w:szCs w:val="18"/>
              </w:rPr>
              <w:t xml:space="preserve">793</w:t>
            </w:r>
          </w:p>
        </w:tc>
        <w:tc>
          <w:tcPr>
            <w:tcW w:w="900" w:type="dxa"/>
          </w:tcPr>
          <w:p>
            <w:pPr>
              <w:spacing w:before="0" w:after="0" w:line="240" w:lineRule="auto"/>
            </w:pPr>
            <w:r>
              <w:rPr>
                <w:sz w:val="18"/>
                <w:szCs w:val="18"/>
              </w:rPr>
              <w:t xml:space="preserve">58.4%</w:t>
            </w:r>
          </w:p>
        </w:tc>
        <w:tc>
          <w:tcPr>
            <w:tcW w:w="1000" w:type="dxa"/>
          </w:tcPr>
          <w:p>
            <w:pPr>
              <w:spacing w:before="0" w:after="0" w:line="240" w:lineRule="auto"/>
            </w:pPr>
            <w:r>
              <w:rPr>
                <w:sz w:val="18"/>
                <w:szCs w:val="18"/>
              </w:rPr>
              <w:t xml:space="preserve">+43.9%</w:t>
            </w:r>
          </w:p>
        </w:tc>
        <w:tc>
          <w:tcPr>
            <w:tcW w:w="1000" w:type="dxa"/>
          </w:tcPr>
          <w:p>
            <w:pPr>
              <w:spacing w:before="0" w:after="0" w:line="240" w:lineRule="auto"/>
            </w:pPr>
            <w:r>
              <w:rPr>
                <w:sz w:val="18"/>
                <w:szCs w:val="18"/>
              </w:rPr>
              <w:t xml:space="preserve">-9.2%</w:t>
            </w:r>
          </w:p>
        </w:tc>
        <w:tc>
          <w:tcPr>
            <w:tcW w:w="1100" w:type="dxa"/>
          </w:tcPr>
          <w:p>
            <w:pPr>
              <w:spacing w:before="0" w:after="0" w:line="240" w:lineRule="auto"/>
            </w:pPr>
            <w:r>
              <w:rPr>
                <w:sz w:val="18"/>
                <w:szCs w:val="18"/>
              </w:rPr>
              <w:t xml:space="preserve">+12.95%</w:t>
            </w:r>
          </w:p>
        </w:tc>
        <w:tc>
          <w:tcPr>
            <w:tcW w:w="900" w:type="dxa"/>
          </w:tcPr>
          <w:p>
            <w:pPr>
              <w:spacing w:before="0" w:after="0" w:line="240" w:lineRule="auto"/>
            </w:pPr>
            <w:r>
              <w:rPr>
                <w:sz w:val="18"/>
                <w:szCs w:val="18"/>
              </w:rPr>
              <w:t xml:space="preserve">0.56</w:t>
            </w:r>
          </w:p>
        </w:tc>
      </w:tr>
    </w:tbl>
    <w:p>
      <w:pPr>
        <w:spacing w:before="0" w:after="80" w:line="264" w:lineRule="auto"/>
      </w:pPr>
      <w:r>
        <w:rPr/>
        <w:t xml:space="preserve"/>
      </w:r>
    </w:p>
    <w:p>
      <w:pPr>
        <w:spacing w:before="0" w:after="160" w:line="264" w:lineRule="auto"/>
      </w:pPr>
      <w:r>
        <w:rPr>
          <w:i/>
          <w:sz w:val="18"/>
          <w:szCs w:val="18"/>
          <w:color w:val="4B5563"/>
        </w:rPr>
        <w:t xml:space="preserve">The 70/25 row's percentages are dominated by a handful of 15-year holds. Only the 55/45 row has enough completed trades to study losses, which is why every diagnosis below uses it.</w:t>
      </w:r>
    </w:p>
    <w:p>
      <w:pPr>
        <w:spacing w:before="0" w:after="80" w:line="264" w:lineRule="auto"/>
      </w:pPr>
      <w:r>
        <w:rPr>
          <w:b/>
          <w:sz w:val="22"/>
          <w:szCs w:val="22"/>
        </w:rPr>
        <w:t xml:space="preserve">2.2 The loss autopsy (volatile names, 55/45, full window)</w:t>
      </w:r>
    </w:p>
    <w:p>
      <w:pPr>
        <w:spacing w:before="0" w:after="80" w:line="264" w:lineRule="auto"/>
      </w:pPr>
      <w:r>
        <w:rPr/>
        <w:t xml:space="preserve">1,016 rule exits, 662 losers (65.2 %), average hold 67.6 days. The twelve worst decisions: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1200"/>
        <w:gridCol w:w="3000"/>
        <w:gridCol w:w="900"/>
        <w:gridCol w:w="700"/>
        <w:gridCol w:w="1100"/>
        <w:gridCol w:w="1100"/>
      </w:tblGrid>
      <w:tr>
        <w:trPr>
          <w:tblHeader/>
        </w:trPr>
        <w:tc>
          <w:tcPr>
            <w:tcW w:w="1200" w:type="dxa"/>
            <w:shd w:val="clear" w:color="auto" w:fill="E0E7FF"/>
          </w:tcPr>
          <w:p>
            <w:pPr>
              <w:spacing w:before="0" w:after="0" w:line="240" w:lineRule="auto"/>
            </w:pPr>
            <w:r>
              <w:rPr>
                <w:b/>
                <w:sz w:val="18"/>
                <w:szCs w:val="18"/>
              </w:rPr>
              <w:t xml:space="preserve">Ticker</w:t>
            </w:r>
          </w:p>
        </w:tc>
        <w:tc>
          <w:tcPr>
            <w:tcW w:w="3000" w:type="dxa"/>
            <w:shd w:val="clear" w:color="auto" w:fill="E0E7FF"/>
          </w:tcPr>
          <w:p>
            <w:pPr>
              <w:spacing w:before="0" w:after="0" w:line="240" w:lineRule="auto"/>
            </w:pPr>
            <w:r>
              <w:rPr>
                <w:b/>
                <w:sz w:val="18"/>
                <w:szCs w:val="18"/>
              </w:rPr>
              <w:t xml:space="preserve">Entry → exit</w:t>
            </w:r>
          </w:p>
        </w:tc>
        <w:tc>
          <w:tcPr>
            <w:tcW w:w="900" w:type="dxa"/>
            <w:shd w:val="clear" w:color="auto" w:fill="E0E7FF"/>
          </w:tcPr>
          <w:p>
            <w:pPr>
              <w:spacing w:before="0" w:after="0" w:line="240" w:lineRule="auto"/>
            </w:pPr>
            <w:r>
              <w:rPr>
                <w:b/>
                <w:sz w:val="18"/>
                <w:szCs w:val="18"/>
              </w:rPr>
              <w:t xml:space="preserve">Return</w:t>
            </w:r>
          </w:p>
        </w:tc>
        <w:tc>
          <w:tcPr>
            <w:tcW w:w="700" w:type="dxa"/>
            <w:shd w:val="clear" w:color="auto" w:fill="E0E7FF"/>
          </w:tcPr>
          <w:p>
            <w:pPr>
              <w:spacing w:before="0" w:after="0" w:line="240" w:lineRule="auto"/>
            </w:pPr>
            <w:r>
              <w:rPr>
                <w:b/>
                <w:sz w:val="18"/>
                <w:szCs w:val="18"/>
              </w:rPr>
              <w:t xml:space="preserve">Days</w:t>
            </w:r>
          </w:p>
        </w:tc>
        <w:tc>
          <w:tcPr>
            <w:tcW w:w="1100" w:type="dxa"/>
            <w:shd w:val="clear" w:color="auto" w:fill="E0E7FF"/>
          </w:tcPr>
          <w:p>
            <w:pPr>
              <w:spacing w:before="0" w:after="0" w:line="240" w:lineRule="auto"/>
            </w:pPr>
            <w:r>
              <w:rPr>
                <w:b/>
                <w:sz w:val="18"/>
                <w:szCs w:val="18"/>
              </w:rPr>
              <w:t xml:space="preserve">Entry score</w:t>
            </w:r>
          </w:p>
        </w:tc>
        <w:tc>
          <w:tcPr>
            <w:tcW w:w="1100" w:type="dxa"/>
            <w:shd w:val="clear" w:color="auto" w:fill="E0E7FF"/>
          </w:tcPr>
          <w:p>
            <w:pPr>
              <w:spacing w:before="0" w:after="0" w:line="240" w:lineRule="auto"/>
            </w:pPr>
            <w:r>
              <w:rPr>
                <w:b/>
                <w:sz w:val="18"/>
                <w:szCs w:val="18"/>
              </w:rPr>
              <w:t xml:space="preserve">Exit score</w:t>
            </w:r>
          </w:p>
        </w:tc>
      </w:tr>
      <w:tr>
        <w:tc>
          <w:tcPr>
            <w:tcW w:w="1200" w:type="dxa"/>
          </w:tcPr>
          <w:p>
            <w:pPr>
              <w:spacing w:before="0" w:after="0" w:line="240" w:lineRule="auto"/>
            </w:pPr>
            <w:r>
              <w:rPr>
                <w:sz w:val="18"/>
                <w:szCs w:val="18"/>
              </w:rPr>
              <w:t xml:space="preserve">SMCI</w:t>
            </w:r>
          </w:p>
        </w:tc>
        <w:tc>
          <w:tcPr>
            <w:tcW w:w="3000" w:type="dxa"/>
          </w:tcPr>
          <w:p>
            <w:pPr>
              <w:spacing w:before="0" w:after="0" w:line="240" w:lineRule="auto"/>
            </w:pPr>
            <w:r>
              <w:rPr>
                <w:sz w:val="18"/>
                <w:szCs w:val="18"/>
              </w:rPr>
              <w:t xml:space="preserve">2024-09-18 → 2024-11-04</w:t>
            </w:r>
          </w:p>
        </w:tc>
        <w:tc>
          <w:tcPr>
            <w:tcW w:w="900" w:type="dxa"/>
          </w:tcPr>
          <w:p>
            <w:pPr>
              <w:spacing w:before="0" w:after="0" w:line="240" w:lineRule="auto"/>
            </w:pPr>
            <w:r>
              <w:rPr>
                <w:sz w:val="18"/>
                <w:szCs w:val="18"/>
              </w:rPr>
              <w:t xml:space="preserve">-44.0%</w:t>
            </w:r>
          </w:p>
        </w:tc>
        <w:tc>
          <w:tcPr>
            <w:tcW w:w="700" w:type="dxa"/>
          </w:tcPr>
          <w:p>
            <w:pPr>
              <w:spacing w:before="0" w:after="0" w:line="240" w:lineRule="auto"/>
            </w:pPr>
            <w:r>
              <w:rPr>
                <w:sz w:val="18"/>
                <w:szCs w:val="18"/>
              </w:rPr>
              <w:t xml:space="preserve">33</w:t>
            </w:r>
          </w:p>
        </w:tc>
        <w:tc>
          <w:tcPr>
            <w:tcW w:w="1100" w:type="dxa"/>
          </w:tcPr>
          <w:p>
            <w:pPr>
              <w:spacing w:before="0" w:after="0" w:line="240" w:lineRule="auto"/>
            </w:pPr>
            <w:r>
              <w:rPr>
                <w:sz w:val="18"/>
                <w:szCs w:val="18"/>
              </w:rPr>
              <w:t xml:space="preserve">61.0</w:t>
            </w:r>
          </w:p>
        </w:tc>
        <w:tc>
          <w:tcPr>
            <w:tcW w:w="1100" w:type="dxa"/>
          </w:tcPr>
          <w:p>
            <w:pPr>
              <w:spacing w:before="0" w:after="0" w:line="240" w:lineRule="auto"/>
            </w:pPr>
            <w:r>
              <w:rPr>
                <w:sz w:val="18"/>
                <w:szCs w:val="18"/>
              </w:rPr>
              <w:t xml:space="preserve">23.6</w:t>
            </w:r>
          </w:p>
        </w:tc>
      </w:tr>
      <w:tr>
        <w:tc>
          <w:tcPr>
            <w:tcW w:w="1200" w:type="dxa"/>
          </w:tcPr>
          <w:p>
            <w:pPr>
              <w:spacing w:before="0" w:after="0" w:line="240" w:lineRule="auto"/>
            </w:pPr>
            <w:r>
              <w:rPr>
                <w:sz w:val="18"/>
                <w:szCs w:val="18"/>
              </w:rPr>
              <w:t xml:space="preserve">FSLR</w:t>
            </w:r>
          </w:p>
        </w:tc>
        <w:tc>
          <w:tcPr>
            <w:tcW w:w="3000" w:type="dxa"/>
          </w:tcPr>
          <w:p>
            <w:pPr>
              <w:spacing w:before="0" w:after="0" w:line="240" w:lineRule="auto"/>
            </w:pPr>
            <w:r>
              <w:rPr>
                <w:sz w:val="18"/>
                <w:szCs w:val="18"/>
              </w:rPr>
              <w:t xml:space="preserve">2012-04-18 → 2012-05-21</w:t>
            </w:r>
          </w:p>
        </w:tc>
        <w:tc>
          <w:tcPr>
            <w:tcW w:w="900" w:type="dxa"/>
          </w:tcPr>
          <w:p>
            <w:pPr>
              <w:spacing w:before="0" w:after="0" w:line="240" w:lineRule="auto"/>
            </w:pPr>
            <w:r>
              <w:rPr>
                <w:sz w:val="18"/>
                <w:szCs w:val="18"/>
              </w:rPr>
              <w:t xml:space="preserve">-42.2%</w:t>
            </w:r>
          </w:p>
        </w:tc>
        <w:tc>
          <w:tcPr>
            <w:tcW w:w="700" w:type="dxa"/>
          </w:tcPr>
          <w:p>
            <w:pPr>
              <w:spacing w:before="0" w:after="0" w:line="240" w:lineRule="auto"/>
            </w:pPr>
            <w:r>
              <w:rPr>
                <w:sz w:val="18"/>
                <w:szCs w:val="18"/>
              </w:rPr>
              <w:t xml:space="preserve">23</w:t>
            </w:r>
          </w:p>
        </w:tc>
        <w:tc>
          <w:tcPr>
            <w:tcW w:w="1100" w:type="dxa"/>
          </w:tcPr>
          <w:p>
            <w:pPr>
              <w:spacing w:before="0" w:after="0" w:line="240" w:lineRule="auto"/>
            </w:pPr>
            <w:r>
              <w:rPr>
                <w:sz w:val="18"/>
                <w:szCs w:val="18"/>
              </w:rPr>
              <w:t xml:space="preserve">65.4</w:t>
            </w:r>
          </w:p>
        </w:tc>
        <w:tc>
          <w:tcPr>
            <w:tcW w:w="1100" w:type="dxa"/>
          </w:tcPr>
          <w:p>
            <w:pPr>
              <w:spacing w:before="0" w:after="0" w:line="240" w:lineRule="auto"/>
            </w:pPr>
            <w:r>
              <w:rPr>
                <w:sz w:val="18"/>
                <w:szCs w:val="18"/>
              </w:rPr>
              <w:t xml:space="preserve">31.9</w:t>
            </w:r>
          </w:p>
        </w:tc>
      </w:tr>
      <w:tr>
        <w:tc>
          <w:tcPr>
            <w:tcW w:w="1200" w:type="dxa"/>
          </w:tcPr>
          <w:p>
            <w:pPr>
              <w:spacing w:before="0" w:after="0" w:line="240" w:lineRule="auto"/>
            </w:pPr>
            <w:r>
              <w:rPr>
                <w:sz w:val="18"/>
                <w:szCs w:val="18"/>
              </w:rPr>
              <w:t xml:space="preserve">MU</w:t>
            </w:r>
          </w:p>
        </w:tc>
        <w:tc>
          <w:tcPr>
            <w:tcW w:w="3000" w:type="dxa"/>
          </w:tcPr>
          <w:p>
            <w:pPr>
              <w:spacing w:before="0" w:after="0" w:line="240" w:lineRule="auto"/>
            </w:pPr>
            <w:r>
              <w:rPr>
                <w:sz w:val="18"/>
                <w:szCs w:val="18"/>
              </w:rPr>
              <w:t xml:space="preserve">2008-09-11 → 2008-11-17</w:t>
            </w:r>
          </w:p>
        </w:tc>
        <w:tc>
          <w:tcPr>
            <w:tcW w:w="900" w:type="dxa"/>
          </w:tcPr>
          <w:p>
            <w:pPr>
              <w:spacing w:before="0" w:after="0" w:line="240" w:lineRule="auto"/>
            </w:pPr>
            <w:r>
              <w:rPr>
                <w:sz w:val="18"/>
                <w:szCs w:val="18"/>
              </w:rPr>
              <w:t xml:space="preserve">-40.8%</w:t>
            </w:r>
          </w:p>
        </w:tc>
        <w:tc>
          <w:tcPr>
            <w:tcW w:w="700" w:type="dxa"/>
          </w:tcPr>
          <w:p>
            <w:pPr>
              <w:spacing w:before="0" w:after="0" w:line="240" w:lineRule="auto"/>
            </w:pPr>
            <w:r>
              <w:rPr>
                <w:sz w:val="18"/>
                <w:szCs w:val="18"/>
              </w:rPr>
              <w:t xml:space="preserve">47</w:t>
            </w:r>
          </w:p>
        </w:tc>
        <w:tc>
          <w:tcPr>
            <w:tcW w:w="1100" w:type="dxa"/>
          </w:tcPr>
          <w:p>
            <w:pPr>
              <w:spacing w:before="0" w:after="0" w:line="240" w:lineRule="auto"/>
            </w:pPr>
            <w:r>
              <w:rPr>
                <w:sz w:val="18"/>
                <w:szCs w:val="18"/>
              </w:rPr>
              <w:t xml:space="preserve">70.0</w:t>
            </w:r>
          </w:p>
        </w:tc>
        <w:tc>
          <w:tcPr>
            <w:tcW w:w="1100" w:type="dxa"/>
          </w:tcPr>
          <w:p>
            <w:pPr>
              <w:spacing w:before="0" w:after="0" w:line="240" w:lineRule="auto"/>
            </w:pPr>
            <w:r>
              <w:rPr>
                <w:sz w:val="18"/>
                <w:szCs w:val="18"/>
              </w:rPr>
              <w:t xml:space="preserve">33.2</w:t>
            </w:r>
          </w:p>
        </w:tc>
      </w:tr>
      <w:tr>
        <w:tc>
          <w:tcPr>
            <w:tcW w:w="1200" w:type="dxa"/>
          </w:tcPr>
          <w:p>
            <w:pPr>
              <w:spacing w:before="0" w:after="0" w:line="240" w:lineRule="auto"/>
            </w:pPr>
            <w:r>
              <w:rPr>
                <w:sz w:val="18"/>
                <w:szCs w:val="18"/>
              </w:rPr>
              <w:t xml:space="preserve">FSLR</w:t>
            </w:r>
          </w:p>
        </w:tc>
        <w:tc>
          <w:tcPr>
            <w:tcW w:w="3000" w:type="dxa"/>
          </w:tcPr>
          <w:p>
            <w:pPr>
              <w:spacing w:before="0" w:after="0" w:line="240" w:lineRule="auto"/>
            </w:pPr>
            <w:r>
              <w:rPr>
                <w:sz w:val="18"/>
                <w:szCs w:val="18"/>
              </w:rPr>
              <w:t xml:space="preserve">2011-10-31 → 2011-12-19</w:t>
            </w:r>
          </w:p>
        </w:tc>
        <w:tc>
          <w:tcPr>
            <w:tcW w:w="900" w:type="dxa"/>
          </w:tcPr>
          <w:p>
            <w:pPr>
              <w:spacing w:before="0" w:after="0" w:line="240" w:lineRule="auto"/>
            </w:pPr>
            <w:r>
              <w:rPr>
                <w:sz w:val="18"/>
                <w:szCs w:val="18"/>
              </w:rPr>
              <w:t xml:space="preserve">-39.4%</w:t>
            </w:r>
          </w:p>
        </w:tc>
        <w:tc>
          <w:tcPr>
            <w:tcW w:w="700" w:type="dxa"/>
          </w:tcPr>
          <w:p>
            <w:pPr>
              <w:spacing w:before="0" w:after="0" w:line="240" w:lineRule="auto"/>
            </w:pPr>
            <w:r>
              <w:rPr>
                <w:sz w:val="18"/>
                <w:szCs w:val="18"/>
              </w:rPr>
              <w:t xml:space="preserve">34</w:t>
            </w:r>
          </w:p>
        </w:tc>
        <w:tc>
          <w:tcPr>
            <w:tcW w:w="1100" w:type="dxa"/>
          </w:tcPr>
          <w:p>
            <w:pPr>
              <w:spacing w:before="0" w:after="0" w:line="240" w:lineRule="auto"/>
            </w:pPr>
            <w:r>
              <w:rPr>
                <w:sz w:val="18"/>
                <w:szCs w:val="18"/>
              </w:rPr>
              <w:t xml:space="preserve">66.7</w:t>
            </w:r>
          </w:p>
        </w:tc>
        <w:tc>
          <w:tcPr>
            <w:tcW w:w="1100" w:type="dxa"/>
          </w:tcPr>
          <w:p>
            <w:pPr>
              <w:spacing w:before="0" w:after="0" w:line="240" w:lineRule="auto"/>
            </w:pPr>
            <w:r>
              <w:rPr>
                <w:sz w:val="18"/>
                <w:szCs w:val="18"/>
              </w:rPr>
              <w:t xml:space="preserve">30.6</w:t>
            </w:r>
          </w:p>
        </w:tc>
      </w:tr>
      <w:tr>
        <w:tc>
          <w:tcPr>
            <w:tcW w:w="1200" w:type="dxa"/>
          </w:tcPr>
          <w:p>
            <w:pPr>
              <w:spacing w:before="0" w:after="0" w:line="240" w:lineRule="auto"/>
            </w:pPr>
            <w:r>
              <w:rPr>
                <w:sz w:val="18"/>
                <w:szCs w:val="18"/>
              </w:rPr>
              <w:t xml:space="preserve">MU</w:t>
            </w:r>
          </w:p>
        </w:tc>
        <w:tc>
          <w:tcPr>
            <w:tcW w:w="3000" w:type="dxa"/>
          </w:tcPr>
          <w:p>
            <w:pPr>
              <w:spacing w:before="0" w:after="0" w:line="240" w:lineRule="auto"/>
            </w:pPr>
            <w:r>
              <w:rPr>
                <w:sz w:val="18"/>
                <w:szCs w:val="18"/>
              </w:rPr>
              <w:t xml:space="preserve">2025-01-08 → 2025-04-07</w:t>
            </w:r>
          </w:p>
        </w:tc>
        <w:tc>
          <w:tcPr>
            <w:tcW w:w="900" w:type="dxa"/>
          </w:tcPr>
          <w:p>
            <w:pPr>
              <w:spacing w:before="0" w:after="0" w:line="240" w:lineRule="auto"/>
            </w:pPr>
            <w:r>
              <w:rPr>
                <w:sz w:val="18"/>
                <w:szCs w:val="18"/>
              </w:rPr>
              <w:t xml:space="preserve">-37.8%</w:t>
            </w:r>
          </w:p>
        </w:tc>
        <w:tc>
          <w:tcPr>
            <w:tcW w:w="700" w:type="dxa"/>
          </w:tcPr>
          <w:p>
            <w:pPr>
              <w:spacing w:before="0" w:after="0" w:line="240" w:lineRule="auto"/>
            </w:pPr>
            <w:r>
              <w:rPr>
                <w:sz w:val="18"/>
                <w:szCs w:val="18"/>
              </w:rPr>
              <w:t xml:space="preserve">60</w:t>
            </w:r>
          </w:p>
        </w:tc>
        <w:tc>
          <w:tcPr>
            <w:tcW w:w="1100" w:type="dxa"/>
          </w:tcPr>
          <w:p>
            <w:pPr>
              <w:spacing w:before="0" w:after="0" w:line="240" w:lineRule="auto"/>
            </w:pPr>
            <w:r>
              <w:rPr>
                <w:sz w:val="18"/>
                <w:szCs w:val="18"/>
              </w:rPr>
              <w:t xml:space="preserve">74.5</w:t>
            </w:r>
          </w:p>
        </w:tc>
        <w:tc>
          <w:tcPr>
            <w:tcW w:w="1100" w:type="dxa"/>
          </w:tcPr>
          <w:p>
            <w:pPr>
              <w:spacing w:before="0" w:after="0" w:line="240" w:lineRule="auto"/>
            </w:pPr>
            <w:r>
              <w:rPr>
                <w:sz w:val="18"/>
                <w:szCs w:val="18"/>
              </w:rPr>
              <w:t xml:space="preserve">23.1</w:t>
            </w:r>
          </w:p>
        </w:tc>
      </w:tr>
      <w:tr>
        <w:tc>
          <w:tcPr>
            <w:tcW w:w="1200" w:type="dxa"/>
          </w:tcPr>
          <w:p>
            <w:pPr>
              <w:spacing w:before="0" w:after="0" w:line="240" w:lineRule="auto"/>
            </w:pPr>
            <w:r>
              <w:rPr>
                <w:sz w:val="18"/>
                <w:szCs w:val="18"/>
              </w:rPr>
              <w:t xml:space="preserve">SMCI</w:t>
            </w:r>
          </w:p>
        </w:tc>
        <w:tc>
          <w:tcPr>
            <w:tcW w:w="3000" w:type="dxa"/>
          </w:tcPr>
          <w:p>
            <w:pPr>
              <w:spacing w:before="0" w:after="0" w:line="240" w:lineRule="auto"/>
            </w:pPr>
            <w:r>
              <w:rPr>
                <w:sz w:val="18"/>
                <w:szCs w:val="18"/>
              </w:rPr>
              <w:t xml:space="preserve">2025-12-05 → 2026-03-24</w:t>
            </w:r>
          </w:p>
        </w:tc>
        <w:tc>
          <w:tcPr>
            <w:tcW w:w="900" w:type="dxa"/>
          </w:tcPr>
          <w:p>
            <w:pPr>
              <w:spacing w:before="0" w:after="0" w:line="240" w:lineRule="auto"/>
            </w:pPr>
            <w:r>
              <w:rPr>
                <w:sz w:val="18"/>
                <w:szCs w:val="18"/>
              </w:rPr>
              <w:t xml:space="preserve">-37.1%</w:t>
            </w:r>
          </w:p>
        </w:tc>
        <w:tc>
          <w:tcPr>
            <w:tcW w:w="700" w:type="dxa"/>
          </w:tcPr>
          <w:p>
            <w:pPr>
              <w:spacing w:before="0" w:after="0" w:line="240" w:lineRule="auto"/>
            </w:pPr>
            <w:r>
              <w:rPr>
                <w:sz w:val="18"/>
                <w:szCs w:val="18"/>
              </w:rPr>
              <w:t xml:space="preserve">73</w:t>
            </w:r>
          </w:p>
        </w:tc>
        <w:tc>
          <w:tcPr>
            <w:tcW w:w="1100" w:type="dxa"/>
          </w:tcPr>
          <w:p>
            <w:pPr>
              <w:spacing w:before="0" w:after="0" w:line="240" w:lineRule="auto"/>
            </w:pPr>
            <w:r>
              <w:rPr>
                <w:sz w:val="18"/>
                <w:szCs w:val="18"/>
              </w:rPr>
              <w:t xml:space="preserve">64.7</w:t>
            </w:r>
          </w:p>
        </w:tc>
        <w:tc>
          <w:tcPr>
            <w:tcW w:w="1100" w:type="dxa"/>
          </w:tcPr>
          <w:p>
            <w:pPr>
              <w:spacing w:before="0" w:after="0" w:line="240" w:lineRule="auto"/>
            </w:pPr>
            <w:r>
              <w:rPr>
                <w:sz w:val="18"/>
                <w:szCs w:val="18"/>
              </w:rPr>
              <w:t xml:space="preserve">27.5</w:t>
            </w:r>
          </w:p>
        </w:tc>
      </w:tr>
      <w:tr>
        <w:tc>
          <w:tcPr>
            <w:tcW w:w="1200" w:type="dxa"/>
          </w:tcPr>
          <w:p>
            <w:pPr>
              <w:spacing w:before="0" w:after="0" w:line="240" w:lineRule="auto"/>
            </w:pPr>
            <w:r>
              <w:rPr>
                <w:sz w:val="18"/>
                <w:szCs w:val="18"/>
              </w:rPr>
              <w:t xml:space="preserve">COIN</w:t>
            </w:r>
          </w:p>
        </w:tc>
        <w:tc>
          <w:tcPr>
            <w:tcW w:w="3000" w:type="dxa"/>
          </w:tcPr>
          <w:p>
            <w:pPr>
              <w:spacing w:before="0" w:after="0" w:line="240" w:lineRule="auto"/>
            </w:pPr>
            <w:r>
              <w:rPr>
                <w:sz w:val="18"/>
                <w:szCs w:val="18"/>
              </w:rPr>
              <w:t xml:space="preserve">2021-12-28 → 2022-01-24</w:t>
            </w:r>
          </w:p>
        </w:tc>
        <w:tc>
          <w:tcPr>
            <w:tcW w:w="900" w:type="dxa"/>
          </w:tcPr>
          <w:p>
            <w:pPr>
              <w:spacing w:before="0" w:after="0" w:line="240" w:lineRule="auto"/>
            </w:pPr>
            <w:r>
              <w:rPr>
                <w:sz w:val="18"/>
                <w:szCs w:val="18"/>
              </w:rPr>
              <w:t xml:space="preserve">-35.9%</w:t>
            </w:r>
          </w:p>
        </w:tc>
        <w:tc>
          <w:tcPr>
            <w:tcW w:w="700" w:type="dxa"/>
          </w:tcPr>
          <w:p>
            <w:pPr>
              <w:spacing w:before="0" w:after="0" w:line="240" w:lineRule="auto"/>
            </w:pPr>
            <w:r>
              <w:rPr>
                <w:sz w:val="18"/>
                <w:szCs w:val="18"/>
              </w:rPr>
              <w:t xml:space="preserve">18</w:t>
            </w:r>
          </w:p>
        </w:tc>
        <w:tc>
          <w:tcPr>
            <w:tcW w:w="1100" w:type="dxa"/>
          </w:tcPr>
          <w:p>
            <w:pPr>
              <w:spacing w:before="0" w:after="0" w:line="240" w:lineRule="auto"/>
            </w:pPr>
            <w:r>
              <w:rPr>
                <w:sz w:val="18"/>
                <w:szCs w:val="18"/>
              </w:rPr>
              <w:t xml:space="preserve">81.5</w:t>
            </w:r>
          </w:p>
        </w:tc>
        <w:tc>
          <w:tcPr>
            <w:tcW w:w="1100" w:type="dxa"/>
          </w:tcPr>
          <w:p>
            <w:pPr>
              <w:spacing w:before="0" w:after="0" w:line="240" w:lineRule="auto"/>
            </w:pPr>
            <w:r>
              <w:rPr>
                <w:sz w:val="18"/>
                <w:szCs w:val="18"/>
              </w:rPr>
              <w:t xml:space="preserve">30.6</w:t>
            </w:r>
          </w:p>
        </w:tc>
      </w:tr>
      <w:tr>
        <w:tc>
          <w:tcPr>
            <w:tcW w:w="1200" w:type="dxa"/>
          </w:tcPr>
          <w:p>
            <w:pPr>
              <w:spacing w:before="0" w:after="0" w:line="240" w:lineRule="auto"/>
            </w:pPr>
            <w:r>
              <w:rPr>
                <w:sz w:val="18"/>
                <w:szCs w:val="18"/>
              </w:rPr>
              <w:t xml:space="preserve">NVDA</w:t>
            </w:r>
          </w:p>
        </w:tc>
        <w:tc>
          <w:tcPr>
            <w:tcW w:w="3000" w:type="dxa"/>
          </w:tcPr>
          <w:p>
            <w:pPr>
              <w:spacing w:before="0" w:after="0" w:line="240" w:lineRule="auto"/>
            </w:pPr>
            <w:r>
              <w:rPr>
                <w:sz w:val="18"/>
                <w:szCs w:val="18"/>
              </w:rPr>
              <w:t xml:space="preserve">2008-09-24 → 2008-10-08</w:t>
            </w:r>
          </w:p>
        </w:tc>
        <w:tc>
          <w:tcPr>
            <w:tcW w:w="900" w:type="dxa"/>
          </w:tcPr>
          <w:p>
            <w:pPr>
              <w:spacing w:before="0" w:after="0" w:line="240" w:lineRule="auto"/>
            </w:pPr>
            <w:r>
              <w:rPr>
                <w:sz w:val="18"/>
                <w:szCs w:val="18"/>
              </w:rPr>
              <w:t xml:space="preserve">-34.9%</w:t>
            </w:r>
          </w:p>
        </w:tc>
        <w:tc>
          <w:tcPr>
            <w:tcW w:w="700" w:type="dxa"/>
          </w:tcPr>
          <w:p>
            <w:pPr>
              <w:spacing w:before="0" w:after="0" w:line="240" w:lineRule="auto"/>
            </w:pPr>
            <w:r>
              <w:rPr>
                <w:sz w:val="18"/>
                <w:szCs w:val="18"/>
              </w:rPr>
              <w:t xml:space="preserve">10</w:t>
            </w:r>
          </w:p>
        </w:tc>
        <w:tc>
          <w:tcPr>
            <w:tcW w:w="1100" w:type="dxa"/>
          </w:tcPr>
          <w:p>
            <w:pPr>
              <w:spacing w:before="0" w:after="0" w:line="240" w:lineRule="auto"/>
            </w:pPr>
            <w:r>
              <w:rPr>
                <w:sz w:val="18"/>
                <w:szCs w:val="18"/>
              </w:rPr>
              <w:t xml:space="preserve">66.5</w:t>
            </w:r>
          </w:p>
        </w:tc>
        <w:tc>
          <w:tcPr>
            <w:tcW w:w="1100" w:type="dxa"/>
          </w:tcPr>
          <w:p>
            <w:pPr>
              <w:spacing w:before="0" w:after="0" w:line="240" w:lineRule="auto"/>
            </w:pPr>
            <w:r>
              <w:rPr>
                <w:sz w:val="18"/>
                <w:szCs w:val="18"/>
              </w:rPr>
              <w:t xml:space="preserve">27.6</w:t>
            </w:r>
          </w:p>
        </w:tc>
      </w:tr>
    </w:tbl>
    <w:p>
      <w:pPr>
        <w:spacing w:before="0" w:after="80" w:line="264" w:lineRule="auto"/>
      </w:pPr>
      <w:r>
        <w:rPr/>
        <w:t xml:space="preserve"/>
      </w:r>
    </w:p>
    <w:p>
      <w:pPr>
        <w:spacing w:before="0" w:after="120" w:line="264" w:lineRule="auto"/>
      </w:pPr>
      <w:r>
        <w:rPr>
          <w:b/>
        </w:rPr>
        <w:t xml:space="preserve">The decisive row is not in this table: winners were entered at an average reading of 68.7 and losers at 67.7 — a gap of about one point on a 0-100 scale. Winners were held 135.3 days, losers 31.4 days.</w:t>
      </w:r>
    </w:p>
    <w:p>
      <w:pPr>
        <w:keepNext/>
        <w:spacing w:before="360" w:after="140"/>
        <w:outlineLvl w:val="0"/>
        <w:pBdr>
          <w:bottom w:val="single" w:sz="6" w:space="2" w:color="C7D2FE"/>
        </w:pBdr>
      </w:pPr>
      <w:r>
        <w:rPr>
          <w:b/>
          <w:sz w:val="30"/>
          <w:szCs w:val="30"/>
          <w:color w:val="1E3A8A"/>
        </w:rPr>
        <w:t xml:space="preserve">3. Root causes, in order of evidence</w:t>
      </w:r>
    </w:p>
    <w:p>
      <w:pPr>
        <w:keepNext/>
        <w:spacing w:before="260" w:after="100"/>
        <w:outlineLvl w:val="1"/>
      </w:pPr>
      <w:r>
        <w:rPr>
          <w:b/>
          <w:sz w:val="24"/>
          <w:szCs w:val="24"/>
          <w:color w:val="111827"/>
        </w:rPr>
        <w:t xml:space="preserve">3.1 The losses are short whipsaws, not weak entries</w:t>
      </w:r>
    </w:p>
    <w:p>
      <w:pPr>
        <w:spacing w:before="0" w:after="100" w:line="264" w:lineRule="auto"/>
      </w:pPr>
      <w:r>
        <w:rPr/>
        <w:t xml:space="preserve">If entries were the problem, losers would cluster at visibly lower readings than winners. They do not: 67.7 versus 68.7, and the AUC (the chance a random winner's entry reading beats a random loser's) is 0.48-0.56 across maps and windows — a coin flip. What separates the two groups is time held: 31 days versus 135. A slow composite buys into a pullback inside an uptrend, the pullback continues past the exit band, and the rule sells into the hole.</w:t>
      </w:r>
    </w:p>
    <w:p>
      <w:pPr>
        <w:keepNext/>
        <w:spacing w:before="260" w:after="100"/>
        <w:outlineLvl w:val="1"/>
      </w:pPr>
      <w:r>
        <w:rPr>
          <w:b/>
          <w:sz w:val="24"/>
          <w:szCs w:val="24"/>
          <w:color w:val="111827"/>
        </w:rPr>
        <w:t xml:space="preserve">3.2 The exit is a threshold on a smoothed blend</w:t>
      </w:r>
    </w:p>
    <w:p>
      <w:pPr>
        <w:spacing w:before="0" w:after="100" w:line="264" w:lineRule="auto"/>
      </w:pPr>
      <w:r>
        <w:rPr/>
        <w:t xml:space="preserve">The signal is a weighted average of 58 indicator scores, smoothed over 5 bars. By the time it falls below 45 (or 25), most of the drawdown has already happened; the sale is late by construction. Re-entry then requires the score to climb back above the entry band, so the rule systematically sells low and re-buys higher. This is the mechanism behind the +1 point entry gap but the 4x difference in holding period.</w:t>
      </w:r>
    </w:p>
    <w:p>
      <w:pPr>
        <w:keepNext/>
        <w:spacing w:before="260" w:after="100"/>
        <w:outlineLvl w:val="1"/>
      </w:pPr>
      <w:r>
        <w:rPr>
          <w:b/>
          <w:sz w:val="24"/>
          <w:szCs w:val="24"/>
          <w:color w:val="111827"/>
        </w:rPr>
        <w:t xml:space="preserve">3.3 Stops convert one hold into many losses</w:t>
      </w:r>
    </w:p>
    <w:p>
      <w:pPr>
        <w:spacing w:before="0" w:after="100" w:line="264" w:lineRule="auto"/>
      </w:pPr>
      <w:r>
        <w:rPr/>
        <w:t xml:space="preserve">The engine re-enters while the regime is still long, so a stop-loss does not protect a position — it harvests its volatility. Measured at 70/25: the baseline's 5 decisions became 133 trades with 130 losses (97.7 %), return 12,510 % → 11,660 %, Sharpe 0.64 → 0.63. Waiting for a fresh signal after the stop made it worse: 27 trades, all 27 losers, Sharpe -0.01. ATR trailing stops cut the average win from +43.9 % to +14.2 % (3×ATR) or +28.0 % (4×ATR) at 55/45, with Sharpe 0.56 → 0.30 / 0.41.</w:t>
      </w:r>
    </w:p>
    <w:p>
      <w:pPr>
        <w:keepNext/>
        <w:spacing w:before="260" w:after="100"/>
        <w:outlineLvl w:val="1"/>
      </w:pPr>
      <w:r>
        <w:rPr>
          <w:b/>
          <w:sz w:val="24"/>
          <w:szCs w:val="24"/>
          <w:color w:val="111827"/>
        </w:rPr>
        <w:t xml:space="preserve">3.4 No reweighting separates the losers</w:t>
      </w:r>
    </w:p>
    <w:p>
      <w:pPr>
        <w:spacing w:before="0" w:after="80" w:line="264" w:lineRule="auto"/>
      </w:pPr>
      <w:r>
        <w:rPr/>
        <w:t xml:space="preserve">Four maps were trained and then scored on identical held-out sessions. Every trained map did worse than the shipped default out of sample, and none cleared its own luck bar:</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1800"/>
        <w:gridCol w:w="1400"/>
        <w:gridCol w:w="1700"/>
        <w:gridCol w:w="1100"/>
        <w:gridCol w:w="900"/>
        <w:gridCol w:w="1400"/>
      </w:tblGrid>
      <w:tr>
        <w:trPr>
          <w:tblHeader/>
        </w:trPr>
        <w:tc>
          <w:tcPr>
            <w:tcW w:w="1800" w:type="dxa"/>
            <w:shd w:val="clear" w:color="auto" w:fill="E0E7FF"/>
          </w:tcPr>
          <w:p>
            <w:pPr>
              <w:spacing w:before="0" w:after="0" w:line="240" w:lineRule="auto"/>
            </w:pPr>
            <w:r>
              <w:rPr>
                <w:b/>
                <w:sz w:val="18"/>
                <w:szCs w:val="18"/>
              </w:rPr>
              <w:t xml:space="preserve">Map</w:t>
            </w:r>
          </w:p>
        </w:tc>
        <w:tc>
          <w:tcPr>
            <w:tcW w:w="1400" w:type="dxa"/>
            <w:shd w:val="clear" w:color="auto" w:fill="E0E7FF"/>
          </w:tcPr>
          <w:p>
            <w:pPr>
              <w:spacing w:before="0" w:after="0" w:line="240" w:lineRule="auto"/>
            </w:pPr>
            <w:r>
              <w:rPr>
                <w:b/>
                <w:sz w:val="18"/>
                <w:szCs w:val="18"/>
              </w:rPr>
              <w:t xml:space="preserve">Bands chosen</w:t>
            </w:r>
          </w:p>
        </w:tc>
        <w:tc>
          <w:tcPr>
            <w:tcW w:w="1700" w:type="dxa"/>
            <w:shd w:val="clear" w:color="auto" w:fill="E0E7FF"/>
          </w:tcPr>
          <w:p>
            <w:pPr>
              <w:spacing w:before="0" w:after="0" w:line="240" w:lineRule="auto"/>
            </w:pPr>
            <w:r>
              <w:rPr>
                <w:b/>
                <w:sz w:val="18"/>
                <w:szCs w:val="18"/>
              </w:rPr>
              <w:t xml:space="preserve">Test excess Sharpe</w:t>
            </w:r>
          </w:p>
        </w:tc>
        <w:tc>
          <w:tcPr>
            <w:tcW w:w="1100" w:type="dxa"/>
            <w:shd w:val="clear" w:color="auto" w:fill="E0E7FF"/>
          </w:tcPr>
          <w:p>
            <w:pPr>
              <w:spacing w:before="0" w:after="0" w:line="240" w:lineRule="auto"/>
            </w:pPr>
            <w:r>
              <w:rPr>
                <w:b/>
                <w:sz w:val="18"/>
                <w:szCs w:val="18"/>
              </w:rPr>
              <w:t xml:space="preserve">Luck bar</w:t>
            </w:r>
          </w:p>
        </w:tc>
        <w:tc>
          <w:tcPr>
            <w:tcW w:w="900" w:type="dxa"/>
            <w:shd w:val="clear" w:color="auto" w:fill="E0E7FF"/>
          </w:tcPr>
          <w:p>
            <w:pPr>
              <w:spacing w:before="0" w:after="0" w:line="240" w:lineRule="auto"/>
            </w:pPr>
            <w:r>
              <w:rPr>
                <w:b/>
                <w:sz w:val="18"/>
                <w:szCs w:val="18"/>
              </w:rPr>
              <w:t xml:space="preserve">Clears?</w:t>
            </w:r>
          </w:p>
        </w:tc>
        <w:tc>
          <w:tcPr>
            <w:tcW w:w="1400" w:type="dxa"/>
            <w:shd w:val="clear" w:color="auto" w:fill="E0E7FF"/>
          </w:tcPr>
          <w:p>
            <w:pPr>
              <w:spacing w:before="0" w:after="0" w:line="240" w:lineRule="auto"/>
            </w:pPr>
            <w:r>
              <w:rPr>
                <w:b/>
                <w:sz w:val="18"/>
                <w:szCs w:val="18"/>
              </w:rPr>
              <w:t xml:space="preserve">AUC (last 20 %)</w:t>
            </w:r>
          </w:p>
        </w:tc>
      </w:tr>
      <w:tr>
        <w:tc>
          <w:tcPr>
            <w:tcW w:w="1800" w:type="dxa"/>
          </w:tcPr>
          <w:p>
            <w:pPr>
              <w:spacing w:before="0" w:after="0" w:line="240" w:lineRule="auto"/>
            </w:pPr>
            <w:r>
              <w:rPr>
                <w:sz w:val="18"/>
                <w:szCs w:val="18"/>
              </w:rPr>
              <w:t xml:space="preserve">shipped default</w:t>
            </w:r>
          </w:p>
        </w:tc>
        <w:tc>
          <w:tcPr>
            <w:tcW w:w="1400" w:type="dxa"/>
          </w:tcPr>
          <w:p>
            <w:pPr>
              <w:spacing w:before="0" w:after="0" w:line="240" w:lineRule="auto"/>
            </w:pPr>
            <w:r>
              <w:rPr>
                <w:sz w:val="18"/>
                <w:szCs w:val="18"/>
              </w:rPr>
              <w:t xml:space="preserve">70/25</w:t>
            </w:r>
          </w:p>
        </w:tc>
        <w:tc>
          <w:tcPr>
            <w:tcW w:w="1700" w:type="dxa"/>
          </w:tcPr>
          <w:p>
            <w:pPr>
              <w:spacing w:before="0" w:after="0" w:line="240" w:lineRule="auto"/>
            </w:pPr>
            <w:r>
              <w:rPr>
                <w:sz w:val="18"/>
                <w:szCs w:val="18"/>
              </w:rPr>
              <w:t xml:space="preserve">-0.02</w:t>
            </w:r>
          </w:p>
        </w:tc>
        <w:tc>
          <w:tcPr>
            <w:tcW w:w="1100" w:type="dxa"/>
          </w:tcPr>
          <w:p>
            <w:pPr>
              <w:spacing w:before="0" w:after="0" w:line="240" w:lineRule="auto"/>
            </w:pPr>
            <w:r>
              <w:rPr>
                <w:sz w:val="18"/>
                <w:szCs w:val="18"/>
              </w:rPr>
              <w:t xml:space="preserve">—</w:t>
            </w:r>
          </w:p>
        </w:tc>
        <w:tc>
          <w:tcPr>
            <w:tcW w:w="900" w:type="dxa"/>
          </w:tcPr>
          <w:p>
            <w:pPr>
              <w:spacing w:before="0" w:after="0" w:line="240" w:lineRule="auto"/>
            </w:pPr>
            <w:r>
              <w:rPr>
                <w:sz w:val="18"/>
                <w:szCs w:val="18"/>
              </w:rPr>
              <w:t xml:space="preserve">—</w:t>
            </w:r>
          </w:p>
        </w:tc>
        <w:tc>
          <w:tcPr>
            <w:tcW w:w="1400" w:type="dxa"/>
          </w:tcPr>
          <w:p>
            <w:pPr>
              <w:spacing w:before="0" w:after="0" w:line="240" w:lineRule="auto"/>
            </w:pPr>
            <w:r>
              <w:rPr>
                <w:sz w:val="18"/>
                <w:szCs w:val="18"/>
              </w:rPr>
              <w:t xml:space="preserve">0.481</w:t>
            </w:r>
          </w:p>
        </w:tc>
      </w:tr>
      <w:tr>
        <w:tc>
          <w:tcPr>
            <w:tcW w:w="1800" w:type="dxa"/>
          </w:tcPr>
          <w:p>
            <w:pPr>
              <w:spacing w:before="0" w:after="0" w:line="240" w:lineRule="auto"/>
            </w:pPr>
            <w:r>
              <w:rPr>
                <w:sz w:val="18"/>
                <w:szCs w:val="18"/>
              </w:rPr>
              <w:t xml:space="preserve">built-in 70 %</w:t>
            </w:r>
          </w:p>
        </w:tc>
        <w:tc>
          <w:tcPr>
            <w:tcW w:w="1400" w:type="dxa"/>
          </w:tcPr>
          <w:p>
            <w:pPr>
              <w:spacing w:before="0" w:after="0" w:line="240" w:lineRule="auto"/>
            </w:pPr>
            <w:r>
              <w:rPr>
                <w:sz w:val="18"/>
                <w:szCs w:val="18"/>
              </w:rPr>
              <w:t xml:space="preserve">72.5/35</w:t>
            </w:r>
          </w:p>
        </w:tc>
        <w:tc>
          <w:tcPr>
            <w:tcW w:w="1700" w:type="dxa"/>
          </w:tcPr>
          <w:p>
            <w:pPr>
              <w:spacing w:before="0" w:after="0" w:line="240" w:lineRule="auto"/>
            </w:pPr>
            <w:r>
              <w:rPr>
                <w:sz w:val="18"/>
                <w:szCs w:val="18"/>
              </w:rPr>
              <w:t xml:space="preserve">-0.17</w:t>
            </w:r>
          </w:p>
        </w:tc>
        <w:tc>
          <w:tcPr>
            <w:tcW w:w="1100" w:type="dxa"/>
          </w:tcPr>
          <w:p>
            <w:pPr>
              <w:spacing w:before="0" w:after="0" w:line="240" w:lineRule="auto"/>
            </w:pPr>
            <w:r>
              <w:rPr>
                <w:sz w:val="18"/>
                <w:szCs w:val="18"/>
              </w:rPr>
              <w:t xml:space="preserve">0.59</w:t>
            </w:r>
          </w:p>
        </w:tc>
        <w:tc>
          <w:tcPr>
            <w:tcW w:w="900" w:type="dxa"/>
          </w:tcPr>
          <w:p>
            <w:pPr>
              <w:spacing w:before="0" w:after="0" w:line="240" w:lineRule="auto"/>
            </w:pPr>
            <w:r>
              <w:rPr>
                <w:sz w:val="18"/>
                <w:szCs w:val="18"/>
              </w:rPr>
              <w:t xml:space="preserve">no</w:t>
            </w:r>
          </w:p>
        </w:tc>
        <w:tc>
          <w:tcPr>
            <w:tcW w:w="1400" w:type="dxa"/>
          </w:tcPr>
          <w:p>
            <w:pPr>
              <w:spacing w:before="0" w:after="0" w:line="240" w:lineRule="auto"/>
            </w:pPr>
            <w:r>
              <w:rPr>
                <w:sz w:val="18"/>
                <w:szCs w:val="18"/>
              </w:rPr>
              <w:t xml:space="preserve">0.534</w:t>
            </w:r>
          </w:p>
        </w:tc>
      </w:tr>
      <w:tr>
        <w:tc>
          <w:tcPr>
            <w:tcW w:w="1800" w:type="dxa"/>
          </w:tcPr>
          <w:p>
            <w:pPr>
              <w:spacing w:before="0" w:after="0" w:line="240" w:lineRule="auto"/>
            </w:pPr>
            <w:r>
              <w:rPr>
                <w:sz w:val="18"/>
                <w:szCs w:val="18"/>
              </w:rPr>
              <w:t xml:space="preserve">catalogue 60 %</w:t>
            </w:r>
          </w:p>
        </w:tc>
        <w:tc>
          <w:tcPr>
            <w:tcW w:w="1400" w:type="dxa"/>
          </w:tcPr>
          <w:p>
            <w:pPr>
              <w:spacing w:before="0" w:after="0" w:line="240" w:lineRule="auto"/>
            </w:pPr>
            <w:r>
              <w:rPr>
                <w:sz w:val="18"/>
                <w:szCs w:val="18"/>
              </w:rPr>
              <w:t xml:space="preserve">75/35</w:t>
            </w:r>
          </w:p>
        </w:tc>
        <w:tc>
          <w:tcPr>
            <w:tcW w:w="1700" w:type="dxa"/>
          </w:tcPr>
          <w:p>
            <w:pPr>
              <w:spacing w:before="0" w:after="0" w:line="240" w:lineRule="auto"/>
            </w:pPr>
            <w:r>
              <w:rPr>
                <w:sz w:val="18"/>
                <w:szCs w:val="18"/>
              </w:rPr>
              <w:t xml:space="preserve">-0.10</w:t>
            </w:r>
          </w:p>
        </w:tc>
        <w:tc>
          <w:tcPr>
            <w:tcW w:w="1100" w:type="dxa"/>
          </w:tcPr>
          <w:p>
            <w:pPr>
              <w:spacing w:before="0" w:after="0" w:line="240" w:lineRule="auto"/>
            </w:pPr>
            <w:r>
              <w:rPr>
                <w:sz w:val="18"/>
                <w:szCs w:val="18"/>
              </w:rPr>
              <w:t xml:space="preserve">0.69</w:t>
            </w:r>
          </w:p>
        </w:tc>
        <w:tc>
          <w:tcPr>
            <w:tcW w:w="900" w:type="dxa"/>
          </w:tcPr>
          <w:p>
            <w:pPr>
              <w:spacing w:before="0" w:after="0" w:line="240" w:lineRule="auto"/>
            </w:pPr>
            <w:r>
              <w:rPr>
                <w:sz w:val="18"/>
                <w:szCs w:val="18"/>
              </w:rPr>
              <w:t xml:space="preserve">no</w:t>
            </w:r>
          </w:p>
        </w:tc>
        <w:tc>
          <w:tcPr>
            <w:tcW w:w="1400" w:type="dxa"/>
          </w:tcPr>
          <w:p>
            <w:pPr>
              <w:spacing w:before="0" w:after="0" w:line="240" w:lineRule="auto"/>
            </w:pPr>
            <w:r>
              <w:rPr>
                <w:sz w:val="18"/>
                <w:szCs w:val="18"/>
              </w:rPr>
              <w:t xml:space="preserve">0.495</w:t>
            </w:r>
          </w:p>
        </w:tc>
      </w:tr>
      <w:tr>
        <w:tc>
          <w:tcPr>
            <w:tcW w:w="1800" w:type="dxa"/>
          </w:tcPr>
          <w:p>
            <w:pPr>
              <w:spacing w:before="0" w:after="0" w:line="240" w:lineRule="auto"/>
            </w:pPr>
            <w:r>
              <w:rPr>
                <w:sz w:val="18"/>
                <w:szCs w:val="18"/>
              </w:rPr>
              <w:t xml:space="preserve">catalogue 70 %</w:t>
            </w:r>
          </w:p>
        </w:tc>
        <w:tc>
          <w:tcPr>
            <w:tcW w:w="1400" w:type="dxa"/>
          </w:tcPr>
          <w:p>
            <w:pPr>
              <w:spacing w:before="0" w:after="0" w:line="240" w:lineRule="auto"/>
            </w:pPr>
            <w:r>
              <w:rPr>
                <w:sz w:val="18"/>
                <w:szCs w:val="18"/>
              </w:rPr>
              <w:t xml:space="preserve">72.5/35</w:t>
            </w:r>
          </w:p>
        </w:tc>
        <w:tc>
          <w:tcPr>
            <w:tcW w:w="1700" w:type="dxa"/>
          </w:tcPr>
          <w:p>
            <w:pPr>
              <w:spacing w:before="0" w:after="0" w:line="240" w:lineRule="auto"/>
            </w:pPr>
            <w:r>
              <w:rPr>
                <w:sz w:val="18"/>
                <w:szCs w:val="18"/>
              </w:rPr>
              <w:t xml:space="preserve">-0.17</w:t>
            </w:r>
          </w:p>
        </w:tc>
        <w:tc>
          <w:tcPr>
            <w:tcW w:w="1100" w:type="dxa"/>
          </w:tcPr>
          <w:p>
            <w:pPr>
              <w:spacing w:before="0" w:after="0" w:line="240" w:lineRule="auto"/>
            </w:pPr>
            <w:r>
              <w:rPr>
                <w:sz w:val="18"/>
                <w:szCs w:val="18"/>
              </w:rPr>
              <w:t xml:space="preserve">0.60</w:t>
            </w:r>
          </w:p>
        </w:tc>
        <w:tc>
          <w:tcPr>
            <w:tcW w:w="900" w:type="dxa"/>
          </w:tcPr>
          <w:p>
            <w:pPr>
              <w:spacing w:before="0" w:after="0" w:line="240" w:lineRule="auto"/>
            </w:pPr>
            <w:r>
              <w:rPr>
                <w:sz w:val="18"/>
                <w:szCs w:val="18"/>
              </w:rPr>
              <w:t xml:space="preserve">no</w:t>
            </w:r>
          </w:p>
        </w:tc>
        <w:tc>
          <w:tcPr>
            <w:tcW w:w="1400" w:type="dxa"/>
          </w:tcPr>
          <w:p>
            <w:pPr>
              <w:spacing w:before="0" w:after="0" w:line="240" w:lineRule="auto"/>
            </w:pPr>
            <w:r>
              <w:rPr>
                <w:sz w:val="18"/>
                <w:szCs w:val="18"/>
              </w:rPr>
              <w:t xml:space="preserve">0.534</w:t>
            </w:r>
          </w:p>
        </w:tc>
      </w:tr>
      <w:tr>
        <w:tc>
          <w:tcPr>
            <w:tcW w:w="1800" w:type="dxa"/>
          </w:tcPr>
          <w:p>
            <w:pPr>
              <w:spacing w:before="0" w:after="0" w:line="240" w:lineRule="auto"/>
            </w:pPr>
            <w:r>
              <w:rPr>
                <w:sz w:val="18"/>
                <w:szCs w:val="18"/>
              </w:rPr>
              <w:t xml:space="preserve">catalogue 80 %</w:t>
            </w:r>
          </w:p>
        </w:tc>
        <w:tc>
          <w:tcPr>
            <w:tcW w:w="1400" w:type="dxa"/>
          </w:tcPr>
          <w:p>
            <w:pPr>
              <w:spacing w:before="0" w:after="0" w:line="240" w:lineRule="auto"/>
            </w:pPr>
            <w:r>
              <w:rPr>
                <w:sz w:val="18"/>
                <w:szCs w:val="18"/>
              </w:rPr>
              <w:t xml:space="preserve">75/40</w:t>
            </w:r>
          </w:p>
        </w:tc>
        <w:tc>
          <w:tcPr>
            <w:tcW w:w="1700" w:type="dxa"/>
          </w:tcPr>
          <w:p>
            <w:pPr>
              <w:spacing w:before="0" w:after="0" w:line="240" w:lineRule="auto"/>
            </w:pPr>
            <w:r>
              <w:rPr>
                <w:sz w:val="18"/>
                <w:szCs w:val="18"/>
              </w:rPr>
              <w:t xml:space="preserve">-0.23</w:t>
            </w:r>
          </w:p>
        </w:tc>
        <w:tc>
          <w:tcPr>
            <w:tcW w:w="1100" w:type="dxa"/>
          </w:tcPr>
          <w:p>
            <w:pPr>
              <w:spacing w:before="0" w:after="0" w:line="240" w:lineRule="auto"/>
            </w:pPr>
            <w:r>
              <w:rPr>
                <w:sz w:val="18"/>
                <w:szCs w:val="18"/>
              </w:rPr>
              <w:t xml:space="preserve">0.53</w:t>
            </w:r>
          </w:p>
        </w:tc>
        <w:tc>
          <w:tcPr>
            <w:tcW w:w="900" w:type="dxa"/>
          </w:tcPr>
          <w:p>
            <w:pPr>
              <w:spacing w:before="0" w:after="0" w:line="240" w:lineRule="auto"/>
            </w:pPr>
            <w:r>
              <w:rPr>
                <w:sz w:val="18"/>
                <w:szCs w:val="18"/>
              </w:rPr>
              <w:t xml:space="preserve">no</w:t>
            </w:r>
          </w:p>
        </w:tc>
        <w:tc>
          <w:tcPr>
            <w:tcW w:w="1400" w:type="dxa"/>
          </w:tcPr>
          <w:p>
            <w:pPr>
              <w:spacing w:before="0" w:after="0" w:line="240" w:lineRule="auto"/>
            </w:pPr>
            <w:r>
              <w:rPr>
                <w:sz w:val="18"/>
                <w:szCs w:val="18"/>
              </w:rPr>
              <w:t xml:space="preserve">0.440</w:t>
            </w:r>
          </w:p>
        </w:tc>
      </w:tr>
    </w:tbl>
    <w:p>
      <w:pPr>
        <w:spacing w:before="0" w:after="80" w:line="264" w:lineRule="auto"/>
      </w:pPr>
      <w:r>
        <w:rPr/>
        <w:t xml:space="preserve"/>
      </w:r>
    </w:p>
    <w:p>
      <w:pPr>
        <w:spacing w:before="0" w:after="100" w:line="264" w:lineRule="auto"/>
      </w:pPr>
      <w:r>
        <w:rPr/>
        <w:t xml:space="preserve">The catalogue-80 map shows the trap clearly: it had the LOWEST loss rate on the last 20 % (53.5 % vs 54.9 %) while its AUC was 0.440 — worse than chance. It lost fewer trades by trading a different set of names, not by recognising losers. Per-symbol AUC at the 0.55 cut was held by 6-11 of 26 names depending on the map, near the ~30 % a 0.55 cut gives by chance; only AMZN, MSTR, QQQ and WMT cleared it on every map that could judge them, and those maps are near-identical — one replicated measurement, not four independent ones.</w:t>
      </w:r>
    </w:p>
    <w:p>
      <w:pPr>
        <w:spacing w:before="0" w:after="80" w:line="264" w:lineRule="auto"/>
      </w:pPr>
      <w:r>
        <w:rPr>
          <w:b/>
          <w:sz w:val="22"/>
          <w:szCs w:val="22"/>
        </w:rPr>
        <w:t xml:space="preserve">3.4b Leave one ticker out entirely (the hardest test)</w:t>
      </w:r>
    </w:p>
    <w:p>
      <w:pPr>
        <w:spacing w:before="0" w:after="80" w:line="264" w:lineRule="auto"/>
      </w:pPr>
      <w:r>
        <w:rPr/>
        <w:t xml:space="preserve">Train on 25 names, then trade the excluded name cold on its last 30 %. Pooled over the 8 volatile names with a usable tail (COIN is skipped — 1,390 bars, shorter than the shared split):</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1700"/>
        <w:gridCol w:w="800"/>
        <w:gridCol w:w="800"/>
        <w:gridCol w:w="1000"/>
        <w:gridCol w:w="1500"/>
        <w:gridCol w:w="1100"/>
        <w:gridCol w:w="900"/>
      </w:tblGrid>
      <w:tr>
        <w:trPr>
          <w:tblHeader/>
        </w:trPr>
        <w:tc>
          <w:tcPr>
            <w:tcW w:w="1700" w:type="dxa"/>
            <w:shd w:val="clear" w:color="auto" w:fill="E0E7FF"/>
          </w:tcPr>
          <w:p>
            <w:pPr>
              <w:spacing w:before="0" w:after="0" w:line="240" w:lineRule="auto"/>
            </w:pPr>
            <w:r>
              <w:rPr>
                <w:b/>
                <w:sz w:val="18"/>
                <w:szCs w:val="18"/>
              </w:rPr>
              <w:t xml:space="preserve">Map</w:t>
            </w:r>
          </w:p>
        </w:tc>
        <w:tc>
          <w:tcPr>
            <w:tcW w:w="800" w:type="dxa"/>
            <w:shd w:val="clear" w:color="auto" w:fill="E0E7FF"/>
          </w:tcPr>
          <w:p>
            <w:pPr>
              <w:spacing w:before="0" w:after="0" w:line="240" w:lineRule="auto"/>
            </w:pPr>
            <w:r>
              <w:rPr>
                <w:b/>
                <w:sz w:val="18"/>
                <w:szCs w:val="18"/>
              </w:rPr>
              <w:t xml:space="preserve">Names</w:t>
            </w:r>
          </w:p>
        </w:tc>
        <w:tc>
          <w:tcPr>
            <w:tcW w:w="800" w:type="dxa"/>
            <w:shd w:val="clear" w:color="auto" w:fill="E0E7FF"/>
          </w:tcPr>
          <w:p>
            <w:pPr>
              <w:spacing w:before="0" w:after="0" w:line="240" w:lineRule="auto"/>
            </w:pPr>
            <w:r>
              <w:rPr>
                <w:b/>
                <w:sz w:val="18"/>
                <w:szCs w:val="18"/>
              </w:rPr>
              <w:t xml:space="preserve">Trades</w:t>
            </w:r>
          </w:p>
        </w:tc>
        <w:tc>
          <w:tcPr>
            <w:tcW w:w="1000" w:type="dxa"/>
            <w:shd w:val="clear" w:color="auto" w:fill="E0E7FF"/>
          </w:tcPr>
          <w:p>
            <w:pPr>
              <w:spacing w:before="0" w:after="0" w:line="240" w:lineRule="auto"/>
            </w:pPr>
            <w:r>
              <w:rPr>
                <w:b/>
                <w:sz w:val="18"/>
                <w:szCs w:val="18"/>
              </w:rPr>
              <w:t xml:space="preserve">Loss rate</w:t>
            </w:r>
          </w:p>
        </w:tc>
        <w:tc>
          <w:tcPr>
            <w:tcW w:w="1500" w:type="dxa"/>
            <w:shd w:val="clear" w:color="auto" w:fill="E0E7FF"/>
          </w:tcPr>
          <w:p>
            <w:pPr>
              <w:spacing w:before="0" w:after="0" w:line="240" w:lineRule="auto"/>
            </w:pPr>
            <w:r>
              <w:rPr>
                <w:b/>
                <w:sz w:val="18"/>
                <w:szCs w:val="18"/>
              </w:rPr>
              <w:t xml:space="preserve">Excess Sharpe</w:t>
            </w:r>
          </w:p>
        </w:tc>
        <w:tc>
          <w:tcPr>
            <w:tcW w:w="1100" w:type="dxa"/>
            <w:shd w:val="clear" w:color="auto" w:fill="E0E7FF"/>
          </w:tcPr>
          <w:p>
            <w:pPr>
              <w:spacing w:before="0" w:after="0" w:line="240" w:lineRule="auto"/>
            </w:pPr>
            <w:r>
              <w:rPr>
                <w:b/>
                <w:sz w:val="18"/>
                <w:szCs w:val="18"/>
              </w:rPr>
              <w:t xml:space="preserve">Entry gap</w:t>
            </w:r>
          </w:p>
        </w:tc>
        <w:tc>
          <w:tcPr>
            <w:tcW w:w="900" w:type="dxa"/>
            <w:shd w:val="clear" w:color="auto" w:fill="E0E7FF"/>
          </w:tcPr>
          <w:p>
            <w:pPr>
              <w:spacing w:before="0" w:after="0" w:line="240" w:lineRule="auto"/>
            </w:pPr>
            <w:r>
              <w:rPr>
                <w:b/>
                <w:sz w:val="18"/>
                <w:szCs w:val="18"/>
              </w:rPr>
              <w:t xml:space="preserve">AUC</w:t>
            </w:r>
          </w:p>
        </w:tc>
      </w:tr>
      <w:tr>
        <w:tc>
          <w:tcPr>
            <w:tcW w:w="1700" w:type="dxa"/>
          </w:tcPr>
          <w:p>
            <w:pPr>
              <w:spacing w:before="0" w:after="0" w:line="240" w:lineRule="auto"/>
            </w:pPr>
            <w:r>
              <w:rPr>
                <w:sz w:val="18"/>
                <w:szCs w:val="18"/>
              </w:rPr>
              <w:t xml:space="preserve">prior (70/25)</w:t>
            </w:r>
          </w:p>
        </w:tc>
        <w:tc>
          <w:tcPr>
            <w:tcW w:w="800" w:type="dxa"/>
          </w:tcPr>
          <w:p>
            <w:pPr>
              <w:spacing w:before="0" w:after="0" w:line="240" w:lineRule="auto"/>
            </w:pPr>
            <w:r>
              <w:rPr>
                <w:sz w:val="18"/>
                <w:szCs w:val="18"/>
              </w:rPr>
              <w:t xml:space="preserve">8</w:t>
            </w:r>
          </w:p>
        </w:tc>
        <w:tc>
          <w:tcPr>
            <w:tcW w:w="800" w:type="dxa"/>
          </w:tcPr>
          <w:p>
            <w:pPr>
              <w:spacing w:before="0" w:after="0" w:line="240" w:lineRule="auto"/>
            </w:pPr>
            <w:r>
              <w:rPr>
                <w:sz w:val="18"/>
                <w:szCs w:val="18"/>
              </w:rPr>
              <w:t xml:space="preserve">5</w:t>
            </w:r>
          </w:p>
        </w:tc>
        <w:tc>
          <w:tcPr>
            <w:tcW w:w="1000" w:type="dxa"/>
          </w:tcPr>
          <w:p>
            <w:pPr>
              <w:spacing w:before="0" w:after="0" w:line="240" w:lineRule="auto"/>
            </w:pPr>
            <w:r>
              <w:rPr>
                <w:sz w:val="18"/>
                <w:szCs w:val="18"/>
              </w:rPr>
              <w:t xml:space="preserve">20.0%</w:t>
            </w:r>
          </w:p>
        </w:tc>
        <w:tc>
          <w:tcPr>
            <w:tcW w:w="1500" w:type="dxa"/>
          </w:tcPr>
          <w:p>
            <w:pPr>
              <w:spacing w:before="0" w:after="0" w:line="240" w:lineRule="auto"/>
            </w:pPr>
            <w:r>
              <w:rPr>
                <w:sz w:val="18"/>
                <w:szCs w:val="18"/>
              </w:rPr>
              <w:t xml:space="preserve">-0.05</w:t>
            </w:r>
          </w:p>
        </w:tc>
        <w:tc>
          <w:tcPr>
            <w:tcW w:w="1100" w:type="dxa"/>
          </w:tcPr>
          <w:p>
            <w:pPr>
              <w:spacing w:before="0" w:after="0" w:line="240" w:lineRule="auto"/>
            </w:pPr>
            <w:r>
              <w:rPr>
                <w:sz w:val="18"/>
                <w:szCs w:val="18"/>
              </w:rPr>
              <w:t xml:space="preserve">+2.47</w:t>
            </w:r>
          </w:p>
        </w:tc>
        <w:tc>
          <w:tcPr>
            <w:tcW w:w="900" w:type="dxa"/>
          </w:tcPr>
          <w:p>
            <w:pPr>
              <w:spacing w:before="0" w:after="0" w:line="240" w:lineRule="auto"/>
            </w:pPr>
            <w:r>
              <w:rPr>
                <w:sz w:val="18"/>
                <w:szCs w:val="18"/>
              </w:rPr>
              <w:t xml:space="preserve">1.000</w:t>
            </w:r>
          </w:p>
        </w:tc>
      </w:tr>
      <w:tr>
        <w:tc>
          <w:tcPr>
            <w:tcW w:w="1700" w:type="dxa"/>
          </w:tcPr>
          <w:p>
            <w:pPr>
              <w:spacing w:before="0" w:after="0" w:line="240" w:lineRule="auto"/>
            </w:pPr>
            <w:r>
              <w:rPr>
                <w:sz w:val="18"/>
                <w:szCs w:val="18"/>
              </w:rPr>
              <w:t xml:space="preserve">weights-only</w:t>
            </w:r>
          </w:p>
        </w:tc>
        <w:tc>
          <w:tcPr>
            <w:tcW w:w="800" w:type="dxa"/>
          </w:tcPr>
          <w:p>
            <w:pPr>
              <w:spacing w:before="0" w:after="0" w:line="240" w:lineRule="auto"/>
            </w:pPr>
            <w:r>
              <w:rPr>
                <w:sz w:val="18"/>
                <w:szCs w:val="18"/>
              </w:rPr>
              <w:t xml:space="preserve">8</w:t>
            </w:r>
          </w:p>
        </w:tc>
        <w:tc>
          <w:tcPr>
            <w:tcW w:w="800" w:type="dxa"/>
          </w:tcPr>
          <w:p>
            <w:pPr>
              <w:spacing w:before="0" w:after="0" w:line="240" w:lineRule="auto"/>
            </w:pPr>
            <w:r>
              <w:rPr>
                <w:sz w:val="18"/>
                <w:szCs w:val="18"/>
              </w:rPr>
              <w:t xml:space="preserve">9</w:t>
            </w:r>
          </w:p>
        </w:tc>
        <w:tc>
          <w:tcPr>
            <w:tcW w:w="1000" w:type="dxa"/>
          </w:tcPr>
          <w:p>
            <w:pPr>
              <w:spacing w:before="0" w:after="0" w:line="240" w:lineRule="auto"/>
            </w:pPr>
            <w:r>
              <w:rPr>
                <w:sz w:val="18"/>
                <w:szCs w:val="18"/>
              </w:rPr>
              <w:t xml:space="preserve">44.4%</w:t>
            </w:r>
          </w:p>
        </w:tc>
        <w:tc>
          <w:tcPr>
            <w:tcW w:w="1500" w:type="dxa"/>
          </w:tcPr>
          <w:p>
            <w:pPr>
              <w:spacing w:before="0" w:after="0" w:line="240" w:lineRule="auto"/>
            </w:pPr>
            <w:r>
              <w:rPr>
                <w:sz w:val="18"/>
                <w:szCs w:val="18"/>
              </w:rPr>
              <w:t xml:space="preserve">-0.08</w:t>
            </w:r>
          </w:p>
        </w:tc>
        <w:tc>
          <w:tcPr>
            <w:tcW w:w="1100" w:type="dxa"/>
          </w:tcPr>
          <w:p>
            <w:pPr>
              <w:spacing w:before="0" w:after="0" w:line="240" w:lineRule="auto"/>
            </w:pPr>
            <w:r>
              <w:rPr>
                <w:sz w:val="18"/>
                <w:szCs w:val="18"/>
              </w:rPr>
              <w:t xml:space="preserve">+1.31</w:t>
            </w:r>
          </w:p>
        </w:tc>
        <w:tc>
          <w:tcPr>
            <w:tcW w:w="900" w:type="dxa"/>
          </w:tcPr>
          <w:p>
            <w:pPr>
              <w:spacing w:before="0" w:after="0" w:line="240" w:lineRule="auto"/>
            </w:pPr>
            <w:r>
              <w:rPr>
                <w:sz w:val="18"/>
                <w:szCs w:val="18"/>
              </w:rPr>
              <w:t xml:space="preserve">0.600</w:t>
            </w:r>
          </w:p>
        </w:tc>
      </w:tr>
      <w:tr>
        <w:tc>
          <w:tcPr>
            <w:tcW w:w="1700" w:type="dxa"/>
          </w:tcPr>
          <w:p>
            <w:pPr>
              <w:spacing w:before="0" w:after="0" w:line="240" w:lineRule="auto"/>
            </w:pPr>
            <w:r>
              <w:rPr>
                <w:sz w:val="18"/>
                <w:szCs w:val="18"/>
              </w:rPr>
              <w:t xml:space="preserve">tuned</w:t>
            </w:r>
          </w:p>
        </w:tc>
        <w:tc>
          <w:tcPr>
            <w:tcW w:w="800" w:type="dxa"/>
          </w:tcPr>
          <w:p>
            <w:pPr>
              <w:spacing w:before="0" w:after="0" w:line="240" w:lineRule="auto"/>
            </w:pPr>
            <w:r>
              <w:rPr>
                <w:sz w:val="18"/>
                <w:szCs w:val="18"/>
              </w:rPr>
              <w:t xml:space="preserve">8</w:t>
            </w:r>
          </w:p>
        </w:tc>
        <w:tc>
          <w:tcPr>
            <w:tcW w:w="800" w:type="dxa"/>
          </w:tcPr>
          <w:p>
            <w:pPr>
              <w:spacing w:before="0" w:after="0" w:line="240" w:lineRule="auto"/>
            </w:pPr>
            <w:r>
              <w:rPr>
                <w:sz w:val="18"/>
                <w:szCs w:val="18"/>
              </w:rPr>
              <w:t xml:space="preserve">82</w:t>
            </w:r>
          </w:p>
        </w:tc>
        <w:tc>
          <w:tcPr>
            <w:tcW w:w="1000" w:type="dxa"/>
          </w:tcPr>
          <w:p>
            <w:pPr>
              <w:spacing w:before="0" w:after="0" w:line="240" w:lineRule="auto"/>
            </w:pPr>
            <w:r>
              <w:rPr>
                <w:sz w:val="18"/>
                <w:szCs w:val="18"/>
              </w:rPr>
              <w:t xml:space="preserve">68.3%</w:t>
            </w:r>
          </w:p>
        </w:tc>
        <w:tc>
          <w:tcPr>
            <w:tcW w:w="1500" w:type="dxa"/>
          </w:tcPr>
          <w:p>
            <w:pPr>
              <w:spacing w:before="0" w:after="0" w:line="240" w:lineRule="auto"/>
            </w:pPr>
            <w:r>
              <w:rPr>
                <w:sz w:val="18"/>
                <w:szCs w:val="18"/>
              </w:rPr>
              <w:t xml:space="preserve">-0.10</w:t>
            </w:r>
          </w:p>
        </w:tc>
        <w:tc>
          <w:tcPr>
            <w:tcW w:w="1100" w:type="dxa"/>
          </w:tcPr>
          <w:p>
            <w:pPr>
              <w:spacing w:before="0" w:after="0" w:line="240" w:lineRule="auto"/>
            </w:pPr>
            <w:r>
              <w:rPr>
                <w:sz w:val="18"/>
                <w:szCs w:val="18"/>
              </w:rPr>
              <w:t xml:space="preserve">+0.91</w:t>
            </w:r>
          </w:p>
        </w:tc>
        <w:tc>
          <w:tcPr>
            <w:tcW w:w="900" w:type="dxa"/>
          </w:tcPr>
          <w:p>
            <w:pPr>
              <w:spacing w:before="0" w:after="0" w:line="240" w:lineRule="auto"/>
            </w:pPr>
            <w:r>
              <w:rPr>
                <w:sz w:val="18"/>
                <w:szCs w:val="18"/>
              </w:rPr>
              <w:t xml:space="preserve">0.652</w:t>
            </w:r>
          </w:p>
        </w:tc>
      </w:tr>
      <w:tr>
        <w:tc>
          <w:tcPr>
            <w:tcW w:w="1700" w:type="dxa"/>
          </w:tcPr>
          <w:p>
            <w:pPr>
              <w:spacing w:before="0" w:after="0" w:line="240" w:lineRule="auto"/>
            </w:pPr>
            <w:r>
              <w:rPr>
                <w:sz w:val="18"/>
                <w:szCs w:val="18"/>
              </w:rPr>
              <w:t xml:space="preserve">self-trained</w:t>
            </w:r>
          </w:p>
        </w:tc>
        <w:tc>
          <w:tcPr>
            <w:tcW w:w="800" w:type="dxa"/>
          </w:tcPr>
          <w:p>
            <w:pPr>
              <w:spacing w:before="0" w:after="0" w:line="240" w:lineRule="auto"/>
            </w:pPr>
            <w:r>
              <w:rPr>
                <w:sz w:val="18"/>
                <w:szCs w:val="18"/>
              </w:rPr>
              <w:t xml:space="preserve">8</w:t>
            </w:r>
          </w:p>
        </w:tc>
        <w:tc>
          <w:tcPr>
            <w:tcW w:w="800" w:type="dxa"/>
          </w:tcPr>
          <w:p>
            <w:pPr>
              <w:spacing w:before="0" w:after="0" w:line="240" w:lineRule="auto"/>
            </w:pPr>
            <w:r>
              <w:rPr>
                <w:sz w:val="18"/>
                <w:szCs w:val="18"/>
              </w:rPr>
              <w:t xml:space="preserve">88</w:t>
            </w:r>
          </w:p>
        </w:tc>
        <w:tc>
          <w:tcPr>
            <w:tcW w:w="1000" w:type="dxa"/>
          </w:tcPr>
          <w:p>
            <w:pPr>
              <w:spacing w:before="0" w:after="0" w:line="240" w:lineRule="auto"/>
            </w:pPr>
            <w:r>
              <w:rPr>
                <w:sz w:val="18"/>
                <w:szCs w:val="18"/>
              </w:rPr>
              <w:t xml:space="preserve">62.5%</w:t>
            </w:r>
          </w:p>
        </w:tc>
        <w:tc>
          <w:tcPr>
            <w:tcW w:w="1500" w:type="dxa"/>
          </w:tcPr>
          <w:p>
            <w:pPr>
              <w:spacing w:before="0" w:after="0" w:line="240" w:lineRule="auto"/>
            </w:pPr>
            <w:r>
              <w:rPr>
                <w:sz w:val="18"/>
                <w:szCs w:val="18"/>
              </w:rPr>
              <w:t xml:space="preserve">-0.13</w:t>
            </w:r>
          </w:p>
        </w:tc>
        <w:tc>
          <w:tcPr>
            <w:tcW w:w="1100" w:type="dxa"/>
          </w:tcPr>
          <w:p>
            <w:pPr>
              <w:spacing w:before="0" w:after="0" w:line="240" w:lineRule="auto"/>
            </w:pPr>
            <w:r>
              <w:rPr>
                <w:sz w:val="18"/>
                <w:szCs w:val="18"/>
              </w:rPr>
              <w:t xml:space="preserve">+1.75</w:t>
            </w:r>
          </w:p>
        </w:tc>
        <w:tc>
          <w:tcPr>
            <w:tcW w:w="900" w:type="dxa"/>
          </w:tcPr>
          <w:p>
            <w:pPr>
              <w:spacing w:before="0" w:after="0" w:line="240" w:lineRule="auto"/>
            </w:pPr>
            <w:r>
              <w:rPr>
                <w:sz w:val="18"/>
                <w:szCs w:val="18"/>
              </w:rPr>
              <w:t xml:space="preserve">0.581</w:t>
            </w:r>
          </w:p>
        </w:tc>
      </w:tr>
    </w:tbl>
    <w:p>
      <w:pPr>
        <w:spacing w:before="0" w:after="80" w:line="264" w:lineRule="auto"/>
      </w:pPr>
      <w:r>
        <w:rPr/>
        <w:t xml:space="preserve"/>
      </w:r>
    </w:p>
    <w:p>
      <w:pPr>
        <w:spacing w:before="0" w:after="100" w:line="264" w:lineRule="auto"/>
      </w:pPr>
      <w:r>
        <w:rPr/>
        <w:t xml:space="preserve">Tuned weights beat the prior's excess Sharpe on 3 of 8 names (median -0.04); weights-only on 0 of 8; a map fitted to the excluded ticker's OWN first 70 % on only 1 of 8. The tuned maps' much higher loss rates arrive with 16x the trades — exposure again, not selection. The prior's AUC of 1.000 rests on 5 trades and proves nothing. Failure to generalise is the composite's, not the training protocol's.</w:t>
      </w:r>
    </w:p>
    <w:p>
      <w:pPr>
        <w:keepNext/>
        <w:spacing w:before="260" w:after="100"/>
        <w:outlineLvl w:val="1"/>
      </w:pPr>
      <w:r>
        <w:rPr>
          <w:b/>
          <w:sz w:val="24"/>
          <w:szCs w:val="24"/>
          <w:color w:val="111827"/>
        </w:rPr>
        <w:t xml:space="preserve">3.5 Gates change how often the rule trades, not how often it loses</w:t>
      </w:r>
    </w:p>
    <w:p>
      <w:pPr>
        <w:spacing w:before="0" w:after="100" w:line="264" w:lineRule="auto"/>
      </w:pPr>
      <w:r>
        <w:rPr/>
        <w:t xml:space="preserve">At 55/45, where losses are measurable: confirm-5 moved the loss rate 58.4 % → 58.5 % and trade count 1,359 → 1,276; the trend-200 gate produced 56.5 % (its best) with 36 % fewer trades and a LOWER Sharpe (0.54); confirm-5 + 3×ATR trail reached 55.9 % with 1,293 trades and Sharpe 0.30. At 70/25 there are too few decisions to distinguish any gate.</w:t>
      </w:r>
    </w:p>
    <w:p>
      <w:pPr>
        <w:keepNext/>
        <w:spacing w:before="260" w:after="100"/>
        <w:outlineLvl w:val="1"/>
      </w:pPr>
      <w:r>
        <w:rPr>
          <w:b/>
          <w:sz w:val="24"/>
          <w:szCs w:val="24"/>
          <w:color w:val="111827"/>
        </w:rPr>
        <w:t xml:space="preserve">3.6 Measurement-side causes that also produce 'lost' trades</w:t>
      </w:r>
    </w:p>
    <w:p>
      <w:pPr>
        <w:spacing w:before="0" w:after="60" w:line="264" w:lineRule="auto"/>
        <w:ind w:left="340" w:hanging="220"/>
      </w:pPr>
      <w:r>
        <w:rPr/>
        <w:t xml:space="preserve">•  Survivorship: the cached universe is names that still exist and were chosen with hindsight. Delisted losers are absent, so every loss rate here is optimistic, not pessimistic.</w:t>
      </w:r>
    </w:p>
    <w:p>
      <w:pPr>
        <w:spacing w:before="0" w:after="60" w:line="264" w:lineRule="auto"/>
        <w:ind w:left="340" w:hanging="220"/>
      </w:pPr>
      <w:r>
        <w:rPr/>
        <w:t xml:space="preserve">•  A single regime: 2006-2026 is mostly a bull market with two sharp drawdowns (2008, 2022). The rule's behaviour in a long bear is represented by a few dozen trades at most.</w:t>
      </w:r>
    </w:p>
    <w:p>
      <w:pPr>
        <w:spacing w:before="0" w:after="60" w:line="264" w:lineRule="auto"/>
        <w:ind w:left="340" w:hanging="220"/>
      </w:pPr>
      <w:r>
        <w:rPr/>
        <w:t xml:space="preserve">•  Price basis: until this pass, a cache written before price_meta.source existed (basis NULL) was extended with Yahoo's adjusted prices instead of replaced — a silent seam of mixed bases that every indicator would inherit. Fixed and covered by tests/basis-guard.test.ts.</w:t>
      </w:r>
    </w:p>
    <w:p>
      <w:pPr>
        <w:spacing w:before="0" w:after="60" w:line="264" w:lineRule="auto"/>
        <w:ind w:left="340" w:hanging="220"/>
      </w:pPr>
      <w:r>
        <w:rPr/>
        <w:t xml:space="preserve">•  Overlapping observations: per-symbol AUC pools overlapping 20-day forward windows, so its effective sample is far smaller than the trade count suggests.</w:t>
      </w:r>
    </w:p>
    <w:p>
      <w:pPr>
        <w:spacing w:before="0" w:after="60" w:line="264" w:lineRule="auto"/>
        <w:ind w:left="340" w:hanging="220"/>
      </w:pPr>
      <w:r>
        <w:rPr/>
        <w:t xml:space="preserve">•  Fills are modelled at the next bar's open with constant bps costs; no partial fills, no gap slippage beyond that, no borrow or tax.</w:t>
      </w:r>
    </w:p>
    <w:p>
      <w:pPr>
        <w:keepNext/>
        <w:spacing w:before="360" w:after="140"/>
        <w:outlineLvl w:val="0"/>
        <w:pBdr>
          <w:bottom w:val="single" w:sz="6" w:space="2" w:color="C7D2FE"/>
        </w:pBdr>
      </w:pPr>
      <w:r>
        <w:rPr>
          <w:b/>
          <w:sz w:val="30"/>
          <w:szCs w:val="30"/>
          <w:color w:val="1E3A8A"/>
        </w:rPr>
        <w:t xml:space="preserve">3.7 The exit and the smoothing were swept too</w:t>
      </w:r>
    </w:p>
    <w:p>
      <w:pPr>
        <w:spacing w:before="0" w:after="100" w:line="264" w:lineRule="auto"/>
      </w:pPr>
      <w:r>
        <w:rPr/>
        <w:t xml:space="preserve">The earlier sweeps held two inputs fixed: the smoothing window and the exit band. A new harness (npm run test:exit) varied them over the same 26 names, costs and windows — five smoothing windows (1/3/5/10/20 days) × seven exit levels at entry 70, plus five exits at entry 55.</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2100"/>
        <w:gridCol w:w="1100"/>
        <w:gridCol w:w="1100"/>
        <w:gridCol w:w="1500"/>
        <w:gridCol w:w="1200"/>
        <w:gridCol w:w="1200"/>
      </w:tblGrid>
      <w:tr>
        <w:trPr>
          <w:tblHeader/>
        </w:trPr>
        <w:tc>
          <w:tcPr>
            <w:tcW w:w="2100" w:type="dxa"/>
            <w:shd w:val="clear" w:color="auto" w:fill="E0E7FF"/>
          </w:tcPr>
          <w:p>
            <w:pPr>
              <w:spacing w:before="0" w:after="0" w:line="240" w:lineRule="auto"/>
            </w:pPr>
            <w:r>
              <w:rPr>
                <w:b/>
                <w:sz w:val="18"/>
                <w:szCs w:val="18"/>
              </w:rPr>
              <w:t xml:space="preserve">At entry 70, exit 25</w:t>
            </w:r>
          </w:p>
        </w:tc>
        <w:tc>
          <w:tcPr>
            <w:tcW w:w="1100" w:type="dxa"/>
            <w:shd w:val="clear" w:color="auto" w:fill="E0E7FF"/>
          </w:tcPr>
          <w:p>
            <w:pPr>
              <w:spacing w:before="0" w:after="0" w:line="240" w:lineRule="auto"/>
            </w:pPr>
            <w:r>
              <w:rPr>
                <w:b/>
                <w:sz w:val="18"/>
                <w:szCs w:val="18"/>
              </w:rPr>
              <w:t xml:space="preserve">1 day</w:t>
            </w:r>
          </w:p>
        </w:tc>
        <w:tc>
          <w:tcPr>
            <w:tcW w:w="1100" w:type="dxa"/>
            <w:shd w:val="clear" w:color="auto" w:fill="E0E7FF"/>
          </w:tcPr>
          <w:p>
            <w:pPr>
              <w:spacing w:before="0" w:after="0" w:line="240" w:lineRule="auto"/>
            </w:pPr>
            <w:r>
              <w:rPr>
                <w:b/>
                <w:sz w:val="18"/>
                <w:szCs w:val="18"/>
              </w:rPr>
              <w:t xml:space="preserve">3 days</w:t>
            </w:r>
          </w:p>
        </w:tc>
        <w:tc>
          <w:tcPr>
            <w:tcW w:w="1500" w:type="dxa"/>
            <w:shd w:val="clear" w:color="auto" w:fill="E0E7FF"/>
          </w:tcPr>
          <w:p>
            <w:pPr>
              <w:spacing w:before="0" w:after="0" w:line="240" w:lineRule="auto"/>
            </w:pPr>
            <w:r>
              <w:rPr>
                <w:b/>
                <w:sz w:val="18"/>
                <w:szCs w:val="18"/>
              </w:rPr>
              <w:t xml:space="preserve">5 days (shipped)</w:t>
            </w:r>
          </w:p>
        </w:tc>
        <w:tc>
          <w:tcPr>
            <w:tcW w:w="1200" w:type="dxa"/>
            <w:shd w:val="clear" w:color="auto" w:fill="E0E7FF"/>
          </w:tcPr>
          <w:p>
            <w:pPr>
              <w:spacing w:before="0" w:after="0" w:line="240" w:lineRule="auto"/>
            </w:pPr>
            <w:r>
              <w:rPr>
                <w:b/>
                <w:sz w:val="18"/>
                <w:szCs w:val="18"/>
              </w:rPr>
              <w:t xml:space="preserve">10 days</w:t>
            </w:r>
          </w:p>
        </w:tc>
        <w:tc>
          <w:tcPr>
            <w:tcW w:w="1200" w:type="dxa"/>
            <w:shd w:val="clear" w:color="auto" w:fill="E0E7FF"/>
          </w:tcPr>
          <w:p>
            <w:pPr>
              <w:spacing w:before="0" w:after="0" w:line="240" w:lineRule="auto"/>
            </w:pPr>
            <w:r>
              <w:rPr>
                <w:b/>
                <w:sz w:val="18"/>
                <w:szCs w:val="18"/>
              </w:rPr>
              <w:t xml:space="preserve">20 days</w:t>
            </w:r>
          </w:p>
        </w:tc>
      </w:tr>
      <w:tr>
        <w:tc>
          <w:tcPr>
            <w:tcW w:w="2100" w:type="dxa"/>
          </w:tcPr>
          <w:p>
            <w:pPr>
              <w:spacing w:before="0" w:after="0" w:line="240" w:lineRule="auto"/>
            </w:pPr>
            <w:r>
              <w:rPr>
                <w:sz w:val="18"/>
                <w:szCs w:val="18"/>
              </w:rPr>
              <w:t xml:space="preserve">Sharpe, last 40 %</w:t>
            </w:r>
          </w:p>
        </w:tc>
        <w:tc>
          <w:tcPr>
            <w:tcW w:w="1100" w:type="dxa"/>
          </w:tcPr>
          <w:p>
            <w:pPr>
              <w:spacing w:before="0" w:after="0" w:line="240" w:lineRule="auto"/>
            </w:pPr>
            <w:r>
              <w:rPr>
                <w:sz w:val="18"/>
                <w:szCs w:val="18"/>
              </w:rPr>
              <w:t xml:space="preserve">0.75</w:t>
            </w:r>
          </w:p>
        </w:tc>
        <w:tc>
          <w:tcPr>
            <w:tcW w:w="1100" w:type="dxa"/>
          </w:tcPr>
          <w:p>
            <w:pPr>
              <w:spacing w:before="0" w:after="0" w:line="240" w:lineRule="auto"/>
            </w:pPr>
            <w:r>
              <w:rPr>
                <w:sz w:val="18"/>
                <w:szCs w:val="18"/>
              </w:rPr>
              <w:t xml:space="preserve">0.75</w:t>
            </w:r>
          </w:p>
        </w:tc>
        <w:tc>
          <w:tcPr>
            <w:tcW w:w="1500" w:type="dxa"/>
          </w:tcPr>
          <w:p>
            <w:pPr>
              <w:spacing w:before="0" w:after="0" w:line="240" w:lineRule="auto"/>
            </w:pPr>
            <w:r>
              <w:rPr>
                <w:sz w:val="18"/>
                <w:szCs w:val="18"/>
              </w:rPr>
              <w:t xml:space="preserve">0.76</w:t>
            </w:r>
          </w:p>
        </w:tc>
        <w:tc>
          <w:tcPr>
            <w:tcW w:w="1200" w:type="dxa"/>
          </w:tcPr>
          <w:p>
            <w:pPr>
              <w:spacing w:before="0" w:after="0" w:line="240" w:lineRule="auto"/>
            </w:pPr>
            <w:r>
              <w:rPr>
                <w:sz w:val="18"/>
                <w:szCs w:val="18"/>
              </w:rPr>
              <w:t xml:space="preserve">0.73</w:t>
            </w:r>
          </w:p>
        </w:tc>
        <w:tc>
          <w:tcPr>
            <w:tcW w:w="1200" w:type="dxa"/>
          </w:tcPr>
          <w:p>
            <w:pPr>
              <w:spacing w:before="0" w:after="0" w:line="240" w:lineRule="auto"/>
            </w:pPr>
            <w:r>
              <w:rPr>
                <w:sz w:val="18"/>
                <w:szCs w:val="18"/>
              </w:rPr>
              <w:t xml:space="preserve">0.72</w:t>
            </w:r>
          </w:p>
        </w:tc>
      </w:tr>
      <w:tr>
        <w:tc>
          <w:tcPr>
            <w:tcW w:w="2100" w:type="dxa"/>
          </w:tcPr>
          <w:p>
            <w:pPr>
              <w:spacing w:before="0" w:after="0" w:line="240" w:lineRule="auto"/>
            </w:pPr>
            <w:r>
              <w:rPr>
                <w:sz w:val="18"/>
                <w:szCs w:val="18"/>
              </w:rPr>
              <w:t xml:space="preserve">Sharpe, last 30 %</w:t>
            </w:r>
          </w:p>
        </w:tc>
        <w:tc>
          <w:tcPr>
            <w:tcW w:w="1100" w:type="dxa"/>
          </w:tcPr>
          <w:p>
            <w:pPr>
              <w:spacing w:before="0" w:after="0" w:line="240" w:lineRule="auto"/>
            </w:pPr>
            <w:r>
              <w:rPr>
                <w:sz w:val="18"/>
                <w:szCs w:val="18"/>
              </w:rPr>
              <w:t xml:space="preserve">0.74</w:t>
            </w:r>
          </w:p>
        </w:tc>
        <w:tc>
          <w:tcPr>
            <w:tcW w:w="1100" w:type="dxa"/>
          </w:tcPr>
          <w:p>
            <w:pPr>
              <w:spacing w:before="0" w:after="0" w:line="240" w:lineRule="auto"/>
            </w:pPr>
            <w:r>
              <w:rPr>
                <w:sz w:val="18"/>
                <w:szCs w:val="18"/>
              </w:rPr>
              <w:t xml:space="preserve">0.77</w:t>
            </w:r>
          </w:p>
        </w:tc>
        <w:tc>
          <w:tcPr>
            <w:tcW w:w="1500" w:type="dxa"/>
          </w:tcPr>
          <w:p>
            <w:pPr>
              <w:spacing w:before="0" w:after="0" w:line="240" w:lineRule="auto"/>
            </w:pPr>
            <w:r>
              <w:rPr>
                <w:sz w:val="18"/>
                <w:szCs w:val="18"/>
              </w:rPr>
              <w:t xml:space="preserve">0.78</w:t>
            </w:r>
          </w:p>
        </w:tc>
        <w:tc>
          <w:tcPr>
            <w:tcW w:w="1200" w:type="dxa"/>
          </w:tcPr>
          <w:p>
            <w:pPr>
              <w:spacing w:before="0" w:after="0" w:line="240" w:lineRule="auto"/>
            </w:pPr>
            <w:r>
              <w:rPr>
                <w:sz w:val="18"/>
                <w:szCs w:val="18"/>
              </w:rPr>
              <w:t xml:space="preserve">0.74</w:t>
            </w:r>
          </w:p>
        </w:tc>
        <w:tc>
          <w:tcPr>
            <w:tcW w:w="1200" w:type="dxa"/>
          </w:tcPr>
          <w:p>
            <w:pPr>
              <w:spacing w:before="0" w:after="0" w:line="240" w:lineRule="auto"/>
            </w:pPr>
            <w:r>
              <w:rPr>
                <w:sz w:val="18"/>
                <w:szCs w:val="18"/>
              </w:rPr>
              <w:t xml:space="preserve">0.73</w:t>
            </w:r>
          </w:p>
        </w:tc>
      </w:tr>
      <w:tr>
        <w:tc>
          <w:tcPr>
            <w:tcW w:w="2100" w:type="dxa"/>
          </w:tcPr>
          <w:p>
            <w:pPr>
              <w:spacing w:before="0" w:after="0" w:line="240" w:lineRule="auto"/>
            </w:pPr>
            <w:r>
              <w:rPr>
                <w:sz w:val="18"/>
                <w:szCs w:val="18"/>
              </w:rPr>
              <w:t xml:space="preserve">Trades, full history</w:t>
            </w:r>
          </w:p>
        </w:tc>
        <w:tc>
          <w:tcPr>
            <w:tcW w:w="1100" w:type="dxa"/>
          </w:tcPr>
          <w:p>
            <w:pPr>
              <w:spacing w:before="0" w:after="0" w:line="240" w:lineRule="auto"/>
            </w:pPr>
            <w:r>
              <w:rPr>
                <w:sz w:val="18"/>
                <w:szCs w:val="18"/>
              </w:rPr>
              <w:t xml:space="preserve">88</w:t>
            </w:r>
          </w:p>
        </w:tc>
        <w:tc>
          <w:tcPr>
            <w:tcW w:w="1100" w:type="dxa"/>
          </w:tcPr>
          <w:p>
            <w:pPr>
              <w:spacing w:before="0" w:after="0" w:line="240" w:lineRule="auto"/>
            </w:pPr>
            <w:r>
              <w:rPr>
                <w:sz w:val="18"/>
                <w:szCs w:val="18"/>
              </w:rPr>
              <w:t xml:space="preserve">23</w:t>
            </w:r>
          </w:p>
        </w:tc>
        <w:tc>
          <w:tcPr>
            <w:tcW w:w="1500" w:type="dxa"/>
          </w:tcPr>
          <w:p>
            <w:pPr>
              <w:spacing w:before="0" w:after="0" w:line="240" w:lineRule="auto"/>
            </w:pPr>
            <w:r>
              <w:rPr>
                <w:sz w:val="18"/>
                <w:szCs w:val="18"/>
              </w:rPr>
              <w:t xml:space="preserve">5</w:t>
            </w:r>
          </w:p>
        </w:tc>
        <w:tc>
          <w:tcPr>
            <w:tcW w:w="1200" w:type="dxa"/>
          </w:tcPr>
          <w:p>
            <w:pPr>
              <w:spacing w:before="0" w:after="0" w:line="240" w:lineRule="auto"/>
            </w:pPr>
            <w:r>
              <w:rPr>
                <w:sz w:val="18"/>
                <w:szCs w:val="18"/>
              </w:rPr>
              <w:t xml:space="preserve">0</w:t>
            </w:r>
          </w:p>
        </w:tc>
        <w:tc>
          <w:tcPr>
            <w:tcW w:w="1200" w:type="dxa"/>
          </w:tcPr>
          <w:p>
            <w:pPr>
              <w:spacing w:before="0" w:after="0" w:line="240" w:lineRule="auto"/>
            </w:pPr>
            <w:r>
              <w:rPr>
                <w:sz w:val="18"/>
                <w:szCs w:val="18"/>
              </w:rPr>
              <w:t xml:space="preserve">0</w:t>
            </w:r>
          </w:p>
        </w:tc>
      </w:tr>
    </w:tbl>
    <w:p>
      <w:pPr>
        <w:spacing w:before="0" w:after="80" w:line="264" w:lineRule="auto"/>
      </w:pPr>
      <w:r>
        <w:rPr/>
        <w:t xml:space="preserve"/>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40" w:type="dxa"/>
          <w:bottom w:w="40" w:type="dxa"/>
          <w:left w:w="80" w:type="dxa"/>
          <w:right w:w="80" w:type="dxa"/>
        </w:tblCellMar>
      </w:tblPr>
      <w:tblGrid>
        <w:gridCol w:w="1900"/>
        <w:gridCol w:w="1100"/>
        <w:gridCol w:w="1100"/>
        <w:gridCol w:w="1100"/>
        <w:gridCol w:w="1100"/>
        <w:gridCol w:w="1100"/>
        <w:gridCol w:w="1100"/>
      </w:tblGrid>
      <w:tr>
        <w:trPr>
          <w:tblHeader/>
        </w:trPr>
        <w:tc>
          <w:tcPr>
            <w:tcW w:w="1900" w:type="dxa"/>
            <w:shd w:val="clear" w:color="auto" w:fill="E0E7FF"/>
          </w:tcPr>
          <w:p>
            <w:pPr>
              <w:spacing w:before="0" w:after="0" w:line="240" w:lineRule="auto"/>
            </w:pPr>
            <w:r>
              <w:rPr>
                <w:b/>
                <w:sz w:val="18"/>
                <w:szCs w:val="18"/>
              </w:rPr>
              <w:t xml:space="preserve">At 5-day smoothing</w:t>
            </w:r>
          </w:p>
        </w:tc>
        <w:tc>
          <w:tcPr>
            <w:tcW w:w="1100" w:type="dxa"/>
            <w:shd w:val="clear" w:color="auto" w:fill="E0E7FF"/>
          </w:tcPr>
          <w:p>
            <w:pPr>
              <w:spacing w:before="0" w:after="0" w:line="240" w:lineRule="auto"/>
            </w:pPr>
            <w:r>
              <w:rPr>
                <w:b/>
                <w:sz w:val="18"/>
                <w:szCs w:val="18"/>
              </w:rPr>
              <w:t xml:space="preserve">exit 25</w:t>
            </w:r>
          </w:p>
        </w:tc>
        <w:tc>
          <w:tcPr>
            <w:tcW w:w="1100" w:type="dxa"/>
            <w:shd w:val="clear" w:color="auto" w:fill="E0E7FF"/>
          </w:tcPr>
          <w:p>
            <w:pPr>
              <w:spacing w:before="0" w:after="0" w:line="240" w:lineRule="auto"/>
            </w:pPr>
            <w:r>
              <w:rPr>
                <w:b/>
                <w:sz w:val="18"/>
                <w:szCs w:val="18"/>
              </w:rPr>
              <w:t xml:space="preserve">exit 30</w:t>
            </w:r>
          </w:p>
        </w:tc>
        <w:tc>
          <w:tcPr>
            <w:tcW w:w="1100" w:type="dxa"/>
            <w:shd w:val="clear" w:color="auto" w:fill="E0E7FF"/>
          </w:tcPr>
          <w:p>
            <w:pPr>
              <w:spacing w:before="0" w:after="0" w:line="240" w:lineRule="auto"/>
            </w:pPr>
            <w:r>
              <w:rPr>
                <w:b/>
                <w:sz w:val="18"/>
                <w:szCs w:val="18"/>
              </w:rPr>
              <w:t xml:space="preserve">exit 35</w:t>
            </w:r>
          </w:p>
        </w:tc>
        <w:tc>
          <w:tcPr>
            <w:tcW w:w="1100" w:type="dxa"/>
            <w:shd w:val="clear" w:color="auto" w:fill="E0E7FF"/>
          </w:tcPr>
          <w:p>
            <w:pPr>
              <w:spacing w:before="0" w:after="0" w:line="240" w:lineRule="auto"/>
            </w:pPr>
            <w:r>
              <w:rPr>
                <w:b/>
                <w:sz w:val="18"/>
                <w:szCs w:val="18"/>
              </w:rPr>
              <w:t xml:space="preserve">exit 40</w:t>
            </w:r>
          </w:p>
        </w:tc>
        <w:tc>
          <w:tcPr>
            <w:tcW w:w="1100" w:type="dxa"/>
            <w:shd w:val="clear" w:color="auto" w:fill="E0E7FF"/>
          </w:tcPr>
          <w:p>
            <w:pPr>
              <w:spacing w:before="0" w:after="0" w:line="240" w:lineRule="auto"/>
            </w:pPr>
            <w:r>
              <w:rPr>
                <w:b/>
                <w:sz w:val="18"/>
                <w:szCs w:val="18"/>
              </w:rPr>
              <w:t xml:space="preserve">exit 45</w:t>
            </w:r>
          </w:p>
        </w:tc>
        <w:tc>
          <w:tcPr>
            <w:tcW w:w="1100" w:type="dxa"/>
            <w:shd w:val="clear" w:color="auto" w:fill="E0E7FF"/>
          </w:tcPr>
          <w:p>
            <w:pPr>
              <w:spacing w:before="0" w:after="0" w:line="240" w:lineRule="auto"/>
            </w:pPr>
            <w:r>
              <w:rPr>
                <w:b/>
                <w:sz w:val="18"/>
                <w:szCs w:val="18"/>
              </w:rPr>
              <w:t xml:space="preserve">exit 50</w:t>
            </w:r>
          </w:p>
        </w:tc>
      </w:tr>
      <w:tr>
        <w:tc>
          <w:tcPr>
            <w:tcW w:w="1900" w:type="dxa"/>
          </w:tcPr>
          <w:p>
            <w:pPr>
              <w:spacing w:before="0" w:after="0" w:line="240" w:lineRule="auto"/>
            </w:pPr>
            <w:r>
              <w:rPr>
                <w:sz w:val="18"/>
                <w:szCs w:val="18"/>
              </w:rPr>
              <w:t xml:space="preserve">Sharpe, last 40 %</w:t>
            </w:r>
          </w:p>
        </w:tc>
        <w:tc>
          <w:tcPr>
            <w:tcW w:w="1100" w:type="dxa"/>
          </w:tcPr>
          <w:p>
            <w:pPr>
              <w:spacing w:before="0" w:after="0" w:line="240" w:lineRule="auto"/>
            </w:pPr>
            <w:r>
              <w:rPr>
                <w:sz w:val="18"/>
                <w:szCs w:val="18"/>
              </w:rPr>
              <w:t xml:space="preserve">0.76</w:t>
            </w:r>
          </w:p>
        </w:tc>
        <w:tc>
          <w:tcPr>
            <w:tcW w:w="1100" w:type="dxa"/>
          </w:tcPr>
          <w:p>
            <w:pPr>
              <w:spacing w:before="0" w:after="0" w:line="240" w:lineRule="auto"/>
            </w:pPr>
            <w:r>
              <w:rPr>
                <w:sz w:val="18"/>
                <w:szCs w:val="18"/>
              </w:rPr>
              <w:t xml:space="preserve">0.74</w:t>
            </w:r>
          </w:p>
        </w:tc>
        <w:tc>
          <w:tcPr>
            <w:tcW w:w="1100" w:type="dxa"/>
          </w:tcPr>
          <w:p>
            <w:pPr>
              <w:spacing w:before="0" w:after="0" w:line="240" w:lineRule="auto"/>
            </w:pPr>
            <w:r>
              <w:rPr>
                <w:sz w:val="18"/>
                <w:szCs w:val="18"/>
              </w:rPr>
              <w:t xml:space="preserve">0.71</w:t>
            </w:r>
          </w:p>
        </w:tc>
        <w:tc>
          <w:tcPr>
            <w:tcW w:w="1100" w:type="dxa"/>
          </w:tcPr>
          <w:p>
            <w:pPr>
              <w:spacing w:before="0" w:after="0" w:line="240" w:lineRule="auto"/>
            </w:pPr>
            <w:r>
              <w:rPr>
                <w:sz w:val="18"/>
                <w:szCs w:val="18"/>
              </w:rPr>
              <w:t xml:space="preserve">0.67</w:t>
            </w:r>
          </w:p>
        </w:tc>
        <w:tc>
          <w:tcPr>
            <w:tcW w:w="1100" w:type="dxa"/>
          </w:tcPr>
          <w:p>
            <w:pPr>
              <w:spacing w:before="0" w:after="0" w:line="240" w:lineRule="auto"/>
            </w:pPr>
            <w:r>
              <w:rPr>
                <w:sz w:val="18"/>
                <w:szCs w:val="18"/>
              </w:rPr>
              <w:t xml:space="preserve">0.61</w:t>
            </w:r>
          </w:p>
        </w:tc>
        <w:tc>
          <w:tcPr>
            <w:tcW w:w="1100" w:type="dxa"/>
          </w:tcPr>
          <w:p>
            <w:pPr>
              <w:spacing w:before="0" w:after="0" w:line="240" w:lineRule="auto"/>
            </w:pPr>
            <w:r>
              <w:rPr>
                <w:sz w:val="18"/>
                <w:szCs w:val="18"/>
              </w:rPr>
              <w:t xml:space="preserve">0.60</w:t>
            </w:r>
          </w:p>
        </w:tc>
      </w:tr>
      <w:tr>
        <w:tc>
          <w:tcPr>
            <w:tcW w:w="1900" w:type="dxa"/>
          </w:tcPr>
          <w:p>
            <w:pPr>
              <w:spacing w:before="0" w:after="0" w:line="240" w:lineRule="auto"/>
            </w:pPr>
            <w:r>
              <w:rPr>
                <w:sz w:val="18"/>
                <w:szCs w:val="18"/>
              </w:rPr>
              <w:t xml:space="preserve">Sharpe, last 30 %</w:t>
            </w:r>
          </w:p>
        </w:tc>
        <w:tc>
          <w:tcPr>
            <w:tcW w:w="1100" w:type="dxa"/>
          </w:tcPr>
          <w:p>
            <w:pPr>
              <w:spacing w:before="0" w:after="0" w:line="240" w:lineRule="auto"/>
            </w:pPr>
            <w:r>
              <w:rPr>
                <w:sz w:val="18"/>
                <w:szCs w:val="18"/>
              </w:rPr>
              <w:t xml:space="preserve">0.78</w:t>
            </w:r>
          </w:p>
        </w:tc>
        <w:tc>
          <w:tcPr>
            <w:tcW w:w="1100" w:type="dxa"/>
          </w:tcPr>
          <w:p>
            <w:pPr>
              <w:spacing w:before="0" w:after="0" w:line="240" w:lineRule="auto"/>
            </w:pPr>
            <w:r>
              <w:rPr>
                <w:sz w:val="18"/>
                <w:szCs w:val="18"/>
              </w:rPr>
              <w:t xml:space="preserve">0.75</w:t>
            </w:r>
          </w:p>
        </w:tc>
        <w:tc>
          <w:tcPr>
            <w:tcW w:w="1100" w:type="dxa"/>
          </w:tcPr>
          <w:p>
            <w:pPr>
              <w:spacing w:before="0" w:after="0" w:line="240" w:lineRule="auto"/>
            </w:pPr>
            <w:r>
              <w:rPr>
                <w:sz w:val="18"/>
                <w:szCs w:val="18"/>
              </w:rPr>
              <w:t xml:space="preserve">0.71</w:t>
            </w:r>
          </w:p>
        </w:tc>
        <w:tc>
          <w:tcPr>
            <w:tcW w:w="1100" w:type="dxa"/>
          </w:tcPr>
          <w:p>
            <w:pPr>
              <w:spacing w:before="0" w:after="0" w:line="240" w:lineRule="auto"/>
            </w:pPr>
            <w:r>
              <w:rPr>
                <w:sz w:val="18"/>
                <w:szCs w:val="18"/>
              </w:rPr>
              <w:t xml:space="preserve">0.66</w:t>
            </w:r>
          </w:p>
        </w:tc>
        <w:tc>
          <w:tcPr>
            <w:tcW w:w="1100" w:type="dxa"/>
          </w:tcPr>
          <w:p>
            <w:pPr>
              <w:spacing w:before="0" w:after="0" w:line="240" w:lineRule="auto"/>
            </w:pPr>
            <w:r>
              <w:rPr>
                <w:sz w:val="18"/>
                <w:szCs w:val="18"/>
              </w:rPr>
              <w:t xml:space="preserve">0.58</w:t>
            </w:r>
          </w:p>
        </w:tc>
        <w:tc>
          <w:tcPr>
            <w:tcW w:w="1100" w:type="dxa"/>
          </w:tcPr>
          <w:p>
            <w:pPr>
              <w:spacing w:before="0" w:after="0" w:line="240" w:lineRule="auto"/>
            </w:pPr>
            <w:r>
              <w:rPr>
                <w:sz w:val="18"/>
                <w:szCs w:val="18"/>
              </w:rPr>
              <w:t xml:space="preserve">0.55</w:t>
            </w:r>
          </w:p>
        </w:tc>
      </w:tr>
      <w:tr>
        <w:tc>
          <w:tcPr>
            <w:tcW w:w="1900" w:type="dxa"/>
          </w:tcPr>
          <w:p>
            <w:pPr>
              <w:spacing w:before="0" w:after="0" w:line="240" w:lineRule="auto"/>
            </w:pPr>
            <w:r>
              <w:rPr>
                <w:sz w:val="18"/>
                <w:szCs w:val="18"/>
              </w:rPr>
              <w:t xml:space="preserve">Exit reached</w:t>
            </w:r>
          </w:p>
        </w:tc>
        <w:tc>
          <w:tcPr>
            <w:tcW w:w="1100" w:type="dxa"/>
          </w:tcPr>
          <w:p>
            <w:pPr>
              <w:spacing w:before="0" w:after="0" w:line="240" w:lineRule="auto"/>
            </w:pPr>
            <w:r>
              <w:rPr>
                <w:sz w:val="18"/>
                <w:szCs w:val="18"/>
              </w:rPr>
              <w:t xml:space="preserve">0.0%</w:t>
            </w:r>
          </w:p>
        </w:tc>
        <w:tc>
          <w:tcPr>
            <w:tcW w:w="1100" w:type="dxa"/>
          </w:tcPr>
          <w:p>
            <w:pPr>
              <w:spacing w:before="0" w:after="0" w:line="240" w:lineRule="auto"/>
            </w:pPr>
            <w:r>
              <w:rPr>
                <w:sz w:val="18"/>
                <w:szCs w:val="18"/>
              </w:rPr>
              <w:t xml:space="preserve">0.1%</w:t>
            </w:r>
          </w:p>
        </w:tc>
        <w:tc>
          <w:tcPr>
            <w:tcW w:w="1100" w:type="dxa"/>
          </w:tcPr>
          <w:p>
            <w:pPr>
              <w:spacing w:before="0" w:after="0" w:line="240" w:lineRule="auto"/>
            </w:pPr>
            <w:r>
              <w:rPr>
                <w:sz w:val="18"/>
                <w:szCs w:val="18"/>
              </w:rPr>
              <w:t xml:space="preserve">0.8%</w:t>
            </w:r>
          </w:p>
        </w:tc>
        <w:tc>
          <w:tcPr>
            <w:tcW w:w="1100" w:type="dxa"/>
          </w:tcPr>
          <w:p>
            <w:pPr>
              <w:spacing w:before="0" w:after="0" w:line="240" w:lineRule="auto"/>
            </w:pPr>
            <w:r>
              <w:rPr>
                <w:sz w:val="18"/>
                <w:szCs w:val="18"/>
              </w:rPr>
              <w:t xml:space="preserve">3.0%</w:t>
            </w:r>
          </w:p>
        </w:tc>
        <w:tc>
          <w:tcPr>
            <w:tcW w:w="1100" w:type="dxa"/>
          </w:tcPr>
          <w:p>
            <w:pPr>
              <w:spacing w:before="0" w:after="0" w:line="240" w:lineRule="auto"/>
            </w:pPr>
            <w:r>
              <w:rPr>
                <w:sz w:val="18"/>
                <w:szCs w:val="18"/>
              </w:rPr>
              <w:t xml:space="preserve">6.8%</w:t>
            </w:r>
          </w:p>
        </w:tc>
        <w:tc>
          <w:tcPr>
            <w:tcW w:w="1100" w:type="dxa"/>
          </w:tcPr>
          <w:p>
            <w:pPr>
              <w:spacing w:before="0" w:after="0" w:line="240" w:lineRule="auto"/>
            </w:pPr>
            <w:r>
              <w:rPr>
                <w:sz w:val="18"/>
                <w:szCs w:val="18"/>
              </w:rPr>
              <w:t xml:space="preserve">11.8%</w:t>
            </w:r>
          </w:p>
        </w:tc>
      </w:tr>
    </w:tbl>
    <w:p>
      <w:pPr>
        <w:spacing w:before="0" w:after="80" w:line="264" w:lineRule="auto"/>
      </w:pPr>
      <w:r>
        <w:rPr/>
        <w:t xml:space="preserve"/>
      </w:r>
    </w:p>
    <w:p>
      <w:pPr>
        <w:spacing w:before="0" w:after="120" w:line="264" w:lineRule="auto"/>
      </w:pPr>
      <w:r>
        <w:rPr/>
        <w:t xml:space="preserve">Smoothing 5 wins on both tails, and every exit above 25 is worse on both. The last row is the important one: at the shipped settings the exit is reached on roughly one session in a thousand — that is the whipsaw problem in one number. With ten days of smoothing the exit became unreachable entirely (zero trades), which is why a run now warns when a band never fires instead of silently reporting buy &amp; hold.</w:t>
      </w:r>
    </w:p>
    <w:p>
      <w:pPr>
        <w:keepNext/>
        <w:spacing w:before="360" w:after="140"/>
        <w:outlineLvl w:val="0"/>
        <w:pBdr>
          <w:bottom w:val="single" w:sz="6" w:space="2" w:color="C7D2FE"/>
        </w:pBdr>
      </w:pPr>
      <w:r>
        <w:rPr>
          <w:b/>
          <w:sz w:val="30"/>
          <w:szCs w:val="30"/>
          <w:color w:val="1E3A8A"/>
        </w:rPr>
        <w:t xml:space="preserve">4. What was changed in this pass</w:t>
      </w:r>
    </w:p>
    <w:p>
      <w:pPr>
        <w:spacing w:before="0" w:after="60" w:line="264" w:lineRule="auto"/>
        <w:ind w:left="340" w:hanging="220"/>
      </w:pPr>
      <w:r>
        <w:rPr/>
        <w:t xml:space="preserve">•  Price-basis guard: when the incoming provider differs from the cached one — or the cached basis is unknown (NULL) — the cache is replaced wholesale with the new source's own FULL history, not just the requested window. Previously a 1-year request could delete ten years, and an unknown basis was extended instead of replaced.</w:t>
      </w:r>
    </w:p>
    <w:p>
      <w:pPr>
        <w:spacing w:before="0" w:after="60" w:line="264" w:lineRule="auto"/>
        <w:ind w:left="340" w:hanging="220"/>
      </w:pPr>
      <w:r>
        <w:rPr/>
        <w:t xml:space="preserve">•  tests/basis-guard.test.ts: 5 tests pinning same-source extension, provider change, unknown-basis replacement and empty-cache behaviour.</w:t>
      </w:r>
    </w:p>
    <w:p>
      <w:pPr>
        <w:spacing w:before="0" w:after="60" w:line="264" w:lineRule="auto"/>
        <w:ind w:left="340" w:hanging="220"/>
      </w:pPr>
      <w:r>
        <w:rPr/>
        <w:t xml:space="preserve">•  Full-history Excel export (previous pass) re-verified over HTTP: AAPL, 7,548 sessions from 1996-10-29, all 58 indicators present in both score and raw form, blank warm-ups preserved.</w:t>
      </w:r>
    </w:p>
    <w:p>
      <w:pPr>
        <w:spacing w:before="0" w:after="60" w:line="264" w:lineRule="auto"/>
        <w:ind w:left="340" w:hanging="220"/>
      </w:pPr>
      <w:r>
        <w:rPr/>
        <w:t xml:space="preserve">•  Exit and smoothing were swept (section 3.7) and left at 5 days / 70-25: the shipped pair is the best on both held-out tails, and every stricter exit measured worse.</w:t>
      </w:r>
    </w:p>
    <w:p>
      <w:pPr>
        <w:spacing w:before="0" w:after="60" w:line="264" w:lineRule="auto"/>
        <w:ind w:left="340" w:hanging="220"/>
      </w:pPr>
      <w:r>
        <w:rPr/>
        <w:t xml:space="preserve">•  One smoothing predicate (smoothsScore) now decides which strategies read the smoothed composite. Previously the engine smoothed only mega_score while the exporter smoothed both mega strategies, so a mega_score_fast run logged the raw score on each trade beside a smoothed signal column for the same bar.</w:t>
      </w:r>
    </w:p>
    <w:p>
      <w:pPr>
        <w:spacing w:before="0" w:after="60" w:line="264" w:lineRule="auto"/>
        <w:ind w:left="340" w:hanging="220"/>
      </w:pPr>
      <w:r>
        <w:rPr/>
        <w:t xml:space="preserve">•  A dead exit is no longer silent: runStockBacktestDetailed warns when the exit band was never reached, naming the lowest smoothed score and the measured cost of raising it.</w:t>
      </w:r>
    </w:p>
    <w:p>
      <w:pPr>
        <w:spacing w:before="0" w:after="60" w:line="264" w:lineRule="auto"/>
        <w:ind w:left="340" w:hanging="220"/>
      </w:pPr>
      <w:r>
        <w:rPr/>
        <w:t xml:space="preserve">•  No indicator weights, bands or strategy defaults were changed: section 3.4 is the evidence for leaving them measured rather than hand-tuned.</w:t>
      </w:r>
    </w:p>
    <w:p>
      <w:pPr>
        <w:keepNext/>
        <w:spacing w:before="360" w:after="140"/>
        <w:outlineLvl w:val="0"/>
        <w:pBdr>
          <w:bottom w:val="single" w:sz="6" w:space="2" w:color="C7D2FE"/>
        </w:pBdr>
      </w:pPr>
      <w:r>
        <w:rPr>
          <w:b/>
          <w:sz w:val="30"/>
          <w:szCs w:val="30"/>
          <w:color w:val="1E3A8A"/>
        </w:rPr>
        <w:t xml:space="preserve">5. Limitations of this diagnosis</w:t>
      </w:r>
    </w:p>
    <w:p>
      <w:pPr>
        <w:spacing w:before="0" w:after="60" w:line="264" w:lineRule="auto"/>
        <w:ind w:left="340" w:hanging="220"/>
      </w:pPr>
      <w:r>
        <w:rPr/>
        <w:t xml:space="preserve">•  Small samples where it matters most. At the shipped 70/25 there are 5 completed trades on the full window and 1 on the last 30 %. Any statement about that rule's loss rate is anecdote, and no filter can be distinguished there.</w:t>
      </w:r>
    </w:p>
    <w:p>
      <w:pPr>
        <w:spacing w:before="0" w:after="60" w:line="264" w:lineRule="auto"/>
        <w:ind w:left="340" w:hanging="220"/>
      </w:pPr>
      <w:r>
        <w:rPr/>
        <w:t xml:space="preserve">•  One universe, chosen with hindsight. 26 US-listed names, 8 of them deliberately volatile. Nothing here generalises to other markets, small caps, or delisted companies.</w:t>
      </w:r>
    </w:p>
    <w:p>
      <w:pPr>
        <w:spacing w:before="0" w:after="60" w:line="264" w:lineRule="auto"/>
        <w:ind w:left="340" w:hanging="220"/>
      </w:pPr>
      <w:r>
        <w:rPr/>
        <w:t xml:space="preserve">•  One cost model. 2 + 2 bps is a retail-broker assumption; higher costs hurt the high-turnover variants (stops, ATR trails) far more than the baseline, so the ranking is robust in direction but not in magnitude.</w:t>
      </w:r>
    </w:p>
    <w:p>
      <w:pPr>
        <w:spacing w:before="0" w:after="60" w:line="264" w:lineRule="auto"/>
        <w:ind w:left="340" w:hanging="220"/>
      </w:pPr>
      <w:r>
        <w:rPr/>
        <w:t xml:space="preserve">•  Score scale coupling. The bands are absolute values on a composite whose distribution differs by instrument (p10 ≈ 43-47, median ≈ 65-68 on this universe). The same 45 exit means different things on SPY and on MSTR.</w:t>
      </w:r>
    </w:p>
    <w:p>
      <w:pPr>
        <w:spacing w:before="0" w:after="60" w:line="264" w:lineRule="auto"/>
        <w:ind w:left="340" w:hanging="220"/>
      </w:pPr>
      <w:r>
        <w:rPr/>
        <w:t xml:space="preserve">•  Training objective limits. The trainer sees ~1.4 trades per symbol on the held-out tail; it cannot separate weight maps by more than noise, which is why no map clears its luck bar and why a 'trained' map is not evidence.</w:t>
      </w:r>
    </w:p>
    <w:p>
      <w:pPr>
        <w:spacing w:before="0" w:after="60" w:line="264" w:lineRule="auto"/>
        <w:ind w:left="340" w:hanging="220"/>
      </w:pPr>
      <w:r>
        <w:rPr/>
        <w:t xml:space="preserve">•  Daily bars only. Intraday path, overnight gaps and intraday stops are not modelled; the morning-after fills are approximations.</w:t>
      </w:r>
    </w:p>
    <w:p>
      <w:pPr>
        <w:spacing w:before="0" w:after="60" w:line="264" w:lineRule="auto"/>
        <w:ind w:left="340" w:hanging="220"/>
      </w:pPr>
      <w:r>
        <w:rPr/>
        <w:t xml:space="preserve">•  The report measures the rule, not the market. A losing trade here means the rule's own exit was below its entry; it does not mean the instrument was a bad holding over the same period.</w:t>
      </w:r>
    </w:p>
    <w:p>
      <w:pPr>
        <w:keepNext/>
        <w:spacing w:before="360" w:after="140"/>
        <w:outlineLvl w:val="0"/>
        <w:pBdr>
          <w:bottom w:val="single" w:sz="6" w:space="2" w:color="C7D2FE"/>
        </w:pBdr>
      </w:pPr>
      <w:r>
        <w:rPr>
          <w:b/>
          <w:sz w:val="30"/>
          <w:szCs w:val="30"/>
          <w:color w:val="1E3A8A"/>
        </w:rPr>
        <w:t xml:space="preserve">6. What the evidence supports doing next</w:t>
      </w:r>
    </w:p>
    <w:p>
      <w:pPr>
        <w:spacing w:before="0" w:after="60" w:line="264" w:lineRule="auto"/>
        <w:ind w:left="340" w:hanging="220"/>
      </w:pPr>
      <w:r>
        <w:rPr/>
        <w:t xml:space="preserve">•  Treat 70/25 as buy-and-hold with a tail guardrail. Do not describe it as an active strategy, and do not judge it on its 5 decisions.</w:t>
      </w:r>
    </w:p>
    <w:p>
      <w:pPr>
        <w:spacing w:before="0" w:after="60" w:line="264" w:lineRule="auto"/>
        <w:ind w:left="340" w:hanging="220"/>
      </w:pPr>
      <w:r>
        <w:rPr/>
        <w:t xml:space="preserve">•  If fewer losing trades is the goal, the lever is trading less (longer holds, wider/no exit), not a better entry or a protective stop — both were measured and both cost more than they saved.</w:t>
      </w:r>
    </w:p>
    <w:p>
      <w:pPr>
        <w:spacing w:before="0" w:after="60" w:line="264" w:lineRule="auto"/>
        <w:ind w:left="340" w:hanging="220"/>
      </w:pPr>
      <w:r>
        <w:rPr/>
        <w:t xml:space="preserve">•  Re-run npm run test:leaveout and npm run test:trained only after enlarging the universe to include delisted names; a larger sample is the binding constraint, not another parameter.</w:t>
      </w:r>
    </w:p>
    <w:p>
      <w:pPr>
        <w:spacing w:before="0" w:after="60" w:line="264" w:lineRule="auto"/>
        <w:ind w:left="340" w:hanging="220"/>
      </w:pPr>
      <w:r>
        <w:rPr/>
        <w:t xml:space="preserve">•  Never adopt a weight map whose held-out excess Sharpe does not clear its own luck bar, and never adopt one because its loss rate fell — section 3.4 shows that can happen while separation stays below chance.</w:t>
      </w:r>
    </w:p>
    <w:p>
      <w:pPr>
        <w:spacing w:before="0" w:after="60" w:line="264" w:lineRule="auto"/>
        <w:ind w:left="340" w:hanging="220"/>
      </w:pPr>
      <w:r>
        <w:rPr/>
        <w:t xml:space="preserve">•  Keep the price-basis guard in place. Mixed adjusted/raw history is a silent corruption that looks like strategy behaviour.</w:t>
      </w:r>
    </w:p>
    <w:p>
      <w:pPr>
        <w:spacing w:before="0" w:after="160" w:line="264" w:lineRule="auto"/>
      </w:pPr>
      <w:r>
        <w:rPr/>
        <w:t xml:space="preserve"/>
      </w:r>
    </w:p>
    <w:p>
      <w:pPr>
        <w:spacing w:before="0" w:after="60" w:line="264" w:lineRule="auto"/>
      </w:pPr>
      <w:r>
        <w:rPr>
          <w:rFonts w:ascii="Consolas" w:hAnsi="Consolas"/>
          <w:sz w:val="17"/>
          <w:szCs w:val="17"/>
          <w:color w:val="6B7280"/>
        </w:rPr>
        <w:t xml:space="preserve">Reproduce: npm run test:filters · npm run test:trained · npm run test:leaveout · npm test · node scripts/make-lost-trades-report.mjs</w:t>
      </w:r>
    </w:p>
    <w:p>
      <w:pPr>
        <w:spacing w:before="0" w:after="100" w:line="264" w:lineRule="auto"/>
      </w:pPr>
      <w:r>
        <w:rPr>
          <w:i/>
          <w:sz w:val="17"/>
          <w:szCs w:val="17"/>
          <w:color w:val="6B7280"/>
        </w:rPr>
        <w:t xml:space="preserve">Generated from the harness output of 30 October 2026. Instrument counts, names and windows are stated so each figure can be re-derived; nothing in this document is investment advice.</w:t>
      </w:r>
    </w:p>
    <w:sectPr>
      <w:pgSz w:w="11906" w:h="16838"/>
      <w:pgMar w:top="1134" w:right="1134" w:bottom="1134" w:left="1134" w:header="708" w:footer="708" w:gutter="0"/>
    </w:sectPr>
  </w:body>
</w:document>
</file>

<file path=word/_rels/document.xml.rels><?xml version="1.0" encoding="UTF-8" standalone="yes"?>
<Relationships xmlns="http://schemas.openxmlformats.org/package/2006/relationships">
</Relationships>
</file>