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NETWORK SECURITY</w:t>
      </w:r>
    </w:p>
    <w:p>
      <w:r>
        <w:rPr>
          <w:i/>
          <w:color w:val="457ABB"/>
          <w:sz w:val="32"/>
        </w:rPr>
        <w:t>Design, Implementation and Verification Report</w:t>
      </w:r>
    </w:p>
    <w:p>
      <w:r>
        <w:t>Cisco Packet Tracer  |  Professional project portfolio  |  29 October 2026</w:t>
      </w:r>
    </w:p>
    <w:p>
      <w:r>
        <w:t>Student: Richard Sebopela</w:t>
      </w:r>
    </w:p>
    <w:p>
      <w:r>
        <w:t>Evidence basis: Actual Cisco Packet Tracer screenshots captured during network configuration and testing. This is a simulated lab, not a production deployment.</w:t>
      </w:r>
    </w:p>
    <w:p/>
    <w:p>
      <w:pPr>
        <w:pStyle w:val="Heading1"/>
      </w:pPr>
      <w:r>
        <w:t>1. Executive Summary</w:t>
      </w:r>
    </w:p>
    <w:p>
      <w:r>
        <w:t>This project implements a segmented enterprise network for IT, Human Resources (HR), and Finance. A Cisco 2960 switch provides VLAN separation, a Cisco 2911 router routes between VLANs, and an ASA 5505 firewall provides perimeter routing, NAT/PAT, and HTTP/ICMP inspection. An extended access control list (ACL) blocks HR-initiated traffic to the Finance network. Port security on user-facing switch ports restricts each port to one learned MAC address.</w:t>
      </w:r>
    </w:p>
    <w:p>
      <w:r>
        <w:t>Screenshots demonstrate successful internal routing and internet access from IT, an HR-to-Finance block, active 802.1Q trunking, sticky MAC learning, and firewall NAT counters. Some further tests are recommended before claiming full security validation.</w:t>
      </w:r>
    </w:p>
    <w:p>
      <w:pPr>
        <w:pStyle w:val="Heading1"/>
      </w:pPr>
      <w:r>
        <w:t>2. Project Objectives and Scope</w:t>
      </w:r>
    </w:p>
    <w:p>
      <w:r>
        <w:t>Objectives: (1) isolate departments with VLANs; (2) enable controlled inter-VLAN routing; (3) restrict HR-to-Finance access; (4) secure access switch ports; (5) translate internal addresses for internet access; (6) verify connectivity and document evidence.</w:t>
      </w:r>
    </w:p>
    <w:p>
      <w:r>
        <w:t>Scope: Packet Tracer simulation. The project does not establish real-world production security, comprehensive firewall policy hardening, intrusion detection, or high availability.</w:t>
      </w:r>
    </w:p>
    <w:p>
      <w:pPr>
        <w:pStyle w:val="Heading1"/>
      </w:pPr>
      <w:r>
        <w:t>3. Network Topology and IP Addressing</w:t>
      </w:r>
    </w:p>
    <w:p>
      <w:r>
        <w:t>Final topology: IT-PC / HR-PC / FIN-PC → SW1 → R1 → FW1 → ISP-R1 → Internet-Server. The unused Internet Cloud icon was removed from the final design.</w:t>
      </w:r>
    </w:p>
    <w:p>
      <w:r>
        <w:t>Observed PC addresses: IT-PC 192.168.10.21, HR-PC 192.168.20.21, FIN-PC 192.168.30.21.</w:t>
      </w:r>
    </w:p>
    <w:p>
      <w:pPr>
        <w:jc w:val="center"/>
      </w:pPr>
      <w:r>
        <w:drawing>
          <wp:inline xmlns:a="http://schemas.openxmlformats.org/drawingml/2006/main" xmlns:pic="http://schemas.openxmlformats.org/drawingml/2006/picture">
            <wp:extent cx="6217920" cy="3280779"/>
            <wp:docPr id="1" name="Picture 1"/>
            <wp:cNvGraphicFramePr>
              <a:graphicFrameLocks noChangeAspect="1"/>
            </wp:cNvGraphicFramePr>
            <a:graphic>
              <a:graphicData uri="http://schemas.openxmlformats.org/drawingml/2006/picture">
                <pic:pic>
                  <pic:nvPicPr>
                    <pic:cNvPr id="0" name="image(20261029-140404).png"/>
                    <pic:cNvPicPr/>
                  </pic:nvPicPr>
                  <pic:blipFill>
                    <a:blip r:embed="rId11"/>
                    <a:stretch>
                      <a:fillRect/>
                    </a:stretch>
                  </pic:blipFill>
                  <pic:spPr>
                    <a:xfrm>
                      <a:off x="0" y="0"/>
                      <a:ext cx="6217920" cy="3280779"/>
                    </a:xfrm>
                    <a:prstGeom prst="rect"/>
                  </pic:spPr>
                </pic:pic>
              </a:graphicData>
            </a:graphic>
          </wp:inline>
        </w:drawing>
      </w:r>
    </w:p>
    <w:p>
      <w:pPr>
        <w:pStyle w:val="Caption"/>
        <w:jc w:val="center"/>
      </w:pPr>
      <w:r>
        <w:rPr>
          <w:color w:val="446384"/>
          <w:sz w:val="18"/>
        </w:rPr>
        <w:t>Figure 1. Final logical network topology with active links and three departmental PCs.</w:t>
      </w:r>
    </w:p>
    <w:p>
      <w:pPr>
        <w:pStyle w:val="Heading1"/>
      </w:pPr>
      <w:r>
        <w:t>4. VLAN Segmentation and 802.1Q Trunk</w:t>
      </w:r>
    </w:p>
    <w:p>
      <w:r>
        <w:t>SW1 uses VLAN 10 (IT) on Fa0/1, VLAN 20 (HR) on Fa0/2, and VLAN 30 (FINANCE) on Fa0/3. Gi0/1 is an active 802.1Q trunk allowing VLANs 10, 20, and 30; the observed native VLAN is 1.</w:t>
      </w:r>
    </w:p>
    <w:p>
      <w:pPr>
        <w:ind w:left="360"/>
      </w:pPr>
      <w:r>
        <w:rPr>
          <w:rFonts w:ascii="Consolas" w:hAnsi="Consolas"/>
          <w:color w:val="234967"/>
          <w:sz w:val="16"/>
        </w:rPr>
        <w:t>SW1# show vlan brief</w:t>
        <w:br/>
        <w:t>SW1# show interfaces trunk</w:t>
      </w:r>
    </w:p>
    <w:p>
      <w:pPr>
        <w:jc w:val="center"/>
      </w:pPr>
      <w:r>
        <w:drawing>
          <wp:inline xmlns:a="http://schemas.openxmlformats.org/drawingml/2006/main" xmlns:pic="http://schemas.openxmlformats.org/drawingml/2006/picture">
            <wp:extent cx="4937760" cy="4862336"/>
            <wp:docPr id="2" name="Picture 2"/>
            <wp:cNvGraphicFramePr>
              <a:graphicFrameLocks noChangeAspect="1"/>
            </wp:cNvGraphicFramePr>
            <a:graphic>
              <a:graphicData uri="http://schemas.openxmlformats.org/drawingml/2006/picture">
                <pic:pic>
                  <pic:nvPicPr>
                    <pic:cNvPr id="0" name="image(20261029-131858).png"/>
                    <pic:cNvPicPr/>
                  </pic:nvPicPr>
                  <pic:blipFill>
                    <a:blip r:embed="rId12"/>
                    <a:stretch>
                      <a:fillRect/>
                    </a:stretch>
                  </pic:blipFill>
                  <pic:spPr>
                    <a:xfrm>
                      <a:off x="0" y="0"/>
                      <a:ext cx="4937760" cy="4862336"/>
                    </a:xfrm>
                    <a:prstGeom prst="rect"/>
                  </pic:spPr>
                </pic:pic>
              </a:graphicData>
            </a:graphic>
          </wp:inline>
        </w:drawing>
      </w:r>
    </w:p>
    <w:p>
      <w:pPr>
        <w:pStyle w:val="Caption"/>
        <w:jc w:val="center"/>
      </w:pPr>
      <w:r>
        <w:rPr>
          <w:color w:val="446384"/>
          <w:sz w:val="18"/>
        </w:rPr>
        <w:t>Figure 2. Switch VLAN assignments for IT, HR and Finance.</w:t>
      </w:r>
    </w:p>
    <w:p>
      <w:pPr>
        <w:jc w:val="center"/>
      </w:pPr>
      <w:r>
        <w:drawing>
          <wp:inline xmlns:a="http://schemas.openxmlformats.org/drawingml/2006/main" xmlns:pic="http://schemas.openxmlformats.org/drawingml/2006/picture">
            <wp:extent cx="4937760" cy="4356847"/>
            <wp:docPr id="3" name="Picture 3"/>
            <wp:cNvGraphicFramePr>
              <a:graphicFrameLocks noChangeAspect="1"/>
            </wp:cNvGraphicFramePr>
            <a:graphic>
              <a:graphicData uri="http://schemas.openxmlformats.org/drawingml/2006/picture">
                <pic:pic>
                  <pic:nvPicPr>
                    <pic:cNvPr id="0" name="image(20261029-131927).png"/>
                    <pic:cNvPicPr/>
                  </pic:nvPicPr>
                  <pic:blipFill>
                    <a:blip r:embed="rId13"/>
                    <a:stretch>
                      <a:fillRect/>
                    </a:stretch>
                  </pic:blipFill>
                  <pic:spPr>
                    <a:xfrm>
                      <a:off x="0" y="0"/>
                      <a:ext cx="4937760" cy="4356847"/>
                    </a:xfrm>
                    <a:prstGeom prst="rect"/>
                  </pic:spPr>
                </pic:pic>
              </a:graphicData>
            </a:graphic>
          </wp:inline>
        </w:drawing>
      </w:r>
    </w:p>
    <w:p>
      <w:pPr>
        <w:pStyle w:val="Caption"/>
        <w:jc w:val="center"/>
      </w:pPr>
      <w:r>
        <w:rPr>
          <w:color w:val="446384"/>
          <w:sz w:val="18"/>
        </w:rPr>
        <w:t>Figure 3. Active 802.1Q trunk and allowed VLANs.</w:t>
      </w:r>
    </w:p>
    <w:p>
      <w:pPr>
        <w:pStyle w:val="Heading1"/>
      </w:pPr>
      <w:r>
        <w:t>5. Router-on-a-Stick and Routing</w:t>
      </w:r>
    </w:p>
    <w:p>
      <w:r>
        <w:t>R1 uses subinterfaces Gi0/0.10, Gi0/0.20 and Gi0/0.30, tagged with dot1Q 10, 20 and 30. Their gateway IPs are .1 in each VLAN. Gi0/1 connects to FW1 at 10.0.0.1/30. R1 default route points to FW1 at 10.0.0.2.</w:t>
      </w:r>
    </w:p>
    <w:p>
      <w:pPr>
        <w:ind w:left="360"/>
      </w:pPr>
      <w:r>
        <w:rPr>
          <w:rFonts w:ascii="Consolas" w:hAnsi="Consolas"/>
          <w:color w:val="234967"/>
          <w:sz w:val="16"/>
        </w:rPr>
        <w:t>interface GigabitEthernet0/0.10</w:t>
        <w:br/>
        <w:t xml:space="preserve"> encapsulation dot1Q 10</w:t>
        <w:br/>
        <w:t xml:space="preserve"> ip address 192.168.10.1 255.255.255.0</w:t>
        <w:br/>
        <w:t>interface GigabitEthernet0/0.20</w:t>
        <w:br/>
        <w:t xml:space="preserve"> encapsulation dot1Q 20</w:t>
        <w:br/>
        <w:t xml:space="preserve"> ip address 192.168.20.1 255.255.255.0</w:t>
        <w:br/>
        <w:t xml:space="preserve"> ip access-group BLOCK_HR_FINANCE in</w:t>
        <w:br/>
        <w:t>interface GigabitEthernet0/0.30</w:t>
        <w:br/>
        <w:t xml:space="preserve"> encapsulation dot1Q 30</w:t>
        <w:br/>
        <w:t xml:space="preserve"> ip address 192.168.30.1 255.255.255.0</w:t>
        <w:br/>
        <w:t>ip route 0.0.0.0 0.0.0.0 10.0.0.2</w:t>
      </w:r>
    </w:p>
    <w:p>
      <w:pPr>
        <w:jc w:val="center"/>
      </w:pPr>
      <w:r>
        <w:drawing>
          <wp:inline xmlns:a="http://schemas.openxmlformats.org/drawingml/2006/main" xmlns:pic="http://schemas.openxmlformats.org/drawingml/2006/picture">
            <wp:extent cx="4937760" cy="5611857"/>
            <wp:docPr id="4" name="Picture 4"/>
            <wp:cNvGraphicFramePr>
              <a:graphicFrameLocks noChangeAspect="1"/>
            </wp:cNvGraphicFramePr>
            <a:graphic>
              <a:graphicData uri="http://schemas.openxmlformats.org/drawingml/2006/picture">
                <pic:pic>
                  <pic:nvPicPr>
                    <pic:cNvPr id="0" name="image(20261029-130957).png"/>
                    <pic:cNvPicPr/>
                  </pic:nvPicPr>
                  <pic:blipFill>
                    <a:blip r:embed="rId14"/>
                    <a:stretch>
                      <a:fillRect/>
                    </a:stretch>
                  </pic:blipFill>
                  <pic:spPr>
                    <a:xfrm>
                      <a:off x="0" y="0"/>
                      <a:ext cx="4937760" cy="5611857"/>
                    </a:xfrm>
                    <a:prstGeom prst="rect"/>
                  </pic:spPr>
                </pic:pic>
              </a:graphicData>
            </a:graphic>
          </wp:inline>
        </w:drawing>
      </w:r>
    </w:p>
    <w:p>
      <w:pPr>
        <w:pStyle w:val="Caption"/>
        <w:jc w:val="center"/>
      </w:pPr>
      <w:r>
        <w:rPr>
          <w:color w:val="446384"/>
          <w:sz w:val="18"/>
        </w:rPr>
        <w:t>Figure 4. Router interface and subinterface addressing evidence.</w:t>
      </w:r>
    </w:p>
    <w:p>
      <w:pPr>
        <w:pStyle w:val="Heading1"/>
      </w:pPr>
      <w:r>
        <w:t>6. Departmental Access Control</w:t>
      </w:r>
    </w:p>
    <w:p>
      <w:r>
        <w:t>An extended ACL named BLOCK_HR_FINANCE denies packets sourced from HR (192.168.20.0/24) destined for Finance (192.168.30.0/24), and permits other IP traffic. It is applied inbound on R1 Gi0/0.20.</w:t>
      </w:r>
    </w:p>
    <w:p>
      <w:pPr>
        <w:ind w:left="360"/>
      </w:pPr>
      <w:r>
        <w:rPr>
          <w:rFonts w:ascii="Consolas" w:hAnsi="Consolas"/>
          <w:color w:val="234967"/>
          <w:sz w:val="16"/>
        </w:rPr>
        <w:t>ip access-list extended BLOCK_HR_FINANCE</w:t>
        <w:br/>
        <w:t xml:space="preserve"> deny ip 192.168.20.0 0.0.0.255 192.168.30.0 0.0.0.255</w:t>
        <w:br/>
        <w:t xml:space="preserve"> permit ip any any</w:t>
      </w:r>
    </w:p>
    <w:p>
      <w:r>
        <w:t>Evidence: show access-lists displayed deny-rule match counts increasing from 8 to 20; HR-PC pinging 192.168.30.21 failed with “Destination host unreachable” from 192.168.20.1. IT-PC successfully pinged both HR and Finance. A Finance-to-HR ping also timed out in the supplied screenshot, but this is not a general bidirectional deny rule: return traffic to HR is affected by the inbound ACL on HR, while initiating traffic from Finance is not directly denied by the shown ACL. More protocol-specific tests are required to characterize all flows.</w:t>
      </w:r>
    </w:p>
    <w:p>
      <w:pPr>
        <w:jc w:val="center"/>
      </w:pPr>
      <w:r>
        <w:drawing>
          <wp:inline xmlns:a="http://schemas.openxmlformats.org/drawingml/2006/main" xmlns:pic="http://schemas.openxmlformats.org/drawingml/2006/picture">
            <wp:extent cx="4937760" cy="4606905"/>
            <wp:docPr id="5" name="Picture 5"/>
            <wp:cNvGraphicFramePr>
              <a:graphicFrameLocks noChangeAspect="1"/>
            </wp:cNvGraphicFramePr>
            <a:graphic>
              <a:graphicData uri="http://schemas.openxmlformats.org/drawingml/2006/picture">
                <pic:pic>
                  <pic:nvPicPr>
                    <pic:cNvPr id="0" name="image(20261029-131313).png"/>
                    <pic:cNvPicPr/>
                  </pic:nvPicPr>
                  <pic:blipFill>
                    <a:blip r:embed="rId15"/>
                    <a:stretch>
                      <a:fillRect/>
                    </a:stretch>
                  </pic:blipFill>
                  <pic:spPr>
                    <a:xfrm>
                      <a:off x="0" y="0"/>
                      <a:ext cx="4937760" cy="4606905"/>
                    </a:xfrm>
                    <a:prstGeom prst="rect"/>
                  </pic:spPr>
                </pic:pic>
              </a:graphicData>
            </a:graphic>
          </wp:inline>
        </w:drawing>
      </w:r>
    </w:p>
    <w:p>
      <w:pPr>
        <w:pStyle w:val="Caption"/>
        <w:jc w:val="center"/>
      </w:pPr>
      <w:r>
        <w:rPr>
          <w:color w:val="446384"/>
          <w:sz w:val="18"/>
        </w:rPr>
        <w:t>Figure 5. Extended ACL configured on R1.</w:t>
      </w:r>
    </w:p>
    <w:p>
      <w:pPr>
        <w:jc w:val="center"/>
      </w:pPr>
      <w:r>
        <w:drawing>
          <wp:inline xmlns:a="http://schemas.openxmlformats.org/drawingml/2006/main" xmlns:pic="http://schemas.openxmlformats.org/drawingml/2006/picture">
            <wp:extent cx="6217920" cy="3797771"/>
            <wp:docPr id="6" name="Picture 6"/>
            <wp:cNvGraphicFramePr>
              <a:graphicFrameLocks noChangeAspect="1"/>
            </wp:cNvGraphicFramePr>
            <a:graphic>
              <a:graphicData uri="http://schemas.openxmlformats.org/drawingml/2006/picture">
                <pic:pic>
                  <pic:nvPicPr>
                    <pic:cNvPr id="0" name="image(20261029-125929).png"/>
                    <pic:cNvPicPr/>
                  </pic:nvPicPr>
                  <pic:blipFill>
                    <a:blip r:embed="rId16"/>
                    <a:stretch>
                      <a:fillRect/>
                    </a:stretch>
                  </pic:blipFill>
                  <pic:spPr>
                    <a:xfrm>
                      <a:off x="0" y="0"/>
                      <a:ext cx="6217920" cy="3797771"/>
                    </a:xfrm>
                    <a:prstGeom prst="rect"/>
                  </pic:spPr>
                </pic:pic>
              </a:graphicData>
            </a:graphic>
          </wp:inline>
        </w:drawing>
      </w:r>
    </w:p>
    <w:p>
      <w:pPr>
        <w:pStyle w:val="Caption"/>
        <w:jc w:val="center"/>
      </w:pPr>
      <w:r>
        <w:rPr>
          <w:color w:val="446384"/>
          <w:sz w:val="18"/>
        </w:rPr>
        <w:t>Figure 6. HR-to-Finance ping blocked by the configured ACL.</w:t>
      </w:r>
    </w:p>
    <w:p>
      <w:pPr>
        <w:jc w:val="center"/>
      </w:pPr>
      <w:r>
        <w:drawing>
          <wp:inline xmlns:a="http://schemas.openxmlformats.org/drawingml/2006/main" xmlns:pic="http://schemas.openxmlformats.org/drawingml/2006/picture">
            <wp:extent cx="4937760" cy="4544353"/>
            <wp:docPr id="7" name="Picture 7"/>
            <wp:cNvGraphicFramePr>
              <a:graphicFrameLocks noChangeAspect="1"/>
            </wp:cNvGraphicFramePr>
            <a:graphic>
              <a:graphicData uri="http://schemas.openxmlformats.org/drawingml/2006/picture">
                <pic:pic>
                  <pic:nvPicPr>
                    <pic:cNvPr id="0" name="image(20261029-130829).png"/>
                    <pic:cNvPicPr/>
                  </pic:nvPicPr>
                  <pic:blipFill>
                    <a:blip r:embed="rId17"/>
                    <a:stretch>
                      <a:fillRect/>
                    </a:stretch>
                  </pic:blipFill>
                  <pic:spPr>
                    <a:xfrm>
                      <a:off x="0" y="0"/>
                      <a:ext cx="4937760" cy="4544353"/>
                    </a:xfrm>
                    <a:prstGeom prst="rect"/>
                  </pic:spPr>
                </pic:pic>
              </a:graphicData>
            </a:graphic>
          </wp:inline>
        </w:drawing>
      </w:r>
    </w:p>
    <w:p>
      <w:pPr>
        <w:pStyle w:val="Caption"/>
        <w:jc w:val="center"/>
      </w:pPr>
      <w:r>
        <w:rPr>
          <w:color w:val="446384"/>
          <w:sz w:val="18"/>
        </w:rPr>
        <w:t>Figure 7. IT-PC connectivity verification to permitted destinations.</w:t>
      </w:r>
    </w:p>
    <w:p>
      <w:pPr>
        <w:pStyle w:val="Heading1"/>
      </w:pPr>
      <w:r>
        <w:t>7. Switch Port Security</w:t>
      </w:r>
    </w:p>
    <w:p>
      <w:r>
        <w:t>Fa0/1–Fa0/3 have port security enabled, maximum one MAC address per port, sticky MAC learning, and violation mode restrict. The final secure address table displayed one sticky MAC for each VLAN/port: VLAN 10 Fa0/1 0060.4730.ACBA; VLAN 20 Fa0/2 0001.4351.1D25; VLAN 30 Fa0/3 0060.5C85.BCA1. The screenshots showed secure-up status and zero violations.</w:t>
      </w:r>
    </w:p>
    <w:p>
      <w:pPr>
        <w:ind w:left="360"/>
      </w:pPr>
      <w:r>
        <w:rPr>
          <w:rFonts w:ascii="Consolas" w:hAnsi="Consolas"/>
          <w:color w:val="234967"/>
          <w:sz w:val="16"/>
        </w:rPr>
        <w:t>SW1# show port-security interface fastEthernet 0/1</w:t>
        <w:br/>
        <w:t>SW1# show port-security address</w:t>
      </w:r>
    </w:p>
    <w:p>
      <w:pPr>
        <w:jc w:val="center"/>
      </w:pPr>
      <w:r>
        <w:drawing>
          <wp:inline xmlns:a="http://schemas.openxmlformats.org/drawingml/2006/main" xmlns:pic="http://schemas.openxmlformats.org/drawingml/2006/picture">
            <wp:extent cx="4937760" cy="4908310"/>
            <wp:docPr id="8" name="Picture 8"/>
            <wp:cNvGraphicFramePr>
              <a:graphicFrameLocks noChangeAspect="1"/>
            </wp:cNvGraphicFramePr>
            <a:graphic>
              <a:graphicData uri="http://schemas.openxmlformats.org/drawingml/2006/picture">
                <pic:pic>
                  <pic:nvPicPr>
                    <pic:cNvPr id="0" name="image(20261029-132021).png"/>
                    <pic:cNvPicPr/>
                  </pic:nvPicPr>
                  <pic:blipFill>
                    <a:blip r:embed="rId18"/>
                    <a:stretch>
                      <a:fillRect/>
                    </a:stretch>
                  </pic:blipFill>
                  <pic:spPr>
                    <a:xfrm>
                      <a:off x="0" y="0"/>
                      <a:ext cx="4937760" cy="4908310"/>
                    </a:xfrm>
                    <a:prstGeom prst="rect"/>
                  </pic:spPr>
                </pic:pic>
              </a:graphicData>
            </a:graphic>
          </wp:inline>
        </w:drawing>
      </w:r>
    </w:p>
    <w:p>
      <w:pPr>
        <w:pStyle w:val="Caption"/>
        <w:jc w:val="center"/>
      </w:pPr>
      <w:r>
        <w:rPr>
          <w:color w:val="446384"/>
          <w:sz w:val="18"/>
        </w:rPr>
        <w:t>Figure 8. Switch access-port security verification.</w:t>
      </w:r>
    </w:p>
    <w:p>
      <w:pPr>
        <w:jc w:val="center"/>
      </w:pPr>
      <w:r>
        <w:drawing>
          <wp:inline xmlns:a="http://schemas.openxmlformats.org/drawingml/2006/main" xmlns:pic="http://schemas.openxmlformats.org/drawingml/2006/picture">
            <wp:extent cx="4937760" cy="4901680"/>
            <wp:docPr id="9" name="Picture 9"/>
            <wp:cNvGraphicFramePr>
              <a:graphicFrameLocks noChangeAspect="1"/>
            </wp:cNvGraphicFramePr>
            <a:graphic>
              <a:graphicData uri="http://schemas.openxmlformats.org/drawingml/2006/picture">
                <pic:pic>
                  <pic:nvPicPr>
                    <pic:cNvPr id="0" name="image(20261029-132711).png"/>
                    <pic:cNvPicPr/>
                  </pic:nvPicPr>
                  <pic:blipFill>
                    <a:blip r:embed="rId19"/>
                    <a:stretch>
                      <a:fillRect/>
                    </a:stretch>
                  </pic:blipFill>
                  <pic:spPr>
                    <a:xfrm>
                      <a:off x="0" y="0"/>
                      <a:ext cx="4937760" cy="4901680"/>
                    </a:xfrm>
                    <a:prstGeom prst="rect"/>
                  </pic:spPr>
                </pic:pic>
              </a:graphicData>
            </a:graphic>
          </wp:inline>
        </w:drawing>
      </w:r>
    </w:p>
    <w:p>
      <w:pPr>
        <w:pStyle w:val="Caption"/>
        <w:jc w:val="center"/>
      </w:pPr>
      <w:r>
        <w:rPr>
          <w:color w:val="446384"/>
          <w:sz w:val="18"/>
        </w:rPr>
        <w:t>Figure 9. Sticky MAC address table for the departmental ports.</w:t>
      </w:r>
    </w:p>
    <w:p>
      <w:pPr>
        <w:pStyle w:val="Heading1"/>
      </w:pPr>
      <w:r>
        <w:t>8. ASA Firewall, NAT and Inspection</w:t>
      </w:r>
    </w:p>
    <w:p>
      <w:r>
        <w:t>FW1 inside VLAN1 is 10.0.0.2/30 with security level 100. Outside VLAN2 is 203.0.113.2/30 with security level 0. Static routes point to VLANs 10, 20, 30 via 10.0.0.1; default route points to ISP-R1 203.0.113.1.</w:t>
      </w:r>
    </w:p>
    <w:p>
      <w:pPr>
        <w:ind w:left="360"/>
      </w:pPr>
      <w:r>
        <w:rPr>
          <w:rFonts w:ascii="Consolas" w:hAnsi="Consolas"/>
          <w:color w:val="234967"/>
          <w:sz w:val="16"/>
        </w:rPr>
        <w:t>object network INTERNAL_LAN</w:t>
        <w:br/>
        <w:t xml:space="preserve"> subnet 192.168.0.0 255.255.0.0</w:t>
        <w:br/>
        <w:t xml:space="preserve"> nat (inside,outside) dynamic interface</w:t>
        <w:br/>
        <w:t>policy-map global_policy</w:t>
        <w:br/>
        <w:t xml:space="preserve"> class inspection_default</w:t>
        <w:br/>
        <w:t xml:space="preserve">  inspect http</w:t>
        <w:br/>
        <w:t xml:space="preserve">  inspect icmp</w:t>
        <w:br/>
        <w:t>service-policy global_policy global</w:t>
      </w:r>
    </w:p>
    <w:p>
      <w:r>
        <w:t>FW1 show nat displayed translate_hits=170 and untranslate_hits=218, demonstrating NAT activity. show running-config confirmed HTTP and ICMP inspection are configured and the policy is applied globally. The Packet Tracer ASA rejected show service-policy; this command limitation is not itself evidence of a failed policy.</w:t>
      </w:r>
    </w:p>
    <w:p>
      <w:pPr>
        <w:jc w:val="center"/>
      </w:pPr>
      <w:r>
        <w:drawing>
          <wp:inline xmlns:a="http://schemas.openxmlformats.org/drawingml/2006/main" xmlns:pic="http://schemas.openxmlformats.org/drawingml/2006/picture">
            <wp:extent cx="4937760" cy="5106669"/>
            <wp:docPr id="10" name="Picture 10"/>
            <wp:cNvGraphicFramePr>
              <a:graphicFrameLocks noChangeAspect="1"/>
            </wp:cNvGraphicFramePr>
            <a:graphic>
              <a:graphicData uri="http://schemas.openxmlformats.org/drawingml/2006/picture">
                <pic:pic>
                  <pic:nvPicPr>
                    <pic:cNvPr id="0" name="image(20261029-133800).png"/>
                    <pic:cNvPicPr/>
                  </pic:nvPicPr>
                  <pic:blipFill>
                    <a:blip r:embed="rId20"/>
                    <a:stretch>
                      <a:fillRect/>
                    </a:stretch>
                  </pic:blipFill>
                  <pic:spPr>
                    <a:xfrm>
                      <a:off x="0" y="0"/>
                      <a:ext cx="4937760" cy="5106669"/>
                    </a:xfrm>
                    <a:prstGeom prst="rect"/>
                  </pic:spPr>
                </pic:pic>
              </a:graphicData>
            </a:graphic>
          </wp:inline>
        </w:drawing>
      </w:r>
    </w:p>
    <w:p>
      <w:pPr>
        <w:pStyle w:val="Caption"/>
        <w:jc w:val="center"/>
      </w:pPr>
      <w:r>
        <w:rPr>
          <w:color w:val="446384"/>
          <w:sz w:val="18"/>
        </w:rPr>
        <w:t>Figure 10. ASA inside and outside interface status.</w:t>
      </w:r>
    </w:p>
    <w:p>
      <w:pPr>
        <w:jc w:val="center"/>
      </w:pPr>
      <w:r>
        <w:drawing>
          <wp:inline xmlns:a="http://schemas.openxmlformats.org/drawingml/2006/main" xmlns:pic="http://schemas.openxmlformats.org/drawingml/2006/picture">
            <wp:extent cx="4937760" cy="4566101"/>
            <wp:docPr id="11" name="Picture 11"/>
            <wp:cNvGraphicFramePr>
              <a:graphicFrameLocks noChangeAspect="1"/>
            </wp:cNvGraphicFramePr>
            <a:graphic>
              <a:graphicData uri="http://schemas.openxmlformats.org/drawingml/2006/picture">
                <pic:pic>
                  <pic:nvPicPr>
                    <pic:cNvPr id="0" name="image(20261029-133825).png"/>
                    <pic:cNvPicPr/>
                  </pic:nvPicPr>
                  <pic:blipFill>
                    <a:blip r:embed="rId21"/>
                    <a:stretch>
                      <a:fillRect/>
                    </a:stretch>
                  </pic:blipFill>
                  <pic:spPr>
                    <a:xfrm>
                      <a:off x="0" y="0"/>
                      <a:ext cx="4937760" cy="4566101"/>
                    </a:xfrm>
                    <a:prstGeom prst="rect"/>
                  </pic:spPr>
                </pic:pic>
              </a:graphicData>
            </a:graphic>
          </wp:inline>
        </w:drawing>
      </w:r>
    </w:p>
    <w:p>
      <w:pPr>
        <w:pStyle w:val="Caption"/>
        <w:jc w:val="center"/>
      </w:pPr>
      <w:r>
        <w:rPr>
          <w:color w:val="446384"/>
          <w:sz w:val="18"/>
        </w:rPr>
        <w:t>Figure 11. ASA routing table and internal network routes.</w:t>
      </w:r>
    </w:p>
    <w:p>
      <w:pPr>
        <w:jc w:val="center"/>
      </w:pPr>
      <w:r>
        <w:drawing>
          <wp:inline xmlns:a="http://schemas.openxmlformats.org/drawingml/2006/main" xmlns:pic="http://schemas.openxmlformats.org/drawingml/2006/picture">
            <wp:extent cx="4937760" cy="4859466"/>
            <wp:docPr id="12" name="Picture 12"/>
            <wp:cNvGraphicFramePr>
              <a:graphicFrameLocks noChangeAspect="1"/>
            </wp:cNvGraphicFramePr>
            <a:graphic>
              <a:graphicData uri="http://schemas.openxmlformats.org/drawingml/2006/picture">
                <pic:pic>
                  <pic:nvPicPr>
                    <pic:cNvPr id="0" name="image(20261029-133848).png"/>
                    <pic:cNvPicPr/>
                  </pic:nvPicPr>
                  <pic:blipFill>
                    <a:blip r:embed="rId22"/>
                    <a:stretch>
                      <a:fillRect/>
                    </a:stretch>
                  </pic:blipFill>
                  <pic:spPr>
                    <a:xfrm>
                      <a:off x="0" y="0"/>
                      <a:ext cx="4937760" cy="4859466"/>
                    </a:xfrm>
                    <a:prstGeom prst="rect"/>
                  </pic:spPr>
                </pic:pic>
              </a:graphicData>
            </a:graphic>
          </wp:inline>
        </w:drawing>
      </w:r>
    </w:p>
    <w:p>
      <w:pPr>
        <w:pStyle w:val="Caption"/>
        <w:jc w:val="center"/>
      </w:pPr>
      <w:r>
        <w:rPr>
          <w:color w:val="446384"/>
          <w:sz w:val="18"/>
        </w:rPr>
        <w:t>Figure 12. ASA NAT/PAT configuration and translation counters.</w:t>
      </w:r>
    </w:p>
    <w:p>
      <w:pPr>
        <w:jc w:val="center"/>
      </w:pPr>
      <w:r>
        <w:drawing>
          <wp:inline xmlns:a="http://schemas.openxmlformats.org/drawingml/2006/main" xmlns:pic="http://schemas.openxmlformats.org/drawingml/2006/picture">
            <wp:extent cx="4937760" cy="4668699"/>
            <wp:docPr id="13" name="Picture 13"/>
            <wp:cNvGraphicFramePr>
              <a:graphicFrameLocks noChangeAspect="1"/>
            </wp:cNvGraphicFramePr>
            <a:graphic>
              <a:graphicData uri="http://schemas.openxmlformats.org/drawingml/2006/picture">
                <pic:pic>
                  <pic:nvPicPr>
                    <pic:cNvPr id="0" name="image(20261029-134033).png"/>
                    <pic:cNvPicPr/>
                  </pic:nvPicPr>
                  <pic:blipFill>
                    <a:blip r:embed="rId23"/>
                    <a:stretch>
                      <a:fillRect/>
                    </a:stretch>
                  </pic:blipFill>
                  <pic:spPr>
                    <a:xfrm>
                      <a:off x="0" y="0"/>
                      <a:ext cx="4937760" cy="4668699"/>
                    </a:xfrm>
                    <a:prstGeom prst="rect"/>
                  </pic:spPr>
                </pic:pic>
              </a:graphicData>
            </a:graphic>
          </wp:inline>
        </w:drawing>
      </w:r>
    </w:p>
    <w:p>
      <w:pPr>
        <w:pStyle w:val="Caption"/>
        <w:jc w:val="center"/>
      </w:pPr>
      <w:r>
        <w:rPr>
          <w:color w:val="446384"/>
          <w:sz w:val="18"/>
        </w:rPr>
        <w:t>Figure 13. ASA inspection policy verification.</w:t>
      </w:r>
    </w:p>
    <w:p>
      <w:pPr>
        <w:pStyle w:val="Heading1"/>
      </w:pPr>
      <w:r>
        <w:t>9. Verification Results</w:t>
      </w:r>
    </w:p>
    <w:tbl>
      <w:tblPr>
        <w:tblStyle w:val="LightShading-Accent1"/>
        <w:tblW w:type="auto" w:w="0"/>
        <w:tblLook w:firstColumn="1" w:firstRow="1" w:lastColumn="0" w:lastRow="0" w:noHBand="0" w:noVBand="1" w:val="04A0"/>
      </w:tblPr>
      <w:tblGrid>
        <w:gridCol w:w="4896"/>
        <w:gridCol w:w="4896"/>
      </w:tblGrid>
      <w:tr>
        <w:tc>
          <w:tcPr>
            <w:tcW w:type="dxa" w:w="4896"/>
          </w:tcPr>
          <w:p>
            <w:r>
              <w:t>Verification</w:t>
            </w:r>
          </w:p>
        </w:tc>
        <w:tc>
          <w:tcPr>
            <w:tcW w:type="dxa" w:w="4896"/>
          </w:tcPr>
          <w:p>
            <w:r>
              <w:t>Observed result</w:t>
            </w:r>
          </w:p>
        </w:tc>
      </w:tr>
      <w:tr>
        <w:tc>
          <w:tcPr>
            <w:tcW w:type="dxa" w:w="4896"/>
          </w:tcPr>
          <w:p>
            <w:r>
              <w:t>IT → HR</w:t>
            </w:r>
          </w:p>
        </w:tc>
        <w:tc>
          <w:tcPr>
            <w:tcW w:type="dxa" w:w="4896"/>
          </w:tcPr>
          <w:p>
            <w:r>
              <w:t>Successful ping</w:t>
            </w:r>
          </w:p>
        </w:tc>
      </w:tr>
      <w:tr>
        <w:tc>
          <w:tcPr>
            <w:tcW w:type="dxa" w:w="4896"/>
          </w:tcPr>
          <w:p>
            <w:r>
              <w:t>IT → Finance</w:t>
            </w:r>
          </w:p>
        </w:tc>
        <w:tc>
          <w:tcPr>
            <w:tcW w:type="dxa" w:w="4896"/>
          </w:tcPr>
          <w:p>
            <w:r>
              <w:t>Successful ping</w:t>
            </w:r>
          </w:p>
        </w:tc>
      </w:tr>
      <w:tr>
        <w:tc>
          <w:tcPr>
            <w:tcW w:type="dxa" w:w="4896"/>
          </w:tcPr>
          <w:p>
            <w:r>
              <w:t>HR → Finance</w:t>
            </w:r>
          </w:p>
        </w:tc>
        <w:tc>
          <w:tcPr>
            <w:tcW w:type="dxa" w:w="4896"/>
          </w:tcPr>
          <w:p>
            <w:r>
              <w:t>Blocked as intended</w:t>
            </w:r>
          </w:p>
        </w:tc>
      </w:tr>
      <w:tr>
        <w:tc>
          <w:tcPr>
            <w:tcW w:type="dxa" w:w="4896"/>
          </w:tcPr>
          <w:p>
            <w:r>
              <w:t>IT → simulated Internet Server</w:t>
            </w:r>
          </w:p>
        </w:tc>
        <w:tc>
          <w:tcPr>
            <w:tcW w:type="dxa" w:w="4896"/>
          </w:tcPr>
          <w:p>
            <w:r>
              <w:t>Successful ping</w:t>
            </w:r>
          </w:p>
        </w:tc>
      </w:tr>
      <w:tr>
        <w:tc>
          <w:tcPr>
            <w:tcW w:type="dxa" w:w="4896"/>
          </w:tcPr>
          <w:p>
            <w:r>
              <w:t>SW1 port security</w:t>
            </w:r>
          </w:p>
        </w:tc>
        <w:tc>
          <w:tcPr>
            <w:tcW w:type="dxa" w:w="4896"/>
          </w:tcPr>
          <w:p>
            <w:r>
              <w:t>Secure-up and sticky MAC addresses observed</w:t>
            </w:r>
          </w:p>
        </w:tc>
      </w:tr>
      <w:tr>
        <w:tc>
          <w:tcPr>
            <w:tcW w:type="dxa" w:w="4896"/>
          </w:tcPr>
          <w:p>
            <w:r>
              <w:t>ASA NAT/PAT</w:t>
            </w:r>
          </w:p>
        </w:tc>
        <w:tc>
          <w:tcPr>
            <w:tcW w:type="dxa" w:w="4896"/>
          </w:tcPr>
          <w:p>
            <w:r>
              <w:t>Translation counters observed</w:t>
            </w:r>
          </w:p>
        </w:tc>
      </w:tr>
    </w:tbl>
    <w:p>
      <w:r>
        <w:t>The screenshots above provide evidence of the tested configurations. The ACL specifically blocks HR-initiated traffic to Finance; it is not evidence of a complete bidirectional isolation policy.</w:t>
      </w:r>
    </w:p>
    <w:p>
      <w:pPr>
        <w:pStyle w:val="Heading1"/>
      </w:pPr>
      <w:r>
        <w:t>10. Security Evaluation and Limitations</w:t>
      </w:r>
    </w:p>
    <w:p>
      <w:r>
        <w:t>Strengths: VLAN segmentation reduces broadcast domains; an ACL enforces a specific HR-to-Finance restriction; sticky MAC port security limits new devices on access ports; NAT/PAT hides internal addresses from the simulated outside network; firewall inspection is configured for HTTP and ICMP.</w:t>
      </w:r>
    </w:p>
    <w:p>
      <w:r>
        <w:t>Limitations: The ACL shown does not constitute a complete least-privilege departmental policy. The native trunk VLAN remains VLAN 1. No evidence was supplied for disabling unused ports, SSH-only management, administrative authentication hardening, logging, DHCP snooping, DAI, or a port-security violation test. The inside-to-outside default firewall policy and application-level access controls require additional review for production use.</w:t>
      </w:r>
    </w:p>
    <w:p>
      <w:pPr>
        <w:pStyle w:val="Heading1"/>
      </w:pPr>
      <w:r>
        <w:t>11. Recommended Follow-up Checks</w:t>
      </w:r>
    </w:p>
    <w:p>
      <w:r>
        <w:t>Before reusing this lab, save all device configurations, reopen the .pkt file, and repeat the ping tests. For a stronger security demonstration, document Finance-to-HR policy behavior separately and test least-privilege access rules.</w:t>
      </w:r>
    </w:p>
    <w:p>
      <w:pPr>
        <w:pStyle w:val="Heading1"/>
      </w:pPr>
      <w:r>
        <w:t>12. Conclusion</w:t>
      </w:r>
    </w:p>
    <w:p>
      <w:r>
        <w:t>The Cisco Packet Tracer enterprise network demonstrates working VLAN segmentation, router-on-a-stick inter-VLAN routing, HR-to-Finance ACL enforcement, sticky MAC port security, firewall routing, dynamic NAT/PAT, and configured HTTP/ICMP inspection. Available tests show IT access to both departments and to the simulated internet server. The project meets the main demonstrated implementation goals, while the outstanding validation and hardening tasks should be completed before presenting it as production-ready.</w:t>
      </w:r>
    </w:p>
    <w:p>
      <w:r>
        <w:t>This report includes thirteen actual screenshots within their relevant technical sections. No figure placeholders remain.</w:t>
      </w:r>
    </w:p>
    <w:sectPr w:rsidR="00FC693F" w:rsidRPr="0006063C" w:rsidSect="00034616">
      <w:headerReference w:type="default" r:id="rId9"/>
      <w:footerReference w:type="default" r:id="rId10"/>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Richard Sebopela  •  Cisco Packet Tracer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729D"/>
      </w:rPr>
      <w:t>ENTERPRISE NETWORK SECURITY  /  PROJECT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35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635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635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