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ANALISE DE LEGISLACAO TRIBUTARIA</w:t>
      </w:r>
    </w:p>
    <w:p/>
    <w:p>
      <w:pPr>
        <w:jc w:val="center"/>
      </w:pPr>
      <w:r>
        <w:rPr>
          <w:b/>
        </w:rPr>
        <w:t>Correio Eletronico Circular SEF/DIAT n 01/2026</w:t>
        <w:br/>
      </w:r>
      <w:r>
        <w:t>Gerado em: 18/05/2026 09:37  |  Modelo: claude-sonnet-4-6</w:t>
        <w:br/>
      </w:r>
      <w:r>
        <w:t>Secretaria de Estado da Fazenda de SC  |  DIAT/GEFIS</w:t>
      </w:r>
    </w:p>
    <w:p/>
    <w:p>
      <w:pPr>
        <w:pStyle w:val="Heading1"/>
      </w:pPr>
      <w:r>
        <w:t>1. Identificacao</w:t>
      </w:r>
    </w:p>
    <w:p>
      <w:r>
        <w:rPr>
          <w:b/>
        </w:rPr>
        <w:t xml:space="preserve">Ato: </w:t>
      </w:r>
      <w:r>
        <w:t>Correio Eletronico Circular SEF/DIAT n 01/2026</w:t>
      </w:r>
    </w:p>
    <w:p>
      <w:r>
        <w:rPr>
          <w:b/>
        </w:rPr>
        <w:t xml:space="preserve">Orgao emissor: </w:t>
      </w:r>
      <w:r>
        <w:t>Secretaria de Estado da Fazenda de SC  DIAT / GEFIS</w:t>
      </w:r>
    </w:p>
    <w:p>
      <w:r>
        <w:rPr>
          <w:b/>
        </w:rPr>
        <w:t xml:space="preserve">Data: </w:t>
      </w:r>
      <w:r>
        <w:t>06 de janeiro de 2026</w:t>
      </w:r>
    </w:p>
    <w:p>
      <w:r>
        <w:rPr>
          <w:b/>
        </w:rPr>
        <w:t xml:space="preserve">Embasamento legal: </w:t>
      </w:r>
      <w:r>
        <w:t>Decreto n 1.293/2025; Art. 149 e Art. 24-A do Anexo 03 do RICMS/SC; Art. 16 do Anexo 03</w:t>
      </w:r>
    </w:p>
    <w:p/>
    <w:p>
      <w:pPr>
        <w:pStyle w:val="Heading1"/>
      </w:pPr>
      <w:r>
        <w:t>2. Objetivo</w:t>
      </w:r>
    </w:p>
    <w:p>
      <w:r>
        <w:t>Comunicar a inclusao do atacadista de lubrificantes (CNAE 4681-8/05) no rol dos substitutos tributarios do art. 149, Anexo 03 do RICMS/SC, com vigencia a partir de 01/03/2026, orientando sobre os procedimentos praticos de adequacao fiscal e escritural.</w:t>
      </w:r>
    </w:p>
    <w:p/>
    <w:p>
      <w:pPr>
        <w:pStyle w:val="Heading1"/>
      </w:pPr>
      <w:r>
        <w:t>3. Principais Obrigacoes e Determinacoes</w:t>
      </w:r>
    </w:p>
    <w:p>
      <w:pPr>
        <w:pStyle w:val="Heading2"/>
      </w:pPr>
      <w:r>
        <w:t>3.1 Quem se enquadra</w:t>
      </w:r>
    </w:p>
    <w:p>
      <w:r>
        <w:t>Estabelecimento com CNAE 4681-8/05 que comercializa lubrificantes em revenda (sem consumo proprio), destinando a outros comerciantes, distribuidores ou usuarios finais.</w:t>
      </w:r>
    </w:p>
    <w:p>
      <w:pPr>
        <w:pStyle w:val="Heading2"/>
      </w:pPr>
      <w:r>
        <w:t>3.2 Operacoes SUJEITAS a ST</w:t>
      </w:r>
    </w:p>
    <w:p>
      <w:pPr>
        <w:pStyle w:val="ListBullet"/>
      </w:pPr>
      <w:r>
        <w:t>Operacoes internas com lubrificantes (derivados ou nao de petroleo) em SC</w:t>
      </w:r>
    </w:p>
    <w:p>
      <w:pPr>
        <w:pStyle w:val="ListBullet"/>
      </w:pPr>
      <w:r>
        <w:t>Saidas para contribuintes revendedores nao enquadrados como substitutos do mesmo bem</w:t>
      </w:r>
    </w:p>
    <w:p>
      <w:pPr>
        <w:pStyle w:val="ListBullet"/>
      </w:pPr>
      <w:r>
        <w:t>Vendas para prestadores de servico que usam lubrificante na prestacao (ex: oficinas, manutencao)</w:t>
      </w:r>
    </w:p>
    <w:p>
      <w:pPr>
        <w:pStyle w:val="Heading2"/>
      </w:pPr>
      <w:r>
        <w:t>3.3 Operacoes NAO sujeitas a ST</w:t>
      </w:r>
    </w:p>
    <w:p>
      <w:pPr>
        <w:pStyle w:val="ListBullet"/>
      </w:pPr>
      <w:r>
        <w:t>Entre dois substitutos tributarios do mesmo bem (art. 16, I, Anexo 03)</w:t>
      </w:r>
    </w:p>
    <w:p>
      <w:pPr>
        <w:pStyle w:val="ListBullet"/>
      </w:pPr>
      <w:r>
        <w:t>Venda para consumidor final (sem ICMS-ST por inexistencia de saida subsequente)</w:t>
      </w:r>
    </w:p>
    <w:p>
      <w:pPr>
        <w:pStyle w:val="ListBullet"/>
      </w:pPr>
      <w:r>
        <w:t>Venda para industria que usa o lubrificante como materia-prima/embalagem (desde que nao comercialize o mesmo bem)</w:t>
      </w:r>
    </w:p>
    <w:p>
      <w:pPr>
        <w:pStyle w:val="ListBullet"/>
      </w:pPr>
      <w:r>
        <w:t>Saidas para outros estados (observar legislacao do destino)</w:t>
      </w:r>
    </w:p>
    <w:p>
      <w:pPr>
        <w:pStyle w:val="Heading2"/>
      </w:pPr>
      <w:r>
        <w:t>3.4 Calculo do Imposto (a partir de 01/03/2026)</w:t>
      </w:r>
    </w:p>
    <w:p>
      <w:r>
        <w:rPr>
          <w:b/>
        </w:rPr>
        <w:t xml:space="preserve">BC do ICMS proprio: </w:t>
      </w:r>
      <w:r>
        <w:t>Preco praticado (+ frete, seguro, impostos transferiveis)</w:t>
      </w:r>
    </w:p>
    <w:p>
      <w:r>
        <w:rPr>
          <w:b/>
        </w:rPr>
        <w:t xml:space="preserve">BC do ICMS-ST: </w:t>
      </w:r>
      <w:r>
        <w:t>Preco praticado x 1,7103  (MVA atual de 71,03%  Ato COTEPE)</w:t>
      </w:r>
    </w:p>
    <w:p>
      <w:r>
        <w:rPr>
          <w:b/>
        </w:rPr>
        <w:t xml:space="preserve">Aliquota interna: </w:t>
      </w:r>
      <w:r>
        <w:t>17% sobre ambas as bases</w:t>
      </w:r>
    </w:p>
    <w:p>
      <w:r>
        <w:rPr>
          <w:b/>
        </w:rPr>
        <w:t xml:space="preserve">ICMS-ST: </w:t>
      </w:r>
      <w:r>
        <w:t>(BC-ST x 17%)  ICMS proprio destacado</w:t>
      </w:r>
    </w:p>
    <w:p>
      <w:pPr>
        <w:pStyle w:val="Heading2"/>
      </w:pPr>
      <w:r>
        <w:t>3.5 CFOPs e CSTs na NF-e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</w:rPr>
              <w:t>Destino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</w:rPr>
              <w:t>CFOP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</w:rPr>
              <w:t>CST</w:t>
            </w:r>
          </w:p>
        </w:tc>
      </w:tr>
      <w:tr>
        <w:tc>
          <w:tcPr>
            <w:tcW w:type="dxa" w:w="3135"/>
          </w:tcPr>
          <w:p>
            <w:r>
              <w:t>Revenda futura</w:t>
            </w:r>
          </w:p>
        </w:tc>
        <w:tc>
          <w:tcPr>
            <w:tcW w:type="dxa" w:w="3135"/>
          </w:tcPr>
          <w:p>
            <w:r>
              <w:t>5.655 / 6.655</w:t>
            </w:r>
          </w:p>
        </w:tc>
        <w:tc>
          <w:tcPr>
            <w:tcW w:type="dxa" w:w="3135"/>
          </w:tcPr>
          <w:p>
            <w:r>
              <w:t>10</w:t>
            </w:r>
          </w:p>
        </w:tc>
      </w:tr>
      <w:tr>
        <w:tc>
          <w:tcPr>
            <w:tcW w:type="dxa" w:w="3135"/>
          </w:tcPr>
          <w:p>
            <w:r>
              <w:t>Consumidor final</w:t>
            </w:r>
          </w:p>
        </w:tc>
        <w:tc>
          <w:tcPr>
            <w:tcW w:type="dxa" w:w="3135"/>
          </w:tcPr>
          <w:p>
            <w:r>
              <w:t>5.656 / 6.656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</w:tbl>
    <w:p/>
    <w:p>
      <w:pPr>
        <w:pStyle w:val="Heading2"/>
      </w:pPr>
      <w:r>
        <w:t>3.6 Recolhimento</w:t>
      </w:r>
    </w:p>
    <w:p>
      <w:r>
        <w:rPr>
          <w:b/>
        </w:rPr>
        <w:t xml:space="preserve">DARE-SC codigo: </w:t>
      </w:r>
      <w:r>
        <w:t>1473  ICMS Substituicao Tributaria  Operacoes Internas</w:t>
      </w:r>
    </w:p>
    <w:p>
      <w:r>
        <w:rPr>
          <w:b/>
        </w:rPr>
        <w:t xml:space="preserve">Prazo: </w:t>
      </w:r>
      <w:r>
        <w:t>Ate o 10 dia do mes subsequente ao fato gerador</w:t>
      </w:r>
    </w:p>
    <w:p/>
    <w:p>
      <w:pPr>
        <w:pStyle w:val="Heading1"/>
      </w:pPr>
      <w:r>
        <w:t>4. Prazos e Vigencias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Evento</w:t>
            </w:r>
          </w:p>
        </w:tc>
      </w:tr>
      <w:tr>
        <w:tc>
          <w:tcPr>
            <w:tcW w:type="dxa" w:w="4703"/>
          </w:tcPr>
          <w:p>
            <w:r>
              <w:t>01/03/2026</w:t>
            </w:r>
          </w:p>
        </w:tc>
        <w:tc>
          <w:tcPr>
            <w:tcW w:type="dxa" w:w="4703"/>
          </w:tcPr>
          <w:p>
            <w:r>
              <w:t>Inicio da obrigacao como substituto tributario</w:t>
            </w:r>
          </w:p>
        </w:tc>
      </w:tr>
      <w:tr>
        <w:tc>
          <w:tcPr>
            <w:tcW w:type="dxa" w:w="4703"/>
          </w:tcPr>
          <w:p>
            <w:r>
              <w:t>28/02/2026</w:t>
            </w:r>
          </w:p>
        </w:tc>
        <w:tc>
          <w:tcPr>
            <w:tcW w:type="dxa" w:w="4703"/>
          </w:tcPr>
          <w:p>
            <w:r>
              <w:t>Data de referencia do levantamento de estoque</w:t>
            </w:r>
          </w:p>
        </w:tc>
      </w:tr>
      <w:tr>
        <w:tc>
          <w:tcPr>
            <w:tcW w:type="dxa" w:w="4703"/>
          </w:tcPr>
          <w:p>
            <w:r>
              <w:t>Marco/2026</w:t>
            </w:r>
          </w:p>
        </w:tc>
        <w:tc>
          <w:tcPr>
            <w:tcW w:type="dxa" w:w="4703"/>
          </w:tcPr>
          <w:p>
            <w:r>
              <w:t>Mes de apropriacao dos creditos de estoque (EFD + DIME)</w:t>
            </w:r>
          </w:p>
        </w:tc>
      </w:tr>
    </w:tbl>
    <w:p/>
    <w:p>
      <w:pPr>
        <w:pStyle w:val="Heading1"/>
      </w:pPr>
      <w:r>
        <w:t>5. Ajuste de Estoque Obrigatorio (Art. 24-A, Anexo 03)</w:t>
      </w:r>
    </w:p>
    <w:p>
      <w:r>
        <w:t>Para mercadorias em estoque com ICMS-ST ja retido anteriormente, o contribuinte podera creditar-se do imposto retido conforme os passos abaixo:</w:t>
      </w:r>
    </w:p>
    <w:p>
      <w:pPr>
        <w:pStyle w:val="Heading2"/>
      </w:pPr>
      <w:r>
        <w:t>Passo 1  Levantamento em 28/02/2026</w:t>
      </w:r>
    </w:p>
    <w:p>
      <w:pPr>
        <w:pStyle w:val="ListBullet"/>
      </w:pPr>
      <w:r>
        <w:t>Media ICMS proprio = Valor total ICMS proprio  Quantidade adquirida (ultimo mes por produto)</w:t>
      </w:r>
    </w:p>
    <w:p>
      <w:pPr>
        <w:pStyle w:val="ListBullet"/>
      </w:pPr>
      <w:r>
        <w:t>Media ICMS-ST = Valor total ICMS-ST  Quantidade adquirida (CST 10 ou CST 60 conforme a nota)</w:t>
      </w:r>
    </w:p>
    <w:p>
      <w:pPr>
        <w:pStyle w:val="ListBullet"/>
      </w:pPr>
      <w:r>
        <w:t>Se houver ambos os recebimentos, calcular media ponderada do ICMS-ST total por unidade</w:t>
      </w:r>
    </w:p>
    <w:p>
      <w:pPr>
        <w:pStyle w:val="Heading2"/>
      </w:pPr>
      <w:r>
        <w:t>Passo 2  Apropriacao em marco/2026</w:t>
      </w:r>
    </w:p>
    <w:p>
      <w:pPr>
        <w:pStyle w:val="ListBullet"/>
      </w:pPr>
      <w:r>
        <w:t>EFD  Credito ICMS proprio: ajuste SC020081 no Registro E111</w:t>
      </w:r>
    </w:p>
    <w:p>
      <w:pPr>
        <w:pStyle w:val="ListBullet"/>
      </w:pPr>
      <w:r>
        <w:t>EFD  Credito ICMS-ST: ajuste SC120013 no Registro E220</w:t>
      </w:r>
    </w:p>
    <w:p>
      <w:pPr>
        <w:pStyle w:val="ListBullet"/>
      </w:pPr>
      <w:r>
        <w:t>EFD  Inventario: Registros H005/H010/H020, motivo 02 (mudanca de forma de tributacao)</w:t>
      </w:r>
    </w:p>
    <w:p>
      <w:pPr>
        <w:pStyle w:val="ListBullet"/>
      </w:pPr>
      <w:r>
        <w:t>DIME  ICMS proprio: DCIP 2-81  Quadro 09, Item 75</w:t>
      </w:r>
    </w:p>
    <w:p>
      <w:pPr>
        <w:pStyle w:val="ListBullet"/>
      </w:pPr>
      <w:r>
        <w:t>DIME  ICMS-ST: DCIP 6-15  Quadro 11, Item 105</w:t>
      </w:r>
    </w:p>
    <w:p/>
    <w:p>
      <w:pPr>
        <w:pStyle w:val="Heading1"/>
      </w:pPr>
      <w:r>
        <w:t>6. Pontos de Atencao</w:t>
      </w:r>
    </w:p>
    <w:p>
      <w:r>
        <w:rPr>
          <w:b/>
        </w:rPr>
        <w:t xml:space="preserve">  Codigo de produto unico na EFD: </w:t>
      </w:r>
      <w:r>
        <w:t>Cada lubrificante deve ter um unico COD_ITEM no Registro 0200; nao pode haver duplicidade ou reutilizacao de codigo.</w:t>
      </w:r>
    </w:p>
    <w:p>
      <w:r>
        <w:rPr>
          <w:b/>
        </w:rPr>
        <w:t xml:space="preserve">  Unidade de medida: </w:t>
      </w:r>
      <w:r>
        <w:t>Se a unidade da NF-e de entrada diferir da UNID_INV do Reg. 0200, exige Reg. 0190 (conversao) e Reg. 0220 (fator de conversao).</w:t>
      </w:r>
    </w:p>
    <w:p>
      <w:r>
        <w:rPr>
          <w:b/>
        </w:rPr>
        <w:t xml:space="preserve">  Simples Nacional: </w:t>
      </w:r>
      <w:r>
        <w:t>Segregar operacoes com ST do Simples (art. 13 par.1, XIII, LC 123/06). Ajuste de estoque: art. 25, par.8, I, Resolucao CGSN 140/2018.</w:t>
      </w:r>
    </w:p>
    <w:p>
      <w:r>
        <w:rPr>
          <w:b/>
        </w:rPr>
        <w:t xml:space="preserve">  ICMS-ST na EFD: </w:t>
      </w:r>
      <w:r>
        <w:t>Lancar no Reg. E220 (debito de ST). ICMS proprio permanece no Reg. E110.</w:t>
      </w:r>
    </w:p>
    <w:p>
      <w:r>
        <w:rPr>
          <w:b/>
        </w:rPr>
        <w:t xml:space="preserve">  MVA: </w:t>
      </w:r>
      <w:r>
        <w:t>Valor atual de 71,03% (verificar CONFAZ para atualizacoes: confaz.fazenda.gov.br).</w:t>
      </w:r>
    </w:p>
    <w:p>
      <w:r>
        <w:rPr>
          <w:b/>
        </w:rPr>
        <w:t xml:space="preserve">  Acao fiscal: </w:t>
      </w:r>
      <w:r>
        <w:t>Este comunicado NAO configura inicio de acao fiscal (arts. 114-119, RNGDT-SC, Decreto 22.586/84).</w:t>
      </w:r>
    </w:p>
    <w:p>
      <w:r>
        <w:rPr>
          <w:b/>
        </w:rPr>
        <w:t xml:space="preserve">  Duvidas: </w:t>
      </w:r>
      <w:r>
        <w:t>GESCOL  gescol@sef.sc.gov.br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sz w:val="18"/>
        </w:rPr>
        <w:t>Documento gerado automaticamente pelo sistema de analise de legislacao</w:t>
        <w:br/>
        <w:t>Projeto Escrita SDD  |  18/05/2026 09:37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