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APÊNDICE C — EVIDÊNCIAS DE EXECUÇÃO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</w:rPr>
        <w:t>MATERIAL SUPLEMENTAR</w:t>
      </w:r>
    </w:p>
    <w:p/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Material suplementar do artigo </w:t>
      </w:r>
      <w:r>
        <w:rPr>
          <w:rFonts w:ascii="Times New Roman" w:hAnsi="Times New Roman" w:cs="Times New Roman" w:eastAsia="Times New Roman"/>
          <w:i/>
          <w:sz w:val="24"/>
        </w:rPr>
        <w:t>Avaliação Técnica de uma Arquitetura Web baseada em BaaS/Serverless para Intermediação de Serviços: um estudo de caso da plataforma Hubservi</w:t>
      </w:r>
      <w:r>
        <w:rPr>
          <w:rFonts w:ascii="Times New Roman" w:hAnsi="Times New Roman" w:cs="Times New Roman" w:eastAsia="Times New Roman"/>
          <w:sz w:val="24"/>
        </w:rPr>
        <w:t>, de Pedro Conrado Fernandes Vieira e Richardy Gabriel Rodrigues da Costa, sob orientação do Prof. Daniel Facciolo Pires (Uni-FACEF, 2026).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>Este apêndice reúne as capturas de tela de todas as execuções de ferramenta que sustentam os resultados da Seção 7 do artigo. As mais relevantes — as que evidenciam os três defeitos detectados e os pares antes/depois de cobertura e de desempenho — são reproduzidas também no corpo do artigo; o conjunto completo fica aqui, para que a verificação de qualquer número reportado não dependa de acesso ao ambiente de execução.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>As saídas brutas correspondentes, citadas na linha de fonte de cada figura, estão versionadas em https://github.com/Richardy-Rodrigues/hubservi/tree/tcc-v2/docs/tcc/medicoes/evidencias, e o registro de cada medição — com ferramenta, versão, critério, valor e veredito — em https://github.com/Richardy-Rodrigues/hubservi/blob/tcc-v2/docs/tcc/medicoes/registro-medicoes.md. O procedimento para reexecutar cada uma delas é o do Apêndice B (VIEIRA; COSTA, 2026b).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b/>
          <w:sz w:val="24"/>
        </w:rPr>
        <w:t>Nota de método, válida para todas as figuras.</w:t>
      </w:r>
      <w:r>
        <w:rPr>
          <w:rFonts w:ascii="Times New Roman" w:hAnsi="Times New Roman" w:cs="Times New Roman" w:eastAsia="Times New Roman"/>
          <w:sz w:val="24"/>
        </w:rPr>
        <w:t xml:space="preserve"> As capturas </w:t>
      </w:r>
      <w:r>
        <w:rPr>
          <w:rFonts w:ascii="Times New Roman" w:hAnsi="Times New Roman" w:cs="Times New Roman" w:eastAsia="Times New Roman"/>
          <w:b/>
          <w:sz w:val="24"/>
        </w:rPr>
        <w:t>reencenam na tela as saídas preservadas</w:t>
      </w:r>
      <w:r>
        <w:rPr>
          <w:rFonts w:ascii="Times New Roman" w:hAnsi="Times New Roman" w:cs="Times New Roman" w:eastAsia="Times New Roman"/>
          <w:sz w:val="24"/>
        </w:rPr>
        <w:t xml:space="preserve"> das execuções de 15 e 16 de julho de 2026, no </w:t>
      </w:r>
      <w:r>
        <w:rPr>
          <w:rFonts w:ascii="Times New Roman" w:hAnsi="Times New Roman" w:cs="Times New Roman" w:eastAsia="Times New Roman"/>
          <w:i/>
          <w:sz w:val="24"/>
        </w:rPr>
        <w:t>commit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i/>
          <w:sz w:val="24"/>
        </w:rPr>
        <w:t>ad89e6c</w:t>
      </w:r>
      <w:r>
        <w:rPr>
          <w:rFonts w:ascii="Times New Roman" w:hAnsi="Times New Roman" w:cs="Times New Roman" w:eastAsia="Times New Roman"/>
          <w:sz w:val="24"/>
        </w:rPr>
        <w:t>. Nenhuma medição foi reexecutada para produzi-las, e é isso que garante que cada número visível nas imagens seja idêntico ao reportado no artigo. A reencenação é literal: as saídas de terminal são impressas byte a byte, com as sequências de cor originais, e os relatórios do ESLint e do Lighthouse são renderizados pelo relatório oficial da própria ferramenta, a partir dos arquivos JSON arquivados. Reexecutar as ferramentas hoje produziria números diferentes dos do artigo — e a saída que evidencia a exposição de PII (Figura C.10) sequer é reproduzível, já que o defeito foi corrigido.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b/>
          <w:sz w:val="24"/>
        </w:rPr>
        <w:t>Uma lacuna declarada.</w:t>
      </w:r>
      <w:r>
        <w:rPr>
          <w:rFonts w:ascii="Times New Roman" w:hAnsi="Times New Roman" w:cs="Times New Roman" w:eastAsia="Times New Roman"/>
          <w:sz w:val="24"/>
        </w:rPr>
        <w:t xml:space="preserve"> O catálogo de capturas do repositório prevê 18 telas; 17 estão reproduzidas aqui. Falta a do Madge (medição M-03, ausência de dependências circulares), que não chegou a ser capturada. A medição não fica sem evidência: ela é atestada pelo arquivo bruto </w:t>
      </w:r>
      <w:r>
        <w:rPr>
          <w:rFonts w:ascii="Times New Roman" w:hAnsi="Times New Roman" w:cs="Times New Roman" w:eastAsia="Times New Roman"/>
          <w:i/>
          <w:sz w:val="24"/>
        </w:rPr>
        <w:t>evidencias/2026-07-15/madge-circular.txt</w:t>
      </w:r>
      <w:r>
        <w:rPr>
          <w:rFonts w:ascii="Times New Roman" w:hAnsi="Times New Roman" w:cs="Times New Roman" w:eastAsia="Times New Roman"/>
          <w:sz w:val="24"/>
        </w:rPr>
        <w:t xml:space="preserve"> e confirmada de forma independente por segunda ferramenta, o dependency-cruiser (Figura C.7).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>Tabela C.1 — Índice das evidências de execução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left w:val="none" w:sz="8" w:space="0" w:color="auto"/>
          <w:right w:val="none" w:sz="8" w:space="0" w:color="auto"/>
          <w:insideH w:val="none" w:sz="8" w:space="0" w:color="auto"/>
          <w:insideV w:val="none" w:sz="8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Figura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Captura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Ferramenta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Saída bruta preservada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registro de ambiente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evidencias/2026-07-15/ambiente.txt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Vitest 3.2.7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evidencias/2026-07-15/vitest-unit.log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Vitest com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@vitest/coverage-v8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evidencias/2026-07-16/coverage-semana5.txt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ESLint 9.32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evidencias/2026-07-15/eslint-report.json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ESLint 9.32 com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eslint-plugin-sonarjs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evidencias/2026-07-16/eslint-sonarjs-report.json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P-07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jscpd 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evidencias/2026-07-16/jscpd/jscpd-report.json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P-08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dependency-cruiser 16.10.4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evidencias/2026-07-16/depcruise-metrics.txt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P-09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Supabase CLI 2.109.1 e Vitest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evidencias/2026-07-16/vitest-integration.log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Vitest (integração)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evidencias/2026-07-16/suite-integracao-completa.log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Vitest (integração)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evidencias/2026-07-16/rls-furos-ANTES.log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Vitest (integração)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evidencias/2026-07-16/rls-furos-DEPOIS.log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psql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sobre o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stack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local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evidencias/2026-07-16/grants-profiles-depois.txt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Lighthouse 12.8.2, perfil móvel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evidencias/2026-07-16/lighthouse-3.json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Lighthouse 12.8.2, perfil móvel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evidencias/2026-07-16/lighthouse-split-2.json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autocannon 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evidencias/2026-07-16/autocannon-load.json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npm audit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evidencias/2026-07-16/npm-audit.json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C.17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P-18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supabase db lint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2.109.1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evidencias/2026-07-16/supabase-db-lint.txt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C.1 — Ambiente de medição: sistema operacional, processador, Node.js e versões das ferramentas, no </w:t>
      </w:r>
      <w:r>
        <w:rPr>
          <w:rFonts w:ascii="Times New Roman" w:hAnsi="Times New Roman" w:cs="Times New Roman" w:eastAsia="Times New Roman"/>
          <w:b/>
          <w:i/>
          <w:sz w:val="24"/>
        </w:rPr>
        <w:t>commit</w:t>
      </w:r>
      <w:r>
        <w:rPr>
          <w:rFonts w:ascii="Times New Roman" w:hAnsi="Times New Roman" w:cs="Times New Roman" w:eastAsia="Times New Roman"/>
          <w:b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i/>
          <w:sz w:val="24"/>
        </w:rPr>
        <w:t>ad89e6c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9744" cy="593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-reprodutibilidad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593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registro de ambiente; execução de 15 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evidencias/2026-07-15/ambiente.txt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C.2 — Suíte unitária do </w:t>
      </w:r>
      <w:r>
        <w:rPr>
          <w:rFonts w:ascii="Times New Roman" w:hAnsi="Times New Roman" w:cs="Times New Roman" w:eastAsia="Times New Roman"/>
          <w:b/>
          <w:i/>
          <w:sz w:val="24"/>
        </w:rPr>
        <w:t>baseline</w:t>
      </w:r>
      <w:r>
        <w:rPr>
          <w:rFonts w:ascii="Times New Roman" w:hAnsi="Times New Roman" w:cs="Times New Roman" w:eastAsia="Times New Roman"/>
          <w:b/>
          <w:sz w:val="24"/>
        </w:rPr>
        <w:t>, com os 11 testes existentes no início da avaliação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46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-vite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4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Vitest 3.2.7; execução de 15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evidencias/2026-07-15/vitest-unit.log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C.3 — Cobertura após a ampliação da suíte: 31,99% das linhas (559 de 1.747) e 75% dos ramos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50080" cy="5583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-cobertura-tes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558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Vitest com </w:t>
      </w:r>
      <w:r>
        <w:rPr>
          <w:rFonts w:ascii="Times New Roman" w:hAnsi="Times New Roman" w:cs="Times New Roman" w:eastAsia="Times New Roman"/>
          <w:i/>
          <w:sz w:val="20"/>
        </w:rPr>
        <w:t>@vitest/coverage-v8</w:t>
      </w:r>
      <w:r>
        <w:rPr>
          <w:rFonts w:ascii="Times New Roman" w:hAnsi="Times New Roman" w:cs="Times New Roman" w:eastAsia="Times New Roman"/>
          <w:sz w:val="20"/>
        </w:rPr>
        <w:t xml:space="preserve">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evidencias/2026-07-16/coverage-semana5.txt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C.4 — Análise estática na configuração do projeto: 19 erros e 9 avisos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341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-M-02-esli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4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ESLint 9.32; execução de 15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evidencias/2026-07-15/eslint-report.json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C.5 — Análise estática sob a configuração de medição, com regras de complexidade e de </w:t>
      </w:r>
      <w:r>
        <w:rPr>
          <w:rFonts w:ascii="Times New Roman" w:hAnsi="Times New Roman" w:cs="Times New Roman" w:eastAsia="Times New Roman"/>
          <w:b/>
          <w:i/>
          <w:sz w:val="24"/>
        </w:rPr>
        <w:t>code smells</w:t>
      </w:r>
      <w:r>
        <w:rPr>
          <w:rFonts w:ascii="Times New Roman" w:hAnsi="Times New Roman" w:cs="Times New Roman" w:eastAsia="Times New Roman"/>
          <w:b/>
          <w:sz w:val="24"/>
        </w:rPr>
        <w:t>: 25 erros e 4 avisos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127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-M-21-eslint-sonarj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2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ESLint 9.32 com </w:t>
      </w:r>
      <w:r>
        <w:rPr>
          <w:rFonts w:ascii="Times New Roman" w:hAnsi="Times New Roman" w:cs="Times New Roman" w:eastAsia="Times New Roman"/>
          <w:i/>
          <w:sz w:val="20"/>
        </w:rPr>
        <w:t>eslint-plugin-sonarjs</w:t>
      </w:r>
      <w:r>
        <w:rPr>
          <w:rFonts w:ascii="Times New Roman" w:hAnsi="Times New Roman" w:cs="Times New Roman" w:eastAsia="Times New Roman"/>
          <w:sz w:val="20"/>
        </w:rPr>
        <w:t xml:space="preserve"> 3;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evidencias/2026-07-16/eslint-sonarjs-report.json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C.6 — Duplicação de código no agregado: 3,03% — 10 clones, 107 de 3.528 linhas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24400" cy="2828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-M-22-duplicacao-cod-jscp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jscpd 4;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evidencias/2026-07-16/jscpd/jscpd-report.json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C.7 — Instabilidade por módulo: núcleo estável (</w:t>
      </w:r>
      <w:r>
        <w:rPr>
          <w:rFonts w:ascii="Times New Roman" w:hAnsi="Times New Roman" w:cs="Times New Roman" w:eastAsia="Times New Roman"/>
          <w:b/>
          <w:i/>
          <w:sz w:val="24"/>
        </w:rPr>
        <w:t>lib/utils</w:t>
      </w:r>
      <w:r>
        <w:rPr>
          <w:rFonts w:ascii="Times New Roman" w:hAnsi="Times New Roman" w:cs="Times New Roman" w:eastAsia="Times New Roman"/>
          <w:b/>
          <w:sz w:val="24"/>
        </w:rPr>
        <w:t xml:space="preserve"> 4%, </w:t>
      </w:r>
      <w:r>
        <w:rPr>
          <w:rFonts w:ascii="Times New Roman" w:hAnsi="Times New Roman" w:cs="Times New Roman" w:eastAsia="Times New Roman"/>
          <w:b/>
          <w:i/>
          <w:sz w:val="24"/>
        </w:rPr>
        <w:t>client.ts</w:t>
      </w:r>
      <w:r>
        <w:rPr>
          <w:rFonts w:ascii="Times New Roman" w:hAnsi="Times New Roman" w:cs="Times New Roman" w:eastAsia="Times New Roman"/>
          <w:b/>
          <w:sz w:val="24"/>
        </w:rPr>
        <w:t xml:space="preserve"> 8%, </w:t>
      </w:r>
      <w:r>
        <w:rPr>
          <w:rFonts w:ascii="Times New Roman" w:hAnsi="Times New Roman" w:cs="Times New Roman" w:eastAsia="Times New Roman"/>
          <w:b/>
          <w:i/>
          <w:sz w:val="24"/>
        </w:rPr>
        <w:t>AuthContext</w:t>
      </w:r>
      <w:r>
        <w:rPr>
          <w:rFonts w:ascii="Times New Roman" w:hAnsi="Times New Roman" w:cs="Times New Roman" w:eastAsia="Times New Roman"/>
          <w:b/>
          <w:sz w:val="24"/>
        </w:rPr>
        <w:t xml:space="preserve"> 13%) e folhas voláteis entre 90% e 100%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471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-M-23-24-acoplamento-instabilida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dependency-cruiser 16.10.4;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evidencias/2026-07-16/depcruise-metrics.txt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C.8 — Reconstrução do banco a partir do histórico versionado (10 </w:t>
      </w:r>
      <w:r>
        <w:rPr>
          <w:rFonts w:ascii="Times New Roman" w:hAnsi="Times New Roman" w:cs="Times New Roman" w:eastAsia="Times New Roman"/>
          <w:b/>
          <w:i/>
          <w:sz w:val="24"/>
        </w:rPr>
        <w:t>migrations</w:t>
      </w:r>
      <w:r>
        <w:rPr>
          <w:rFonts w:ascii="Times New Roman" w:hAnsi="Times New Roman" w:cs="Times New Roman" w:eastAsia="Times New Roman"/>
          <w:b/>
          <w:sz w:val="24"/>
        </w:rPr>
        <w:t xml:space="preserve"> e </w:t>
      </w:r>
      <w:r>
        <w:rPr>
          <w:rFonts w:ascii="Times New Roman" w:hAnsi="Times New Roman" w:cs="Times New Roman" w:eastAsia="Times New Roman"/>
          <w:b/>
          <w:i/>
          <w:sz w:val="24"/>
        </w:rPr>
        <w:t>seed</w:t>
      </w:r>
      <w:r>
        <w:rPr>
          <w:rFonts w:ascii="Times New Roman" w:hAnsi="Times New Roman" w:cs="Times New Roman" w:eastAsia="Times New Roman"/>
          <w:b/>
          <w:sz w:val="24"/>
        </w:rPr>
        <w:t xml:space="preserve">) e </w:t>
      </w:r>
      <w:r>
        <w:rPr>
          <w:rFonts w:ascii="Times New Roman" w:hAnsi="Times New Roman" w:cs="Times New Roman" w:eastAsia="Times New Roman"/>
          <w:b/>
          <w:i/>
          <w:sz w:val="24"/>
        </w:rPr>
        <w:t>smoke</w:t>
      </w:r>
      <w:r>
        <w:rPr>
          <w:rFonts w:ascii="Times New Roman" w:hAnsi="Times New Roman" w:cs="Times New Roman" w:eastAsia="Times New Roman"/>
          <w:b/>
          <w:sz w:val="24"/>
        </w:rPr>
        <w:t xml:space="preserve"> de integração aprovado, 4 de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128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-M-04-05-stack-local-smoke-integraca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Supabase CLI 2.109.1 e Vitest;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evidencias/2026-07-16/vitest-integration.log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C.9 — Suíte completa de autorização (RLS) e de </w:t>
      </w:r>
      <w:r>
        <w:rPr>
          <w:rFonts w:ascii="Times New Roman" w:hAnsi="Times New Roman" w:cs="Times New Roman" w:eastAsia="Times New Roman"/>
          <w:b/>
          <w:i/>
          <w:sz w:val="24"/>
        </w:rPr>
        <w:t>triggers</w:t>
      </w:r>
      <w:r>
        <w:rPr>
          <w:rFonts w:ascii="Times New Roman" w:hAnsi="Times New Roman" w:cs="Times New Roman" w:eastAsia="Times New Roman"/>
          <w:b/>
          <w:sz w:val="24"/>
        </w:rPr>
        <w:t>, executada contra a API PostgREST real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111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-M-05-13-rls-trigg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1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Vitest (integração);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evidencias/2026-07-16/suite-integracao-completa.log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C.10 — </w:t>
      </w:r>
      <w:r>
        <w:rPr>
          <w:rFonts w:ascii="Times New Roman" w:hAnsi="Times New Roman" w:cs="Times New Roman" w:eastAsia="Times New Roman"/>
          <w:b/>
          <w:sz w:val="24"/>
        </w:rPr>
        <w:t>Antes</w:t>
      </w:r>
      <w:r>
        <w:rPr>
          <w:rFonts w:ascii="Times New Roman" w:hAnsi="Times New Roman" w:cs="Times New Roman" w:eastAsia="Times New Roman"/>
          <w:b/>
          <w:sz w:val="24"/>
        </w:rPr>
        <w:t xml:space="preserve"> da correção: duas falhas, com o vazamento literal do campo </w:t>
      </w:r>
      <w:r>
        <w:rPr>
          <w:rFonts w:ascii="Times New Roman" w:hAnsi="Times New Roman" w:cs="Times New Roman" w:eastAsia="Times New Roman"/>
          <w:b/>
          <w:i/>
          <w:sz w:val="24"/>
        </w:rPr>
        <w:t>email</w:t>
      </w:r>
      <w:r>
        <w:rPr>
          <w:rFonts w:ascii="Times New Roman" w:hAnsi="Times New Roman" w:cs="Times New Roman" w:eastAsia="Times New Roman"/>
          <w:b/>
          <w:sz w:val="24"/>
        </w:rPr>
        <w:t xml:space="preserve"> de outro usuário na saída do teste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87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-F02-03-antes-correc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87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Vitest (integração);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evidencias/2026-07-16/rls-furos-ANTES.log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C.11 — </w:t>
      </w:r>
      <w:r>
        <w:rPr>
          <w:rFonts w:ascii="Times New Roman" w:hAnsi="Times New Roman" w:cs="Times New Roman" w:eastAsia="Times New Roman"/>
          <w:b/>
          <w:sz w:val="24"/>
        </w:rPr>
        <w:t>Depois</w:t>
      </w:r>
      <w:r>
        <w:rPr>
          <w:rFonts w:ascii="Times New Roman" w:hAnsi="Times New Roman" w:cs="Times New Roman" w:eastAsia="Times New Roman"/>
          <w:b/>
          <w:sz w:val="24"/>
        </w:rPr>
        <w:t xml:space="preserve"> da correção: os mesmos dois testes aprovados, após as </w:t>
      </w:r>
      <w:r>
        <w:rPr>
          <w:rFonts w:ascii="Times New Roman" w:hAnsi="Times New Roman" w:cs="Times New Roman" w:eastAsia="Times New Roman"/>
          <w:b/>
          <w:i/>
          <w:sz w:val="24"/>
        </w:rPr>
        <w:t>migrations</w:t>
      </w:r>
      <w:r>
        <w:rPr>
          <w:rFonts w:ascii="Times New Roman" w:hAnsi="Times New Roman" w:cs="Times New Roman" w:eastAsia="Times New Roman"/>
          <w:b/>
          <w:sz w:val="24"/>
        </w:rPr>
        <w:t xml:space="preserve"> corretivas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39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-F-02-03-depois-correca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Vitest (integração);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evidencias/2026-07-16/rls-furos-DEPOIS.log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C.12 — Privilégios de API concedidos aos papéis </w:t>
      </w:r>
      <w:r>
        <w:rPr>
          <w:rFonts w:ascii="Times New Roman" w:hAnsi="Times New Roman" w:cs="Times New Roman" w:eastAsia="Times New Roman"/>
          <w:b/>
          <w:i/>
          <w:sz w:val="24"/>
        </w:rPr>
        <w:t>anon</w:t>
      </w:r>
      <w:r>
        <w:rPr>
          <w:rFonts w:ascii="Times New Roman" w:hAnsi="Times New Roman" w:cs="Times New Roman" w:eastAsia="Times New Roman"/>
          <w:b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/>
          <w:sz w:val="24"/>
        </w:rPr>
        <w:t>authenticated</w:t>
      </w:r>
      <w:r>
        <w:rPr>
          <w:rFonts w:ascii="Times New Roman" w:hAnsi="Times New Roman" w:cs="Times New Roman" w:eastAsia="Times New Roman"/>
          <w:b/>
          <w:sz w:val="24"/>
        </w:rPr>
        <w:t xml:space="preserve"> e </w:t>
      </w:r>
      <w:r>
        <w:rPr>
          <w:rFonts w:ascii="Times New Roman" w:hAnsi="Times New Roman" w:cs="Times New Roman" w:eastAsia="Times New Roman"/>
          <w:b/>
          <w:i/>
          <w:sz w:val="24"/>
        </w:rPr>
        <w:t>service_role</w:t>
      </w:r>
      <w:r>
        <w:rPr>
          <w:rFonts w:ascii="Times New Roman" w:hAnsi="Times New Roman" w:cs="Times New Roman" w:eastAsia="Times New Roman"/>
          <w:b/>
          <w:sz w:val="24"/>
        </w:rPr>
        <w:t xml:space="preserve"> sobre </w:t>
      </w:r>
      <w:r>
        <w:rPr>
          <w:rFonts w:ascii="Times New Roman" w:hAnsi="Times New Roman" w:cs="Times New Roman" w:eastAsia="Times New Roman"/>
          <w:b/>
          <w:i/>
          <w:sz w:val="24"/>
        </w:rPr>
        <w:t>profiles</w:t>
      </w:r>
      <w:r>
        <w:rPr>
          <w:rFonts w:ascii="Times New Roman" w:hAnsi="Times New Roman" w:cs="Times New Roman" w:eastAsia="Times New Roman"/>
          <w:b/>
          <w:sz w:val="24"/>
        </w:rPr>
        <w:t xml:space="preserve">, após a </w:t>
      </w:r>
      <w:r>
        <w:rPr>
          <w:rFonts w:ascii="Times New Roman" w:hAnsi="Times New Roman" w:cs="Times New Roman" w:eastAsia="Times New Roman"/>
          <w:b/>
          <w:i/>
          <w:sz w:val="24"/>
        </w:rPr>
        <w:t>migration</w:t>
      </w:r>
      <w:r>
        <w:rPr>
          <w:rFonts w:ascii="Times New Roman" w:hAnsi="Times New Roman" w:cs="Times New Roman" w:eastAsia="Times New Roman"/>
          <w:b/>
          <w:sz w:val="24"/>
        </w:rPr>
        <w:t xml:space="preserve"> que tornou o histórico auto-suficiente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929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-F-01-privilegio-api-public-profi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92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</w:t>
      </w:r>
      <w:r>
        <w:rPr>
          <w:rFonts w:ascii="Times New Roman" w:hAnsi="Times New Roman" w:cs="Times New Roman" w:eastAsia="Times New Roman"/>
          <w:i/>
          <w:sz w:val="20"/>
        </w:rPr>
        <w:t>psql</w:t>
      </w:r>
      <w:r>
        <w:rPr>
          <w:rFonts w:ascii="Times New Roman" w:hAnsi="Times New Roman" w:cs="Times New Roman" w:eastAsia="Times New Roman"/>
          <w:sz w:val="20"/>
        </w:rPr>
        <w:t xml:space="preserve"> sobre o </w:t>
      </w:r>
      <w:r>
        <w:rPr>
          <w:rFonts w:ascii="Times New Roman" w:hAnsi="Times New Roman" w:cs="Times New Roman" w:eastAsia="Times New Roman"/>
          <w:i/>
          <w:sz w:val="20"/>
        </w:rPr>
        <w:t>stack</w:t>
      </w:r>
      <w:r>
        <w:rPr>
          <w:rFonts w:ascii="Times New Roman" w:hAnsi="Times New Roman" w:cs="Times New Roman" w:eastAsia="Times New Roman"/>
          <w:sz w:val="20"/>
        </w:rPr>
        <w:t xml:space="preserve"> local;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evidencias/2026-07-16/grants-profiles-depois.txt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C.13 — Carregamento inicial </w:t>
      </w:r>
      <w:r>
        <w:rPr>
          <w:rFonts w:ascii="Times New Roman" w:hAnsi="Times New Roman" w:cs="Times New Roman" w:eastAsia="Times New Roman"/>
          <w:b/>
          <w:sz w:val="24"/>
        </w:rPr>
        <w:t>antes</w:t>
      </w:r>
      <w:r>
        <w:rPr>
          <w:rFonts w:ascii="Times New Roman" w:hAnsi="Times New Roman" w:cs="Times New Roman" w:eastAsia="Times New Roman"/>
          <w:b/>
          <w:sz w:val="24"/>
        </w:rPr>
        <w:t xml:space="preserve"> do </w:t>
      </w:r>
      <w:r>
        <w:rPr>
          <w:rFonts w:ascii="Times New Roman" w:hAnsi="Times New Roman" w:cs="Times New Roman" w:eastAsia="Times New Roman"/>
          <w:b/>
          <w:i/>
          <w:sz w:val="24"/>
        </w:rPr>
        <w:t>code-splitting</w:t>
      </w:r>
      <w:r>
        <w:rPr>
          <w:rFonts w:ascii="Times New Roman" w:hAnsi="Times New Roman" w:cs="Times New Roman" w:eastAsia="Times New Roman"/>
          <w:b/>
          <w:sz w:val="24"/>
        </w:rPr>
        <w:t xml:space="preserve">: </w:t>
      </w:r>
      <w:r>
        <w:rPr>
          <w:rFonts w:ascii="Times New Roman" w:hAnsi="Times New Roman" w:cs="Times New Roman" w:eastAsia="Times New Roman"/>
          <w:b/>
          <w:i/>
          <w:sz w:val="24"/>
        </w:rPr>
        <w:t>performance score</w:t>
      </w:r>
      <w:r>
        <w:rPr>
          <w:rFonts w:ascii="Times New Roman" w:hAnsi="Times New Roman" w:cs="Times New Roman" w:eastAsia="Times New Roman"/>
          <w:b/>
          <w:sz w:val="24"/>
        </w:rPr>
        <w:t xml:space="preserve"> de 85 e LCP de 3,49 s (execução mediana de três)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042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-M-14-17-lighthouse-ant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4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Lighthouse 12.8.2, perfil móvel;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evidencias/2026-07-16/lighthouse-3.json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C.14 — Carregamento inicial </w:t>
      </w:r>
      <w:r>
        <w:rPr>
          <w:rFonts w:ascii="Times New Roman" w:hAnsi="Times New Roman" w:cs="Times New Roman" w:eastAsia="Times New Roman"/>
          <w:b/>
          <w:sz w:val="24"/>
        </w:rPr>
        <w:t>depois</w:t>
      </w:r>
      <w:r>
        <w:rPr>
          <w:rFonts w:ascii="Times New Roman" w:hAnsi="Times New Roman" w:cs="Times New Roman" w:eastAsia="Times New Roman"/>
          <w:b/>
          <w:sz w:val="24"/>
        </w:rPr>
        <w:t xml:space="preserve"> do </w:t>
      </w:r>
      <w:r>
        <w:rPr>
          <w:rFonts w:ascii="Times New Roman" w:hAnsi="Times New Roman" w:cs="Times New Roman" w:eastAsia="Times New Roman"/>
          <w:b/>
          <w:i/>
          <w:sz w:val="24"/>
        </w:rPr>
        <w:t>code-splitting</w:t>
      </w:r>
      <w:r>
        <w:rPr>
          <w:rFonts w:ascii="Times New Roman" w:hAnsi="Times New Roman" w:cs="Times New Roman" w:eastAsia="Times New Roman"/>
          <w:b/>
          <w:sz w:val="24"/>
        </w:rPr>
        <w:t xml:space="preserve">: </w:t>
      </w:r>
      <w:r>
        <w:rPr>
          <w:rFonts w:ascii="Times New Roman" w:hAnsi="Times New Roman" w:cs="Times New Roman" w:eastAsia="Times New Roman"/>
          <w:b/>
          <w:i/>
          <w:sz w:val="24"/>
        </w:rPr>
        <w:t>performance score</w:t>
      </w:r>
      <w:r>
        <w:rPr>
          <w:rFonts w:ascii="Times New Roman" w:hAnsi="Times New Roman" w:cs="Times New Roman" w:eastAsia="Times New Roman"/>
          <w:b/>
          <w:sz w:val="24"/>
        </w:rPr>
        <w:t xml:space="preserve"> de 88 e LCP de 3,17 s (execução mediana de três)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601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-M-14-17-lighthouse-depoi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Lighthouse 12.8.2, perfil móvel;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evidencias/2026-07-16/lighthouse-split-2.json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C.15 — Carga sobre a listagem de serviços: 44.413 requisições em 20 s, vazão de 2.221 req/s, nenhum erro e nenhuma resposta fora da faixa 2xx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6112" cy="42550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-M-18-20-autocannon-carga-listage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6112" cy="4255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autocannon 8;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evidencias/2026-07-16/autocannon-load.json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C.16 — Análise de composição de dependências sobre 825 pacotes: 12 vulnerabilidades altas, 8 moderadas e nenhuma crítica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6784" cy="31577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-M-25-vulnerabilidade-audi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3157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</w:t>
      </w:r>
      <w:r>
        <w:rPr>
          <w:rFonts w:ascii="Times New Roman" w:hAnsi="Times New Roman" w:cs="Times New Roman" w:eastAsia="Times New Roman"/>
          <w:i/>
          <w:sz w:val="20"/>
        </w:rPr>
        <w:t>npm audit</w:t>
      </w:r>
      <w:r>
        <w:rPr>
          <w:rFonts w:ascii="Times New Roman" w:hAnsi="Times New Roman" w:cs="Times New Roman" w:eastAsia="Times New Roman"/>
          <w:sz w:val="20"/>
        </w:rPr>
        <w:t xml:space="preserve">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evidencias/2026-07-16/npm-audit.json</w:t>
      </w:r>
      <w:r>
        <w:rPr>
          <w:rFonts w:ascii="Times New Roman" w:hAnsi="Times New Roman" w:cs="Times New Roman" w:eastAsia="Times New Roman"/>
          <w:sz w:val="20"/>
        </w:rPr>
        <w:t>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 xml:space="preserve">Figura C.17 — Verificação de integridade do </w:t>
      </w:r>
      <w:r>
        <w:rPr>
          <w:rFonts w:ascii="Times New Roman" w:hAnsi="Times New Roman" w:cs="Times New Roman" w:eastAsia="Times New Roman"/>
          <w:b/>
          <w:i/>
          <w:sz w:val="24"/>
        </w:rPr>
        <w:t>schema</w:t>
      </w:r>
      <w:r>
        <w:rPr>
          <w:rFonts w:ascii="Times New Roman" w:hAnsi="Times New Roman" w:cs="Times New Roman" w:eastAsia="Times New Roman"/>
          <w:b/>
          <w:sz w:val="24"/>
        </w:rPr>
        <w:t>: nenhum erro encontrado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87952" cy="1463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-M-26-integridade-schem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87952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 xml:space="preserve">Fonte: </w:t>
      </w:r>
      <w:r>
        <w:rPr>
          <w:rFonts w:ascii="Times New Roman" w:hAnsi="Times New Roman" w:cs="Times New Roman" w:eastAsia="Times New Roman"/>
          <w:i/>
          <w:sz w:val="20"/>
        </w:rPr>
        <w:t>supabase db lint</w:t>
      </w:r>
      <w:r>
        <w:rPr>
          <w:rFonts w:ascii="Times New Roman" w:hAnsi="Times New Roman" w:cs="Times New Roman" w:eastAsia="Times New Roman"/>
          <w:sz w:val="20"/>
        </w:rPr>
        <w:t xml:space="preserve"> 2.109.1; execução de 16 jul. 2026; saída bruta preservada em </w:t>
      </w:r>
      <w:r>
        <w:rPr>
          <w:rFonts w:ascii="Times New Roman" w:hAnsi="Times New Roman" w:cs="Times New Roman" w:eastAsia="Times New Roman"/>
          <w:i/>
          <w:sz w:val="20"/>
        </w:rPr>
        <w:t>evidencias/2026-07-16/supabase-db-lint.txt</w:t>
      </w:r>
      <w:r>
        <w:rPr>
          <w:rFonts w:ascii="Times New Roman" w:hAnsi="Times New Roman" w:cs="Times New Roman" w:eastAsia="Times New Roman"/>
          <w:sz w:val="20"/>
        </w:rPr>
        <w:t>.</w:t>
      </w:r>
    </w:p>
    <w:sectPr w:rsidR="004479EB" w:rsidRPr="004935BD" w:rsidSect="004F3695">
      <w:headerReference w:type="default" r:id="rId2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D7E1E" w14:textId="77777777" w:rsidR="005A147A" w:rsidRDefault="005A147A" w:rsidP="00766AE7">
      <w:pPr>
        <w:spacing w:after="0"/>
      </w:pPr>
      <w:r>
        <w:separator/>
      </w:r>
    </w:p>
  </w:endnote>
  <w:endnote w:type="continuationSeparator" w:id="0">
    <w:p w14:paraId="6AB911A1" w14:textId="77777777" w:rsidR="005A147A" w:rsidRDefault="005A147A" w:rsidP="00766A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5E1B" w14:textId="77777777" w:rsidR="005A147A" w:rsidRDefault="005A147A" w:rsidP="00766AE7">
      <w:pPr>
        <w:spacing w:after="0"/>
      </w:pPr>
      <w:r>
        <w:separator/>
      </w:r>
    </w:p>
  </w:footnote>
  <w:footnote w:type="continuationSeparator" w:id="0">
    <w:p w14:paraId="6398601B" w14:textId="77777777" w:rsidR="005A147A" w:rsidRDefault="005A147A" w:rsidP="00766A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F20B" w14:textId="3F10D8F9" w:rsidR="00737045" w:rsidRDefault="00027CD2">
    <w:pPr>
      <w:pStyle w:val="Header"/>
      <w:jc w:val="right"/>
    </w:pPr>
    <w:r>
      <w:rPr>
        <w:noProof/>
        <w:lang w:eastAsia="pt-BR"/>
      </w:rPr>
      <w:drawing>
        <wp:anchor distT="0" distB="0" distL="114300" distR="114300" simplePos="0" relativeHeight="251685888" behindDoc="1" locked="0" layoutInCell="1" allowOverlap="1" wp14:anchorId="7BDAE2ED" wp14:editId="16C6232B">
          <wp:simplePos x="0" y="0"/>
          <wp:positionH relativeFrom="column">
            <wp:posOffset>2900695</wp:posOffset>
          </wp:positionH>
          <wp:positionV relativeFrom="paragraph">
            <wp:posOffset>-724535</wp:posOffset>
          </wp:positionV>
          <wp:extent cx="2751440" cy="1546860"/>
          <wp:effectExtent l="0" t="0" r="0" b="0"/>
          <wp:wrapNone/>
          <wp:docPr id="824514801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514801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4976" cy="15488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714735487"/>
        <w:docPartObj>
          <w:docPartGallery w:val="Page Numbers (Top of Page)"/>
          <w:docPartUnique/>
        </w:docPartObj>
      </w:sdtPr>
      <w:sdtContent>
        <w:r w:rsidR="00A15BE6">
          <w:rPr>
            <w:noProof/>
            <w:lang w:eastAsia="pt-BR"/>
          </w:rPr>
          <w:drawing>
            <wp:anchor distT="0" distB="0" distL="114300" distR="114300" simplePos="0" relativeHeight="251684864" behindDoc="0" locked="0" layoutInCell="1" allowOverlap="1" wp14:anchorId="3030C5C7" wp14:editId="28235AD0">
              <wp:simplePos x="0" y="0"/>
              <wp:positionH relativeFrom="column">
                <wp:posOffset>-641985</wp:posOffset>
              </wp:positionH>
              <wp:positionV relativeFrom="paragraph">
                <wp:posOffset>-259715</wp:posOffset>
              </wp:positionV>
              <wp:extent cx="1895475" cy="676910"/>
              <wp:effectExtent l="0" t="0" r="0" b="0"/>
              <wp:wrapThrough wrapText="bothSides">
                <wp:wrapPolygon edited="0">
                  <wp:start x="0" y="0"/>
                  <wp:lineTo x="0" y="21276"/>
                  <wp:lineTo x="21491" y="21276"/>
                  <wp:lineTo x="21491" y="0"/>
                  <wp:lineTo x="0" y="0"/>
                </wp:wrapPolygon>
              </wp:wrapThrough>
              <wp:docPr id="1" name="Imagem 1" descr="Uma imagem contendo desenh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Uma imagem contendo desenho&#10;&#10;Descrição gerada automaticamente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5475" cy="6769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47D75">
          <w:fldChar w:fldCharType="begin"/>
        </w:r>
        <w:r w:rsidR="00737045">
          <w:instrText>PAGE   \* MERGEFORMAT</w:instrText>
        </w:r>
        <w:r w:rsidR="00D47D75">
          <w:fldChar w:fldCharType="separate"/>
        </w:r>
        <w:r w:rsidR="003B0727">
          <w:rPr>
            <w:noProof/>
          </w:rPr>
          <w:t>3</w:t>
        </w:r>
        <w:r w:rsidR="00D47D75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E69D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8C857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2BA62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47082FD8"/>
    <w:multiLevelType w:val="multilevel"/>
    <w:tmpl w:val="C58AC7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68270794">
    <w:abstractNumId w:val="3"/>
  </w:num>
  <w:num w:numId="2" w16cid:durableId="3006924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9183765">
    <w:abstractNumId w:val="1"/>
  </w:num>
  <w:num w:numId="4" w16cid:durableId="136343393">
    <w:abstractNumId w:val="0"/>
  </w:num>
  <w:num w:numId="5" w16cid:durableId="409892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67985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4AA"/>
    <w:rsid w:val="00027CD2"/>
    <w:rsid w:val="000C483C"/>
    <w:rsid w:val="000F1005"/>
    <w:rsid w:val="0013752B"/>
    <w:rsid w:val="001B251E"/>
    <w:rsid w:val="00204396"/>
    <w:rsid w:val="00210AB5"/>
    <w:rsid w:val="00211925"/>
    <w:rsid w:val="00211CB6"/>
    <w:rsid w:val="0025649A"/>
    <w:rsid w:val="003B0727"/>
    <w:rsid w:val="004479EB"/>
    <w:rsid w:val="004935BD"/>
    <w:rsid w:val="00494EB0"/>
    <w:rsid w:val="004F3695"/>
    <w:rsid w:val="005A147A"/>
    <w:rsid w:val="005E778E"/>
    <w:rsid w:val="0065106C"/>
    <w:rsid w:val="006E399E"/>
    <w:rsid w:val="006E56A4"/>
    <w:rsid w:val="00733991"/>
    <w:rsid w:val="00737045"/>
    <w:rsid w:val="00766AE7"/>
    <w:rsid w:val="00813CF3"/>
    <w:rsid w:val="0086244A"/>
    <w:rsid w:val="008733E1"/>
    <w:rsid w:val="008905F6"/>
    <w:rsid w:val="008D102E"/>
    <w:rsid w:val="008E479E"/>
    <w:rsid w:val="009263E9"/>
    <w:rsid w:val="009325ED"/>
    <w:rsid w:val="009369C9"/>
    <w:rsid w:val="00973390"/>
    <w:rsid w:val="009D0DB3"/>
    <w:rsid w:val="00A15BE6"/>
    <w:rsid w:val="00A448AF"/>
    <w:rsid w:val="00B12CAF"/>
    <w:rsid w:val="00B36313"/>
    <w:rsid w:val="00BB6319"/>
    <w:rsid w:val="00BD7FE6"/>
    <w:rsid w:val="00C40ED4"/>
    <w:rsid w:val="00C51C75"/>
    <w:rsid w:val="00C65C77"/>
    <w:rsid w:val="00CC513C"/>
    <w:rsid w:val="00CE103C"/>
    <w:rsid w:val="00D434AA"/>
    <w:rsid w:val="00D47D75"/>
    <w:rsid w:val="00DB131B"/>
    <w:rsid w:val="00DF694C"/>
    <w:rsid w:val="00DF6A78"/>
    <w:rsid w:val="00E60F5B"/>
    <w:rsid w:val="00E83E2E"/>
    <w:rsid w:val="00EC6016"/>
    <w:rsid w:val="00FD0466"/>
    <w:rsid w:val="00FD0FA7"/>
    <w:rsid w:val="00FF04B6"/>
    <w:rsid w:val="01B4D632"/>
    <w:rsid w:val="14145F70"/>
    <w:rsid w:val="3C048857"/>
    <w:rsid w:val="481DCCB7"/>
    <w:rsid w:val="488A0BD0"/>
    <w:rsid w:val="51FB1FBB"/>
    <w:rsid w:val="5B243BCD"/>
    <w:rsid w:val="63D273D5"/>
    <w:rsid w:val="731E4017"/>
    <w:rsid w:val="77A3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00DD02"/>
  <w15:docId w15:val="{DE6AB76A-4D8B-4643-B307-95A9470B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EB0"/>
    <w:pPr>
      <w:spacing w:after="12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3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BB6319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en-US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B6319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4"/>
      <w:lang w:val="en-US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204396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/>
      <w:bCs/>
      <w:i/>
      <w:color w:val="4F81BD" w:themeColor="accent1"/>
      <w:szCs w:val="24"/>
      <w:lang w:val="en-US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04396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iCs/>
      <w:color w:val="4F81BD" w:themeColor="accent1"/>
      <w:szCs w:val="24"/>
      <w:lang w:val="en-US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204396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color w:val="4F81BD" w:themeColor="accent1"/>
      <w:szCs w:val="24"/>
      <w:lang w:val="en-US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204396"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/>
      <w:color w:val="4F81BD" w:themeColor="accent1"/>
      <w:szCs w:val="24"/>
      <w:lang w:val="en-US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204396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/>
      <w:color w:val="4F81BD" w:themeColor="accent1"/>
      <w:szCs w:val="24"/>
      <w:lang w:val="en-US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204396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/>
      <w:color w:val="4F81BD" w:themeColor="accent1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"/>
    <w:unhideWhenUsed/>
    <w:qFormat/>
    <w:rsid w:val="00766AE7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766AE7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nhideWhenUsed/>
    <w:rsid w:val="00766AE7"/>
    <w:rPr>
      <w:vertAlign w:val="superscript"/>
    </w:rPr>
  </w:style>
  <w:style w:type="paragraph" w:styleId="ListParagraph">
    <w:name w:val="List Paragraph"/>
    <w:basedOn w:val="Normal"/>
    <w:uiPriority w:val="34"/>
    <w:qFormat/>
    <w:rsid w:val="009733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7045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3704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7045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37045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04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0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nhideWhenUsed/>
    <w:rsid w:val="004935B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4EB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BB6319"/>
    <w:pPr>
      <w:spacing w:before="180" w:after="180"/>
      <w:jc w:val="left"/>
    </w:pPr>
    <w:rPr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BB6319"/>
    <w:rPr>
      <w:rFonts w:ascii="Times New Roman" w:hAnsi="Times New Roman"/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BB6319"/>
  </w:style>
  <w:style w:type="character" w:customStyle="1" w:styleId="Heading2Char">
    <w:name w:val="Heading 2 Char"/>
    <w:basedOn w:val="DefaultParagraphFont"/>
    <w:link w:val="Heading2"/>
    <w:uiPriority w:val="9"/>
    <w:rsid w:val="00BB6319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B631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BB6319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BB6319"/>
    <w:pPr>
      <w:spacing w:before="100" w:after="100"/>
      <w:ind w:left="480" w:righ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20439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043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04396"/>
    <w:rPr>
      <w:rFonts w:asciiTheme="majorHAnsi" w:eastAsiaTheme="majorEastAsia" w:hAnsiTheme="majorHAnsi" w:cstheme="majorBidi"/>
      <w:bCs/>
      <w:i/>
      <w:color w:val="4F81BD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204396"/>
    <w:rPr>
      <w:rFonts w:asciiTheme="majorHAnsi" w:eastAsiaTheme="majorEastAsia" w:hAnsiTheme="majorHAnsi" w:cstheme="majorBidi"/>
      <w:iCs/>
      <w:color w:val="4F81BD" w:themeColor="accent1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204396"/>
    <w:rPr>
      <w:rFonts w:asciiTheme="majorHAnsi" w:eastAsiaTheme="majorEastAsia" w:hAnsiTheme="majorHAnsi" w:cstheme="majorBidi"/>
      <w:color w:val="4F81BD" w:themeColor="accent1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204396"/>
    <w:rPr>
      <w:rFonts w:asciiTheme="majorHAnsi" w:eastAsiaTheme="majorEastAsia" w:hAnsiTheme="majorHAnsi" w:cstheme="majorBidi"/>
      <w:color w:val="4F81BD" w:themeColor="accent1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204396"/>
    <w:rPr>
      <w:rFonts w:asciiTheme="majorHAnsi" w:eastAsiaTheme="majorEastAsia" w:hAnsiTheme="majorHAnsi" w:cstheme="majorBidi"/>
      <w:color w:val="4F81BD" w:themeColor="accent1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204396"/>
    <w:rPr>
      <w:rFonts w:asciiTheme="majorHAnsi" w:eastAsiaTheme="majorEastAsia" w:hAnsiTheme="majorHAnsi" w:cstheme="majorBidi"/>
      <w:color w:val="4F81BD" w:themeColor="accent1"/>
      <w:sz w:val="24"/>
      <w:szCs w:val="24"/>
      <w:lang w:val="en-US"/>
    </w:rPr>
  </w:style>
  <w:style w:type="paragraph" w:styleId="Title">
    <w:name w:val="Title"/>
    <w:basedOn w:val="Normal"/>
    <w:next w:val="BodyText"/>
    <w:link w:val="TitleChar"/>
    <w:qFormat/>
    <w:rsid w:val="0020439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204396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val="en-US"/>
    </w:rPr>
  </w:style>
  <w:style w:type="paragraph" w:styleId="Subtitle">
    <w:name w:val="Subtitle"/>
    <w:basedOn w:val="Title"/>
    <w:next w:val="BodyText"/>
    <w:link w:val="SubtitleChar"/>
    <w:qFormat/>
    <w:rsid w:val="00204396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204396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  <w:lang w:val="en-US"/>
    </w:rPr>
  </w:style>
  <w:style w:type="paragraph" w:customStyle="1" w:styleId="Author">
    <w:name w:val="Author"/>
    <w:next w:val="BodyText"/>
    <w:qFormat/>
    <w:rsid w:val="00204396"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paragraph" w:styleId="Date">
    <w:name w:val="Date"/>
    <w:next w:val="BodyText"/>
    <w:link w:val="DateChar"/>
    <w:qFormat/>
    <w:rsid w:val="00204396"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204396"/>
    <w:rPr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204396"/>
    <w:pPr>
      <w:keepNext/>
      <w:keepLines/>
      <w:spacing w:before="300" w:after="0"/>
      <w:jc w:val="center"/>
    </w:pPr>
    <w:rPr>
      <w:b/>
      <w:color w:val="345A8A"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rsid w:val="00204396"/>
    <w:pPr>
      <w:keepNext/>
      <w:keepLines/>
      <w:spacing w:before="100" w:after="300"/>
      <w:jc w:val="left"/>
    </w:pPr>
    <w:rPr>
      <w:sz w:val="20"/>
      <w:szCs w:val="20"/>
      <w:lang w:val="en-US"/>
    </w:rPr>
  </w:style>
  <w:style w:type="paragraph" w:styleId="Bibliography">
    <w:name w:val="Bibliography"/>
    <w:basedOn w:val="Normal"/>
    <w:qFormat/>
    <w:rsid w:val="00204396"/>
    <w:pPr>
      <w:spacing w:after="200"/>
      <w:jc w:val="left"/>
    </w:pPr>
    <w:rPr>
      <w:szCs w:val="24"/>
      <w:lang w:val="en-US"/>
    </w:rPr>
  </w:style>
  <w:style w:type="paragraph" w:customStyle="1" w:styleId="FootnoteBlockText">
    <w:name w:val="Footnote Block Text"/>
    <w:uiPriority w:val="9"/>
    <w:unhideWhenUsed/>
    <w:qFormat/>
    <w:rsid w:val="00204396"/>
    <w:pPr>
      <w:spacing w:before="100" w:after="100" w:line="240" w:lineRule="auto"/>
      <w:ind w:left="480" w:right="480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204396"/>
    <w:pPr>
      <w:spacing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4396"/>
    <w:pPr>
      <w:keepNext/>
      <w:keepLines/>
      <w:spacing w:after="0"/>
      <w:jc w:val="left"/>
    </w:pPr>
    <w:rPr>
      <w:b/>
      <w:szCs w:val="24"/>
      <w:lang w:val="en-US"/>
    </w:rPr>
  </w:style>
  <w:style w:type="paragraph" w:customStyle="1" w:styleId="Definition">
    <w:name w:val="Definition"/>
    <w:basedOn w:val="Normal"/>
    <w:rsid w:val="00204396"/>
    <w:pPr>
      <w:spacing w:after="200"/>
      <w:jc w:val="left"/>
    </w:pPr>
    <w:rPr>
      <w:szCs w:val="24"/>
      <w:lang w:val="en-US"/>
    </w:rPr>
  </w:style>
  <w:style w:type="paragraph" w:styleId="Caption">
    <w:name w:val="caption"/>
    <w:basedOn w:val="Normal"/>
    <w:link w:val="CaptionChar"/>
    <w:rsid w:val="00204396"/>
    <w:pPr>
      <w:jc w:val="left"/>
    </w:pPr>
    <w:rPr>
      <w:i/>
      <w:szCs w:val="24"/>
      <w:lang w:val="en-US"/>
    </w:rPr>
  </w:style>
  <w:style w:type="paragraph" w:customStyle="1" w:styleId="TableCaption">
    <w:name w:val="Table Caption"/>
    <w:basedOn w:val="Caption"/>
    <w:rsid w:val="00204396"/>
    <w:pPr>
      <w:keepNext/>
    </w:pPr>
  </w:style>
  <w:style w:type="paragraph" w:customStyle="1" w:styleId="ImageCaption">
    <w:name w:val="Image Caption"/>
    <w:basedOn w:val="Caption"/>
    <w:rsid w:val="00204396"/>
  </w:style>
  <w:style w:type="paragraph" w:customStyle="1" w:styleId="Figure">
    <w:name w:val="Figure"/>
    <w:basedOn w:val="Normal"/>
    <w:rsid w:val="00204396"/>
    <w:pPr>
      <w:spacing w:after="200"/>
      <w:jc w:val="left"/>
    </w:pPr>
    <w:rPr>
      <w:szCs w:val="24"/>
      <w:lang w:val="en-US"/>
    </w:rPr>
  </w:style>
  <w:style w:type="paragraph" w:customStyle="1" w:styleId="CaptionedFigure">
    <w:name w:val="Captioned Figure"/>
    <w:basedOn w:val="Figure"/>
    <w:rsid w:val="00204396"/>
    <w:pPr>
      <w:keepNext/>
    </w:pPr>
  </w:style>
  <w:style w:type="character" w:customStyle="1" w:styleId="CaptionChar">
    <w:name w:val="Caption Char"/>
    <w:basedOn w:val="DefaultParagraphFont"/>
    <w:link w:val="Caption"/>
    <w:rsid w:val="00204396"/>
    <w:rPr>
      <w:rFonts w:ascii="Times New Roman" w:hAnsi="Times New Roman"/>
      <w:i/>
      <w:sz w:val="24"/>
      <w:szCs w:val="24"/>
      <w:lang w:val="en-US"/>
    </w:rPr>
  </w:style>
  <w:style w:type="character" w:customStyle="1" w:styleId="VerbatimChar">
    <w:name w:val="Verbatim Char"/>
    <w:basedOn w:val="CaptionChar"/>
    <w:link w:val="SourceCode"/>
    <w:rsid w:val="00204396"/>
    <w:rPr>
      <w:rFonts w:ascii="Consolas" w:hAnsi="Consolas"/>
      <w:i/>
      <w:sz w:val="24"/>
      <w:szCs w:val="24"/>
      <w:lang w:val="en-US"/>
    </w:rPr>
  </w:style>
  <w:style w:type="character" w:customStyle="1" w:styleId="SectionNumber">
    <w:name w:val="Section Number"/>
    <w:basedOn w:val="CaptionChar"/>
    <w:rsid w:val="00204396"/>
    <w:rPr>
      <w:rFonts w:ascii="Times New Roman" w:hAnsi="Times New Roman"/>
      <w:i/>
      <w:sz w:val="24"/>
      <w:szCs w:val="24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204396"/>
    <w:pPr>
      <w:spacing w:line="259" w:lineRule="auto"/>
      <w:jc w:val="left"/>
      <w:outlineLvl w:val="9"/>
    </w:pPr>
    <w:rPr>
      <w:lang w:val="en-US"/>
    </w:rPr>
  </w:style>
  <w:style w:type="paragraph" w:customStyle="1" w:styleId="SourceCode">
    <w:name w:val="Source Code"/>
    <w:basedOn w:val="Normal"/>
    <w:link w:val="VerbatimChar"/>
    <w:rsid w:val="00204396"/>
    <w:pPr>
      <w:wordWrap w:val="0"/>
      <w:spacing w:after="200"/>
      <w:jc w:val="left"/>
    </w:pPr>
    <w:rPr>
      <w:rFonts w:ascii="Consolas" w:hAnsi="Consolas"/>
      <w:i/>
      <w:sz w:val="22"/>
      <w:szCs w:val="24"/>
      <w:lang w:val="en-US"/>
    </w:rPr>
  </w:style>
  <w:style w:type="character" w:customStyle="1" w:styleId="KeywordTok">
    <w:name w:val="KeywordTok"/>
    <w:basedOn w:val="VerbatimChar"/>
    <w:rsid w:val="00204396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DataTypeTok">
    <w:name w:val="DataTypeTok"/>
    <w:basedOn w:val="VerbatimChar"/>
    <w:rsid w:val="00204396"/>
    <w:rPr>
      <w:rFonts w:ascii="Consolas" w:hAnsi="Consolas"/>
      <w:i/>
      <w:color w:val="902000"/>
      <w:sz w:val="24"/>
      <w:szCs w:val="24"/>
      <w:lang w:val="en-US"/>
    </w:rPr>
  </w:style>
  <w:style w:type="character" w:customStyle="1" w:styleId="DecValTok">
    <w:name w:val="DecValTok"/>
    <w:basedOn w:val="VerbatimChar"/>
    <w:rsid w:val="002043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BaseNTok">
    <w:name w:val="BaseNTok"/>
    <w:basedOn w:val="VerbatimChar"/>
    <w:rsid w:val="002043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FloatTok">
    <w:name w:val="FloatTok"/>
    <w:basedOn w:val="VerbatimChar"/>
    <w:rsid w:val="002043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ConstantTok">
    <w:name w:val="ConstantTok"/>
    <w:basedOn w:val="VerbatimChar"/>
    <w:rsid w:val="00204396"/>
    <w:rPr>
      <w:rFonts w:ascii="Consolas" w:hAnsi="Consolas"/>
      <w:i/>
      <w:color w:val="880000"/>
      <w:sz w:val="24"/>
      <w:szCs w:val="24"/>
      <w:lang w:val="en-US"/>
    </w:rPr>
  </w:style>
  <w:style w:type="character" w:customStyle="1" w:styleId="CharTok">
    <w:name w:val="CharTok"/>
    <w:basedOn w:val="VerbatimChar"/>
    <w:rsid w:val="002043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CharTok">
    <w:name w:val="SpecialCharTok"/>
    <w:basedOn w:val="VerbatimChar"/>
    <w:rsid w:val="002043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tringTok">
    <w:name w:val="StringTok"/>
    <w:basedOn w:val="VerbatimChar"/>
    <w:rsid w:val="002043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VerbatimStringTok">
    <w:name w:val="VerbatimStringTok"/>
    <w:basedOn w:val="VerbatimChar"/>
    <w:rsid w:val="002043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StringTok">
    <w:name w:val="SpecialStringTok"/>
    <w:basedOn w:val="VerbatimChar"/>
    <w:rsid w:val="00204396"/>
    <w:rPr>
      <w:rFonts w:ascii="Consolas" w:hAnsi="Consolas"/>
      <w:i/>
      <w:color w:val="BB6688"/>
      <w:sz w:val="24"/>
      <w:szCs w:val="24"/>
      <w:lang w:val="en-US"/>
    </w:rPr>
  </w:style>
  <w:style w:type="character" w:customStyle="1" w:styleId="ImportTok">
    <w:name w:val="ImportTok"/>
    <w:basedOn w:val="VerbatimChar"/>
    <w:rsid w:val="00204396"/>
    <w:rPr>
      <w:rFonts w:ascii="Consolas" w:hAnsi="Consolas"/>
      <w:b/>
      <w:i/>
      <w:color w:val="008000"/>
      <w:sz w:val="24"/>
      <w:szCs w:val="24"/>
      <w:lang w:val="en-US"/>
    </w:rPr>
  </w:style>
  <w:style w:type="character" w:customStyle="1" w:styleId="CommentTok">
    <w:name w:val="CommentTok"/>
    <w:basedOn w:val="VerbatimChar"/>
    <w:rsid w:val="00204396"/>
    <w:rPr>
      <w:rFonts w:ascii="Consolas" w:hAnsi="Consolas"/>
      <w:i w:val="0"/>
      <w:color w:val="60A0B0"/>
      <w:sz w:val="24"/>
      <w:szCs w:val="24"/>
      <w:lang w:val="en-US"/>
    </w:rPr>
  </w:style>
  <w:style w:type="character" w:customStyle="1" w:styleId="DocumentationTok">
    <w:name w:val="DocumentationTok"/>
    <w:basedOn w:val="VerbatimChar"/>
    <w:rsid w:val="00204396"/>
    <w:rPr>
      <w:rFonts w:ascii="Consolas" w:hAnsi="Consolas"/>
      <w:i w:val="0"/>
      <w:color w:val="BA2121"/>
      <w:sz w:val="24"/>
      <w:szCs w:val="24"/>
      <w:lang w:val="en-US"/>
    </w:rPr>
  </w:style>
  <w:style w:type="character" w:customStyle="1" w:styleId="AnnotationTok">
    <w:name w:val="AnnotationTok"/>
    <w:basedOn w:val="VerbatimChar"/>
    <w:rsid w:val="002043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CommentVarTok">
    <w:name w:val="CommentVarTok"/>
    <w:basedOn w:val="VerbatimChar"/>
    <w:rsid w:val="002043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OtherTok">
    <w:name w:val="OtherTok"/>
    <w:basedOn w:val="VerbatimChar"/>
    <w:rsid w:val="00204396"/>
    <w:rPr>
      <w:rFonts w:ascii="Consolas" w:hAnsi="Consolas"/>
      <w:i/>
      <w:color w:val="007020"/>
      <w:sz w:val="24"/>
      <w:szCs w:val="24"/>
      <w:lang w:val="en-US"/>
    </w:rPr>
  </w:style>
  <w:style w:type="character" w:customStyle="1" w:styleId="FunctionTok">
    <w:name w:val="FunctionTok"/>
    <w:basedOn w:val="VerbatimChar"/>
    <w:rsid w:val="00204396"/>
    <w:rPr>
      <w:rFonts w:ascii="Consolas" w:hAnsi="Consolas"/>
      <w:i/>
      <w:color w:val="06287E"/>
      <w:sz w:val="24"/>
      <w:szCs w:val="24"/>
      <w:lang w:val="en-US"/>
    </w:rPr>
  </w:style>
  <w:style w:type="character" w:customStyle="1" w:styleId="VariableTok">
    <w:name w:val="VariableTok"/>
    <w:basedOn w:val="VerbatimChar"/>
    <w:rsid w:val="00204396"/>
    <w:rPr>
      <w:rFonts w:ascii="Consolas" w:hAnsi="Consolas"/>
      <w:i/>
      <w:color w:val="19177C"/>
      <w:sz w:val="24"/>
      <w:szCs w:val="24"/>
      <w:lang w:val="en-US"/>
    </w:rPr>
  </w:style>
  <w:style w:type="character" w:customStyle="1" w:styleId="ControlFlowTok">
    <w:name w:val="ControlFlowTok"/>
    <w:basedOn w:val="VerbatimChar"/>
    <w:rsid w:val="00204396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OperatorTok">
    <w:name w:val="OperatorTok"/>
    <w:basedOn w:val="VerbatimChar"/>
    <w:rsid w:val="00204396"/>
    <w:rPr>
      <w:rFonts w:ascii="Consolas" w:hAnsi="Consolas"/>
      <w:i/>
      <w:color w:val="666666"/>
      <w:sz w:val="24"/>
      <w:szCs w:val="24"/>
      <w:lang w:val="en-US"/>
    </w:rPr>
  </w:style>
  <w:style w:type="character" w:customStyle="1" w:styleId="BuiltInTok">
    <w:name w:val="BuiltInTok"/>
    <w:basedOn w:val="VerbatimChar"/>
    <w:rsid w:val="00204396"/>
    <w:rPr>
      <w:rFonts w:ascii="Consolas" w:hAnsi="Consolas"/>
      <w:i/>
      <w:color w:val="008000"/>
      <w:sz w:val="24"/>
      <w:szCs w:val="24"/>
      <w:lang w:val="en-US"/>
    </w:rPr>
  </w:style>
  <w:style w:type="character" w:customStyle="1" w:styleId="ExtensionTok">
    <w:name w:val="ExtensionTok"/>
    <w:basedOn w:val="VerbatimChar"/>
    <w:rsid w:val="00204396"/>
    <w:rPr>
      <w:rFonts w:ascii="Consolas" w:hAnsi="Consolas"/>
      <w:i/>
      <w:sz w:val="24"/>
      <w:szCs w:val="24"/>
      <w:lang w:val="en-US"/>
    </w:rPr>
  </w:style>
  <w:style w:type="character" w:customStyle="1" w:styleId="PreprocessorTok">
    <w:name w:val="PreprocessorTok"/>
    <w:basedOn w:val="VerbatimChar"/>
    <w:rsid w:val="00204396"/>
    <w:rPr>
      <w:rFonts w:ascii="Consolas" w:hAnsi="Consolas"/>
      <w:i/>
      <w:color w:val="BC7A00"/>
      <w:sz w:val="24"/>
      <w:szCs w:val="24"/>
      <w:lang w:val="en-US"/>
    </w:rPr>
  </w:style>
  <w:style w:type="character" w:customStyle="1" w:styleId="AttributeTok">
    <w:name w:val="AttributeTok"/>
    <w:basedOn w:val="VerbatimChar"/>
    <w:rsid w:val="00204396"/>
    <w:rPr>
      <w:rFonts w:ascii="Consolas" w:hAnsi="Consolas"/>
      <w:i/>
      <w:color w:val="7D9029"/>
      <w:sz w:val="24"/>
      <w:szCs w:val="24"/>
      <w:lang w:val="en-US"/>
    </w:rPr>
  </w:style>
  <w:style w:type="character" w:customStyle="1" w:styleId="RegionMarkerTok">
    <w:name w:val="RegionMarkerTok"/>
    <w:basedOn w:val="VerbatimChar"/>
    <w:rsid w:val="00204396"/>
    <w:rPr>
      <w:rFonts w:ascii="Consolas" w:hAnsi="Consolas"/>
      <w:i/>
      <w:sz w:val="24"/>
      <w:szCs w:val="24"/>
      <w:lang w:val="en-US"/>
    </w:rPr>
  </w:style>
  <w:style w:type="character" w:customStyle="1" w:styleId="InformationTok">
    <w:name w:val="InformationTok"/>
    <w:basedOn w:val="VerbatimChar"/>
    <w:rsid w:val="002043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WarningTok">
    <w:name w:val="WarningTok"/>
    <w:basedOn w:val="VerbatimChar"/>
    <w:rsid w:val="002043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AlertTok">
    <w:name w:val="AlertTok"/>
    <w:basedOn w:val="VerbatimChar"/>
    <w:rsid w:val="00204396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ErrorTok">
    <w:name w:val="ErrorTok"/>
    <w:basedOn w:val="VerbatimChar"/>
    <w:rsid w:val="00204396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NormalTok">
    <w:name w:val="NormalTok"/>
    <w:basedOn w:val="VerbatimChar"/>
    <w:rsid w:val="00204396"/>
    <w:rPr>
      <w:rFonts w:ascii="Consolas" w:hAnsi="Consolas"/>
      <w:i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jpg"/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/>
</file>

<file path=customXml/itemProps1.xml><?xml version="1.0" encoding="utf-8"?>
<ds:datastoreItem xmlns:ds="http://schemas.openxmlformats.org/officeDocument/2006/customXml" ds:itemID="{E99DE9C9-E6A3-4221-A257-562E68C5C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35</Pages>
  <Words>8723</Words>
  <Characters>47109</Characters>
  <Application>Microsoft Office Word</Application>
  <DocSecurity>0</DocSecurity>
  <Lines>392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Conrado</cp:lastModifiedBy>
  <cp:revision>7</cp:revision>
  <dcterms:created xsi:type="dcterms:W3CDTF">2024-04-04T20:08:00Z</dcterms:created>
  <dcterms:modified xsi:type="dcterms:W3CDTF">2026-06-20T19:30:00Z</dcterms:modified>
</cp:coreProperties>
</file>