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Times New Roman" w:hAnsi="Times New Roman" w:cs="Times New Roman" w:eastAsia="Times New Roman"/>
          <w:b/>
          <w:sz w:val="24"/>
        </w:rPr>
        <w:t>AVALIAÇÃO TÉCNICA DE UMA ARQUITETURA WEB BASEADA EM BAAS/SERVERLESS PARA INTERMEDIAÇÃO DE SERVIÇOS:</w:t>
      </w:r>
    </w:p>
    <w:p>
      <w:pPr>
        <w:jc w:val="center"/>
      </w:pPr>
      <w:r>
        <w:rPr>
          <w:rFonts w:ascii="Times New Roman" w:hAnsi="Times New Roman" w:cs="Times New Roman" w:eastAsia="Times New Roman"/>
          <w:sz w:val="24"/>
        </w:rPr>
        <w:t>UM ESTUDO DE CASO DA PLATAFORMA HUBSERVI</w:t>
      </w:r>
    </w:p>
    <w:p/>
    <w:p>
      <w:pPr>
        <w:jc w:val="right"/>
      </w:pPr>
      <w:r>
        <w:rPr>
          <w:rFonts w:ascii="Times New Roman" w:hAnsi="Times New Roman" w:cs="Times New Roman" w:eastAsia="Times New Roman"/>
          <w:sz w:val="24"/>
        </w:rPr>
        <w:t>Pedro Conrado Fernandes Vieira</w:t>
      </w:r>
    </w:p>
    <w:p>
      <w:pPr>
        <w:jc w:val="right"/>
      </w:pPr>
      <w:r>
        <w:rPr>
          <w:rFonts w:ascii="Times New Roman" w:hAnsi="Times New Roman" w:cs="Times New Roman" w:eastAsia="Times New Roman"/>
          <w:sz w:val="24"/>
        </w:rPr>
        <w:t>Graduando em Engenharia de Software – Uni-FACEF</w:t>
      </w:r>
    </w:p>
    <w:p>
      <w:pPr>
        <w:jc w:val="right"/>
      </w:pPr>
      <w:r>
        <w:rPr>
          <w:rFonts w:ascii="Times New Roman" w:hAnsi="Times New Roman" w:cs="Times New Roman" w:eastAsia="Times New Roman"/>
          <w:sz w:val="24"/>
        </w:rPr>
        <w:t>Email: opeconrado@gmail.com</w:t>
      </w:r>
    </w:p>
    <w:p/>
    <w:p>
      <w:pPr>
        <w:jc w:val="right"/>
      </w:pPr>
      <w:r>
        <w:rPr>
          <w:rFonts w:ascii="Times New Roman" w:hAnsi="Times New Roman" w:cs="Times New Roman" w:eastAsia="Times New Roman"/>
          <w:sz w:val="24"/>
        </w:rPr>
        <w:t>Richardy Gabriel Rodrigues da Costa</w:t>
      </w:r>
    </w:p>
    <w:p>
      <w:pPr>
        <w:jc w:val="right"/>
      </w:pPr>
      <w:r>
        <w:rPr>
          <w:rFonts w:ascii="Times New Roman" w:hAnsi="Times New Roman" w:cs="Times New Roman" w:eastAsia="Times New Roman"/>
          <w:sz w:val="24"/>
        </w:rPr>
        <w:t>Graduando em Engenharia de Software – Uni-FACEF</w:t>
      </w:r>
    </w:p>
    <w:p>
      <w:pPr>
        <w:jc w:val="right"/>
      </w:pPr>
      <w:r>
        <w:rPr>
          <w:rFonts w:ascii="Times New Roman" w:hAnsi="Times New Roman" w:cs="Times New Roman" w:eastAsia="Times New Roman"/>
          <w:sz w:val="24"/>
        </w:rPr>
        <w:t>Email: richardyrodrigues519@gmail.com</w:t>
      </w:r>
    </w:p>
    <w:p/>
    <w:p>
      <w:pPr>
        <w:jc w:val="right"/>
      </w:pPr>
      <w:r>
        <w:rPr>
          <w:rFonts w:ascii="Times New Roman" w:hAnsi="Times New Roman" w:cs="Times New Roman" w:eastAsia="Times New Roman"/>
          <w:sz w:val="24"/>
        </w:rPr>
        <w:t>Prof. Daniel Facciolo Pires</w:t>
      </w:r>
    </w:p>
    <w:p>
      <w:pPr>
        <w:jc w:val="right"/>
      </w:pPr>
      <w:r>
        <w:rPr>
          <w:rFonts w:ascii="Times New Roman" w:hAnsi="Times New Roman" w:cs="Times New Roman" w:eastAsia="Times New Roman"/>
          <w:sz w:val="24"/>
        </w:rPr>
        <w:t>Docente do Departamento de Computação – Uni-FACEF</w:t>
      </w:r>
    </w:p>
    <w:p>
      <w:pPr>
        <w:jc w:val="right"/>
      </w:pPr>
      <w:r>
        <w:rPr>
          <w:rFonts w:ascii="Times New Roman" w:hAnsi="Times New Roman" w:cs="Times New Roman" w:eastAsia="Times New Roman"/>
          <w:sz w:val="24"/>
        </w:rPr>
        <w:t>Email: daniel@facef.br</w:t>
      </w:r>
    </w:p>
    <w:p/>
    <w:p>
      <w:pPr>
        <w:jc w:val="left"/>
      </w:pPr>
      <w:r>
        <w:rPr>
          <w:rFonts w:ascii="Times New Roman" w:hAnsi="Times New Roman" w:cs="Times New Roman" w:eastAsia="Times New Roman"/>
          <w:b/>
          <w:sz w:val="24"/>
        </w:rPr>
        <w:t>Resumo</w:t>
      </w:r>
    </w:p>
    <w:p>
      <w:pPr>
        <w:ind w:firstLine="700"/>
        <w:jc w:val="both"/>
      </w:pPr>
      <w:r>
        <w:rPr>
          <w:rFonts w:ascii="Times New Roman" w:hAnsi="Times New Roman" w:cs="Times New Roman" w:eastAsia="Times New Roman"/>
          <w:sz w:val="24"/>
        </w:rPr>
        <w:t xml:space="preserve">Arquiteturas web fundamentadas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em computação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têm sido amplamente adotadas no desenvolvimento de aplicações, por reduzirem o esforço de implementação e operação da infraestrutura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Entretanto, equipes de desenvolvimento enfrentam dificuldade em validar tecnicamente se essas arquiteturas atendem aos atributos de qualidade esperados, como segurança, desempenho, testabilidade e manutenibilidade. Este trabalho tem como objetivo avaliar tecnicamente a arquitetura de software da plataforma Hubservi — uma aplicação web de intermediação de serviços construída como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em React e TypeScript, apoiada pelo BaaS Supabase sobre PostgreSQL —, utilizando métricas e testes de Engenharia de Software relacionados a segurança, desempenho, testabilidade, manutenibilidade e confiabilidade, à luz da norma ISO/IEC 25010. A pesquisa caracteriza-se como aplicada, de abordagem mista, com objetivos exploratórios e descritivos, conduzida por meio de estudo de caso combinado a experimento técnico. Como contribuição, propõe-se um procedimento de avaliação arquitetural que articula a norma ISO/IEC 25010, o método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e um conjunto de ferramentas de teste automatizado, análise estática, desempenho e segurança. O procedimento foi executado sobre ambiente reprodutível e emitiu vereditos por atributo e por camada: três defeitos reais de autorização e de integridade foram detectados, corrigidos e re-medidos; a confiabilidade atende aos critérios definidos; o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atende ao critério de desempenho, com latência de cauda (p97,5) de 253 ms e 0% de erro sob carga, ao passo que o carregamento inicial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não o atinge, com LCP de 3,17 s após otimização, contra a meta de 2,5 s; e a manutenibilidade apresenta estrutura sólida, sem dependências circulares, com higiene de código abaixo do ideal. A capacidade de localizar deficiências específicas — e não de atestar qualidade uniforme — evidencia o valor do procedimento proposto.</w:t>
      </w:r>
    </w:p>
    <w:p>
      <w:pPr>
        <w:ind w:firstLine="700"/>
        <w:jc w:val="both"/>
      </w:pPr>
      <w:r>
        <w:rPr>
          <w:rFonts w:ascii="Times New Roman" w:hAnsi="Times New Roman" w:cs="Times New Roman" w:eastAsia="Times New Roman"/>
          <w:b/>
          <w:sz w:val="24"/>
        </w:rPr>
        <w:t>Palavras-chave:</w:t>
      </w:r>
      <w:r>
        <w:rPr>
          <w:rFonts w:ascii="Times New Roman" w:hAnsi="Times New Roman" w:cs="Times New Roman" w:eastAsia="Times New Roman"/>
          <w:sz w:val="24"/>
        </w:rPr>
        <w:t xml:space="preserve"> Arquitetura de software. Avaliação arquitetural. ISO/IEC 25010. Backend as a Service. Serverless.</w:t>
      </w:r>
    </w:p>
    <w:p>
      <w:pPr>
        <w:jc w:val="left"/>
      </w:pPr>
      <w:r>
        <w:rPr>
          <w:rFonts w:ascii="Times New Roman" w:hAnsi="Times New Roman" w:cs="Times New Roman" w:eastAsia="Times New Roman"/>
          <w:b/>
          <w:sz w:val="24"/>
        </w:rPr>
        <w:t>Abstract</w:t>
      </w:r>
    </w:p>
    <w:p>
      <w:pPr>
        <w:ind w:firstLine="700"/>
        <w:jc w:val="both"/>
      </w:pPr>
      <w:r>
        <w:rPr>
          <w:rFonts w:ascii="Times New Roman" w:hAnsi="Times New Roman" w:cs="Times New Roman" w:eastAsia="Times New Roman"/>
          <w:sz w:val="24"/>
        </w:rPr>
        <w:t xml:space="preserve">Web architectures based on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and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computing have been widely adopted in application development, as they reduce the effort of implementing and operating backend infrastructure. However, development teams struggle to technically validate whether such architectures meet the expected quality attributes, such as security, performance, testability, and maintainability. This work aims to technically evaluate the software architecture of the Hubservi platform — a web application for service intermediation built as a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using React and TypeScript, supported by the Supabase BaaS over PostgreSQL —, using Software Engineering metrics and tests related to security, performance, testability, maintainability, and reliability, in light of the ISO/IEC 25010 standard. The research is characterized as applied, with a mixed approach and exploratory and descriptive objectives, conducted through a case study combined with a technical experiment. As a contribution, it proposes an architectural evaluation procedure that articulates the ISO/IEC 25010 standard, the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and a set of tools for automated testing, static analysis, performance, and security. The procedure was executed on a reproducible environment and issued verdicts per attribute and per layer: three real authorization and integrity defects were detected, fixed, and re-measured; reliability meets the defined criteria; the backend meets the performance criterion, with a tail latency (p97.5) of 253 ms and a 0% error rate under load, whereas the initial frontend load does not, with an LCP of 3.17 s after optimization against a 2.5 s target; and maintainability shows a sound structure, free of circular dependencies, with below-ideal code hygiene. The ability to pinpoint specific deficiencies — rather than to certify uniform quality — demonstrates the value of the proposed procedure.</w:t>
      </w:r>
    </w:p>
    <w:p>
      <w:pPr>
        <w:ind w:firstLine="70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Software architecture. Architectural evaluation. ISO/IEC 25010. Backend as a Service. Serverless.</w:t>
      </w:r>
    </w:p>
    <w:p>
      <w:pPr>
        <w:jc w:val="left"/>
      </w:pPr>
      <w:r>
        <w:rPr>
          <w:rFonts w:ascii="Times New Roman" w:hAnsi="Times New Roman" w:cs="Times New Roman" w:eastAsia="Times New Roman"/>
          <w:b/>
          <w:sz w:val="24"/>
        </w:rPr>
        <w:t>1 INTRODUÇÃO</w:t>
      </w:r>
    </w:p>
    <w:p>
      <w:pPr>
        <w:jc w:val="left"/>
      </w:pPr>
      <w:r>
        <w:rPr>
          <w:rFonts w:ascii="Times New Roman" w:hAnsi="Times New Roman" w:cs="Times New Roman" w:eastAsia="Times New Roman"/>
          <w:b/>
          <w:sz w:val="24"/>
        </w:rPr>
        <w:t>1.1 Contexto</w:t>
      </w:r>
    </w:p>
    <w:p>
      <w:pPr>
        <w:ind w:firstLine="700"/>
        <w:jc w:val="both"/>
      </w:pPr>
      <w:r>
        <w:rPr>
          <w:rFonts w:ascii="Times New Roman" w:hAnsi="Times New Roman" w:cs="Times New Roman" w:eastAsia="Times New Roman"/>
          <w:sz w:val="24"/>
        </w:rPr>
        <w:t>A intermediação de serviços — atividade que conecta pessoas que demandam um serviço a profissionais capazes de executá-lo — tem migrado progressivamente para plataformas digitais. Aplicações web nesse domínio precisam suportar cadastro e descoberta de serviços, solicitação e gerenciamento de atendimentos e avaliação reputacional, com requisitos não triviais de segurança, desempenho e confiabilidade, uma vez que manipulam dados pessoais e transações entre partes que, em geral, não se conhecem previamente.</w:t>
      </w:r>
    </w:p>
    <w:p>
      <w:pPr>
        <w:ind w:firstLine="700"/>
        <w:jc w:val="both"/>
      </w:pPr>
      <w:r>
        <w:rPr>
          <w:rFonts w:ascii="Times New Roman" w:hAnsi="Times New Roman" w:cs="Times New Roman" w:eastAsia="Times New Roman"/>
          <w:sz w:val="24"/>
        </w:rPr>
        <w:t xml:space="preserve">Em paralelo, o modelo de desenvolvimento de aplicações web tem sido reconfigurado pela popularização de arquiteturas baseadas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em computação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Nesses modelos, responsabilidades tradicionalmente implementadas em servidores próprios — autenticação, persistência, autorização e regras de acesso — são delegadas a serviços gerenciados por terceiros, acessados diretamente pelo cliente por meio de APIs e bibliotecas. Plataformas como o Supabase materializam esse paradigma ao expor, sobre um banco PostgreSQL, autenticação integrada e autorização declarativa via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eliminando boa parte da camada de servidor de aplicação convencional.</w:t>
      </w:r>
    </w:p>
    <w:p>
      <w:pPr>
        <w:ind w:firstLine="700"/>
        <w:jc w:val="both"/>
      </w:pPr>
      <w:r>
        <w:rPr>
          <w:rFonts w:ascii="Times New Roman" w:hAnsi="Times New Roman" w:cs="Times New Roman" w:eastAsia="Times New Roman"/>
          <w:sz w:val="24"/>
        </w:rPr>
        <w:t xml:space="preserve">A plataforma Hubservi, objeto deste estudo, é uma aplicação web de intermediação de serviços construída como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em React e TypeScript, apoiada pelo Supabase. Trata-se, portanto, de um caso representativo da arquitetura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xml:space="preserve">, na qual a lógica de negócio se distribui entre o cliente (validações, fluxos de interface e orquestração de chamadas) e o banco de dados (regras declarativas de autorização,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1.2 Problema de pesquisa</w:t>
      </w:r>
    </w:p>
    <w:p>
      <w:pPr>
        <w:ind w:firstLine="700"/>
        <w:jc w:val="both"/>
      </w:pPr>
      <w:r>
        <w:rPr>
          <w:rFonts w:ascii="Times New Roman" w:hAnsi="Times New Roman" w:cs="Times New Roman" w:eastAsia="Times New Roman"/>
          <w:sz w:val="24"/>
        </w:rPr>
        <w:t xml:space="preserve">A adoção de arquiteturas BaaS/Serverless reduz o esforço de implementação e operação de infraestrutura, mas desloca atributos de qualidade críticos — em especial a segurança e a confiabilidade — para configurações declarativas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restrições de integridade) e para a fronteira cliente–serviço gerenciado. Esse deslocamento dificulta a verificação de que a arquitetura efetivamente atende aos atributos de qualidade esperados: a ausência de uma camada de servidor de aplicação própria altera o que deve ser testado, onde residem os pontos de falha e como o desempenho e a manutenibilidade devem ser medidos.</w:t>
      </w:r>
    </w:p>
    <w:p>
      <w:pPr>
        <w:ind w:firstLine="700"/>
        <w:jc w:val="both"/>
      </w:pPr>
      <w:r>
        <w:rPr>
          <w:rFonts w:ascii="Times New Roman" w:hAnsi="Times New Roman" w:cs="Times New Roman" w:eastAsia="Times New Roman"/>
          <w:sz w:val="24"/>
        </w:rPr>
        <w:t>Formaliza-se, assim, o problema de pesquisa:</w:t>
      </w:r>
    </w:p>
    <w:p>
      <w:pPr>
        <w:ind w:left="1701" w:firstLine="0"/>
        <w:jc w:val="both"/>
      </w:pPr>
      <w:r>
        <w:rPr>
          <w:rFonts w:ascii="Times New Roman" w:hAnsi="Times New Roman" w:cs="Times New Roman" w:eastAsia="Times New Roman"/>
          <w:sz w:val="24"/>
        </w:rPr>
        <w:t xml:space="preserve">Equipes de desenvolvimento de aplicações web têm dificuldade em validar tecnicamente se uma arquitetura baseada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atende aos atributos de qualidade esperados, como segurança, desempenho, testabilidade e manutenibilidade.</w:t>
      </w:r>
    </w:p>
    <w:p>
      <w:pPr>
        <w:jc w:val="left"/>
      </w:pPr>
      <w:r>
        <w:rPr>
          <w:rFonts w:ascii="Times New Roman" w:hAnsi="Times New Roman" w:cs="Times New Roman" w:eastAsia="Times New Roman"/>
          <w:b/>
          <w:sz w:val="24"/>
        </w:rPr>
        <w:t>1.3 Questão de pesquisa</w:t>
      </w:r>
    </w:p>
    <w:p>
      <w:pPr>
        <w:ind w:firstLine="700"/>
        <w:jc w:val="both"/>
      </w:pPr>
      <w:r>
        <w:rPr>
          <w:rFonts w:ascii="Times New Roman" w:hAnsi="Times New Roman" w:cs="Times New Roman" w:eastAsia="Times New Roman"/>
          <w:sz w:val="24"/>
        </w:rPr>
        <w:t>Decorre do problema a seguinte questão de pesquisa:</w:t>
      </w:r>
    </w:p>
    <w:p>
      <w:pPr>
        <w:ind w:left="1701" w:firstLine="0"/>
        <w:jc w:val="both"/>
      </w:pPr>
      <w:r>
        <w:rPr>
          <w:rFonts w:ascii="Times New Roman" w:hAnsi="Times New Roman" w:cs="Times New Roman" w:eastAsia="Times New Roman"/>
          <w:sz w:val="24"/>
        </w:rPr>
        <w:t>Como avaliar tecnicamente uma arquitetura web baseada em BaaS/Serverless por meio de métricas e testes de Engenharia de Software, considerando atributos de qualidade em uma plataforma de intermediação de serviços?</w:t>
      </w:r>
    </w:p>
    <w:p>
      <w:pPr>
        <w:jc w:val="left"/>
      </w:pPr>
      <w:r>
        <w:rPr>
          <w:rFonts w:ascii="Times New Roman" w:hAnsi="Times New Roman" w:cs="Times New Roman" w:eastAsia="Times New Roman"/>
          <w:b/>
          <w:sz w:val="24"/>
        </w:rPr>
        <w:t>1.4 Objetivos</w:t>
      </w:r>
    </w:p>
    <w:p>
      <w:pPr>
        <w:jc w:val="left"/>
      </w:pPr>
      <w:r>
        <w:rPr>
          <w:rFonts w:ascii="Times New Roman" w:hAnsi="Times New Roman" w:cs="Times New Roman" w:eastAsia="Times New Roman"/>
          <w:b/>
          <w:sz w:val="24"/>
        </w:rPr>
        <w:t>1.4.1 Objetivo geral</w:t>
      </w:r>
    </w:p>
    <w:p>
      <w:pPr>
        <w:ind w:firstLine="700"/>
        <w:jc w:val="both"/>
      </w:pPr>
      <w:r>
        <w:rPr>
          <w:rFonts w:ascii="Times New Roman" w:hAnsi="Times New Roman" w:cs="Times New Roman" w:eastAsia="Times New Roman"/>
          <w:sz w:val="24"/>
        </w:rPr>
        <w:t>Avaliar tecnicamente a arquitetura de software da plataforma Hubservi, baseada em React, TypeScript, Supabase e PostgreSQL, utilizando métricas e testes relacionados à segurança, ao desempenho, à testabilidade e à manutenibilidade.</w:t>
      </w:r>
    </w:p>
    <w:p>
      <w:pPr>
        <w:jc w:val="left"/>
      </w:pPr>
      <w:r>
        <w:rPr>
          <w:rFonts w:ascii="Times New Roman" w:hAnsi="Times New Roman" w:cs="Times New Roman" w:eastAsia="Times New Roman"/>
          <w:b/>
          <w:sz w:val="24"/>
        </w:rPr>
        <w:t>1.4.2 Objetivos específicos</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sz w:val="24"/>
        </w:rPr>
        <w:t>Identificar os requisitos arquiteturais e os atributos de qualidade relevantes para a plataforma.</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sz w:val="24"/>
        </w:rPr>
        <w:t>Modelar a arquitetura da plataforma.</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sz w:val="24"/>
        </w:rPr>
        <w:t>Documentar os componentes, fluxos, persistência e regras de negócio.</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sz w:val="24"/>
        </w:rPr>
        <w:t>Definir cenários de avaliação arquitetural.</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sz w:val="24"/>
        </w:rPr>
        <w:t>Executar testes automatizados.</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sz w:val="24"/>
        </w:rPr>
        <w:t>Executar análise estática de código.</w:t>
      </w:r>
    </w:p>
    <w:p>
      <w:pPr>
        <w:ind w:left="700" w:firstLine="0"/>
        <w:jc w:val="both"/>
      </w:pPr>
      <w:r>
        <w:rPr>
          <w:rFonts w:ascii="Times New Roman" w:hAnsi="Times New Roman" w:cs="Times New Roman" w:eastAsia="Times New Roman"/>
          <w:sz w:val="24"/>
        </w:rPr>
        <w:t xml:space="preserve">7. </w:t>
      </w:r>
      <w:r>
        <w:rPr>
          <w:rFonts w:ascii="Times New Roman" w:hAnsi="Times New Roman" w:cs="Times New Roman" w:eastAsia="Times New Roman"/>
          <w:sz w:val="24"/>
        </w:rPr>
        <w:t>Executar testes de segurança.</w:t>
      </w:r>
    </w:p>
    <w:p>
      <w:pPr>
        <w:ind w:left="700" w:firstLine="0"/>
        <w:jc w:val="both"/>
      </w:pPr>
      <w:r>
        <w:rPr>
          <w:rFonts w:ascii="Times New Roman" w:hAnsi="Times New Roman" w:cs="Times New Roman" w:eastAsia="Times New Roman"/>
          <w:sz w:val="24"/>
        </w:rPr>
        <w:t xml:space="preserve">8. </w:t>
      </w:r>
      <w:r>
        <w:rPr>
          <w:rFonts w:ascii="Times New Roman" w:hAnsi="Times New Roman" w:cs="Times New Roman" w:eastAsia="Times New Roman"/>
          <w:sz w:val="24"/>
        </w:rPr>
        <w:t>Executar testes de desempenho.</w:t>
      </w:r>
    </w:p>
    <w:p>
      <w:pPr>
        <w:ind w:left="700" w:firstLine="0"/>
        <w:jc w:val="both"/>
      </w:pPr>
      <w:r>
        <w:rPr>
          <w:rFonts w:ascii="Times New Roman" w:hAnsi="Times New Roman" w:cs="Times New Roman" w:eastAsia="Times New Roman"/>
          <w:sz w:val="24"/>
        </w:rPr>
        <w:t xml:space="preserve">9. </w:t>
      </w:r>
      <w:r>
        <w:rPr>
          <w:rFonts w:ascii="Times New Roman" w:hAnsi="Times New Roman" w:cs="Times New Roman" w:eastAsia="Times New Roman"/>
          <w:sz w:val="24"/>
        </w:rPr>
        <w:t>Analisar os resultados obtidos.</w:t>
      </w:r>
    </w:p>
    <w:p>
      <w:pPr>
        <w:ind w:firstLine="700"/>
        <w:jc w:val="both"/>
      </w:pPr>
      <w:r>
        <w:rPr>
          <w:rFonts w:ascii="Times New Roman" w:hAnsi="Times New Roman" w:cs="Times New Roman" w:eastAsia="Times New Roman"/>
          <w:b/>
          <w:sz w:val="24"/>
        </w:rPr>
        <w:t>Nota de escopo.</w:t>
      </w:r>
      <w:r>
        <w:rPr>
          <w:rFonts w:ascii="Times New Roman" w:hAnsi="Times New Roman" w:cs="Times New Roman" w:eastAsia="Times New Roman"/>
          <w:sz w:val="24"/>
        </w:rPr>
        <w:t xml:space="preserve"> Os objetivos específicos 1 a 4 (delimitação, modelagem, documentação e definição de cenários) e os objetivos 5 a 9 (execução de testes automatizados, análise estática, testes de segurança e de desempenho, e análise) foram executados; os resultados são reportados na Seção 7 e derivam do registro reprodutível em </w:t>
      </w:r>
      <w:r>
        <w:rPr>
          <w:rFonts w:ascii="Times New Roman" w:hAnsi="Times New Roman" w:cs="Times New Roman" w:eastAsia="Times New Roman"/>
          <w:i/>
          <w:sz w:val="24"/>
        </w:rPr>
        <w:t>docs/tcc/medicoes/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1.5 Delimitação do escopo</w:t>
      </w:r>
    </w:p>
    <w:p>
      <w:pPr>
        <w:ind w:firstLine="700"/>
        <w:jc w:val="both"/>
      </w:pPr>
      <w:r>
        <w:rPr>
          <w:rFonts w:ascii="Times New Roman" w:hAnsi="Times New Roman" w:cs="Times New Roman" w:eastAsia="Times New Roman"/>
          <w:b/>
          <w:sz w:val="24"/>
        </w:rPr>
        <w:t>Objeto de pesquisa e instrumento.</w:t>
      </w:r>
      <w:r>
        <w:rPr>
          <w:rFonts w:ascii="Times New Roman" w:hAnsi="Times New Roman" w:cs="Times New Roman" w:eastAsia="Times New Roman"/>
          <w:sz w:val="24"/>
        </w:rPr>
        <w:t xml:space="preserve"> O objeto deste trabalho é a </w:t>
      </w:r>
      <w:r>
        <w:rPr>
          <w:rFonts w:ascii="Times New Roman" w:hAnsi="Times New Roman" w:cs="Times New Roman" w:eastAsia="Times New Roman"/>
          <w:b/>
          <w:sz w:val="24"/>
        </w:rPr>
        <w:t>avaliação técnica</w:t>
      </w:r>
      <w:r>
        <w:rPr>
          <w:rFonts w:ascii="Times New Roman" w:hAnsi="Times New Roman" w:cs="Times New Roman" w:eastAsia="Times New Roman"/>
          <w:sz w:val="24"/>
        </w:rPr>
        <w:t xml:space="preserve"> de uma arquitetura web baseada em BaaS/Serverless; a plataforma Hubservi é o </w:t>
      </w:r>
      <w:r>
        <w:rPr>
          <w:rFonts w:ascii="Times New Roman" w:hAnsi="Times New Roman" w:cs="Times New Roman" w:eastAsia="Times New Roman"/>
          <w:b/>
          <w:sz w:val="24"/>
        </w:rPr>
        <w:t>instrumento</w:t>
      </w:r>
      <w:r>
        <w:rPr>
          <w:rFonts w:ascii="Times New Roman" w:hAnsi="Times New Roman" w:cs="Times New Roman" w:eastAsia="Times New Roman"/>
          <w:sz w:val="24"/>
        </w:rPr>
        <w:t xml:space="preserve"> por meio do qual essa avaliação se torna possível. A distinção é necessária porque o trabalho envolve dois produtos de naturezas distintas: um sistema de software, desenvolvido integralmente pela equipe, e um procedimento de avaliação, aplicado sobre esse sistema. Apenas o segundo constitui a contribuição científica pretendida. Conforme exposto na Seção 1.6, a lacuna identificada é de ordem metodológica — não é evidente </w:t>
      </w:r>
      <w:r>
        <w:rPr>
          <w:rFonts w:ascii="Times New Roman" w:hAnsi="Times New Roman" w:cs="Times New Roman" w:eastAsia="Times New Roman"/>
          <w:i/>
          <w:sz w:val="24"/>
        </w:rPr>
        <w:t>como</w:t>
      </w:r>
      <w:r>
        <w:rPr>
          <w:rFonts w:ascii="Times New Roman" w:hAnsi="Times New Roman" w:cs="Times New Roman" w:eastAsia="Times New Roman"/>
          <w:sz w:val="24"/>
        </w:rPr>
        <w:t xml:space="preserve"> aplicar métricas e testes de Engenharia de Software para validar atributos de qualidade em um arranjo no qual autorização e integridade migram para o banco de dados. O que se oferece como contribuição, portanto, é um roteiro de avaliação reprodutível e transferível a outras aplicações que adotem o mesmo paradigma, e não a plataforma em si.</w:t>
      </w:r>
    </w:p>
    <w:p>
      <w:pPr>
        <w:ind w:firstLine="700"/>
        <w:jc w:val="both"/>
      </w:pPr>
      <w:r>
        <w:rPr>
          <w:rFonts w:ascii="Times New Roman" w:hAnsi="Times New Roman" w:cs="Times New Roman" w:eastAsia="Times New Roman"/>
          <w:b/>
          <w:sz w:val="24"/>
        </w:rPr>
        <w:t>Justificativa do desenvolvimento do sistema.</w:t>
      </w:r>
      <w:r>
        <w:rPr>
          <w:rFonts w:ascii="Times New Roman" w:hAnsi="Times New Roman" w:cs="Times New Roman" w:eastAsia="Times New Roman"/>
          <w:sz w:val="24"/>
        </w:rPr>
        <w:t xml:space="preserve"> A construção do Hubservi não constitui objetivo do trabalho, mas </w:t>
      </w:r>
      <w:r>
        <w:rPr>
          <w:rFonts w:ascii="Times New Roman" w:hAnsi="Times New Roman" w:cs="Times New Roman" w:eastAsia="Times New Roman"/>
          <w:b/>
          <w:sz w:val="24"/>
        </w:rPr>
        <w:t>pré-requisito metodológico</w:t>
      </w:r>
      <w:r>
        <w:rPr>
          <w:rFonts w:ascii="Times New Roman" w:hAnsi="Times New Roman" w:cs="Times New Roman" w:eastAsia="Times New Roman"/>
          <w:sz w:val="24"/>
        </w:rPr>
        <w:t xml:space="preserve"> dele. Avaliar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restrições de integridade e a fronteira entre cliente e serviço gerenciado exige acesso irrestrito ao código-fonte, ao esquema do banco de dados, às configurações de autorização e ao ambiente de execução — condições inviáveis de obter sobre uma plataforma de terceiros, cujo código e cuja base de dados não são acessíveis ao pesquisador. O desenvolvimento próprio é o que assegura a validade interna do experimento: permite controlar as variáveis do ambiente, reproduzir as medições sobre um estado conhecido e conduzir o ciclo de detecção e correção de defeitos sem restrições de acesso. Os quatro fluxos críticos implementados — autenticação, cadastro e busca de serviços, contratação (</w:t>
      </w:r>
      <w:r>
        <w:rPr>
          <w:rFonts w:ascii="Times New Roman" w:hAnsi="Times New Roman" w:cs="Times New Roman" w:eastAsia="Times New Roman"/>
          <w:i/>
          <w:sz w:val="24"/>
        </w:rPr>
        <w:t>booking</w:t>
      </w:r>
      <w:r>
        <w:rPr>
          <w:rFonts w:ascii="Times New Roman" w:hAnsi="Times New Roman" w:cs="Times New Roman" w:eastAsia="Times New Roman"/>
          <w:sz w:val="24"/>
        </w:rPr>
        <w:t>) e avaliação (</w:t>
      </w:r>
      <w:r>
        <w:rPr>
          <w:rFonts w:ascii="Times New Roman" w:hAnsi="Times New Roman" w:cs="Times New Roman" w:eastAsia="Times New Roman"/>
          <w:i/>
          <w:sz w:val="24"/>
        </w:rPr>
        <w:t>review</w:t>
      </w:r>
      <w:r>
        <w:rPr>
          <w:rFonts w:ascii="Times New Roman" w:hAnsi="Times New Roman" w:cs="Times New Roman" w:eastAsia="Times New Roman"/>
          <w:sz w:val="24"/>
        </w:rPr>
        <w:t>), descritos na Seção 4 — constituem a superfície sobre a qual os cenários de avaliação da Seção 5 são exercitados.</w:t>
      </w:r>
    </w:p>
    <w:p>
      <w:pPr>
        <w:ind w:firstLine="700"/>
        <w:jc w:val="both"/>
      </w:pPr>
      <w:r>
        <w:rPr>
          <w:rFonts w:ascii="Times New Roman" w:hAnsi="Times New Roman" w:cs="Times New Roman" w:eastAsia="Times New Roman"/>
          <w:b/>
          <w:sz w:val="24"/>
        </w:rPr>
        <w:t>Delimitação negativa.</w:t>
      </w:r>
      <w:r>
        <w:rPr>
          <w:rFonts w:ascii="Times New Roman" w:hAnsi="Times New Roman" w:cs="Times New Roman" w:eastAsia="Times New Roman"/>
          <w:sz w:val="24"/>
        </w:rPr>
        <w:t xml:space="preserve"> Não integram o escopo deste trabalho: (i) a avaliação de </w:t>
      </w:r>
      <w:r>
        <w:rPr>
          <w:rFonts w:ascii="Times New Roman" w:hAnsi="Times New Roman" w:cs="Times New Roman" w:eastAsia="Times New Roman"/>
          <w:b/>
          <w:sz w:val="24"/>
        </w:rPr>
        <w:t>usabilidade e acessibilidade</w:t>
      </w:r>
      <w:r>
        <w:rPr>
          <w:rFonts w:ascii="Times New Roman" w:hAnsi="Times New Roman" w:cs="Times New Roman" w:eastAsia="Times New Roman"/>
          <w:sz w:val="24"/>
        </w:rPr>
        <w:t xml:space="preserve">, por estarem fora das quatro características da ISO/IEC 25010 (2011) selecionadas como relevantes para o problema de pesquisa — segurança, eficiência de desempenho, manutenibilidade e confiabilidade —, ainda que constem como requisitos não funcionais do produto; (ii) o </w:t>
      </w:r>
      <w:r>
        <w:rPr>
          <w:rFonts w:ascii="Times New Roman" w:hAnsi="Times New Roman" w:cs="Times New Roman" w:eastAsia="Times New Roman"/>
          <w:b/>
          <w:sz w:val="24"/>
        </w:rPr>
        <w:t>módulo de recomendação</w:t>
      </w:r>
      <w:r>
        <w:rPr>
          <w:rFonts w:ascii="Times New Roman" w:hAnsi="Times New Roman" w:cs="Times New Roman" w:eastAsia="Times New Roman"/>
          <w:sz w:val="24"/>
        </w:rPr>
        <w:t xml:space="preserve">, que permanece secundário e limitado à ordenação de resultados por popularidade e avaliação média, não sendo objeto de avaliação; (iii) arquiteturas de </w:t>
      </w:r>
      <w:r>
        <w:rPr>
          <w:rFonts w:ascii="Times New Roman" w:hAnsi="Times New Roman" w:cs="Times New Roman" w:eastAsia="Times New Roman"/>
          <w:b/>
          <w:sz w:val="24"/>
        </w:rPr>
        <w:t>microsserviços</w:t>
      </w:r>
      <w:r>
        <w:rPr>
          <w:rFonts w:ascii="Times New Roman" w:hAnsi="Times New Roman" w:cs="Times New Roman" w:eastAsia="Times New Roman"/>
          <w:sz w:val="24"/>
        </w:rPr>
        <w:t xml:space="preserve">, uma vez que o sistema avaliado adota o modelo SPA + BaaS + Serverless, sem camada de servidor de aplicação própria; e (iv) testes </w:t>
      </w:r>
      <w:r>
        <w:rPr>
          <w:rFonts w:ascii="Times New Roman" w:hAnsi="Times New Roman" w:cs="Times New Roman" w:eastAsia="Times New Roman"/>
          <w:b/>
          <w:sz w:val="24"/>
        </w:rPr>
        <w:t>fim a fim conduzidos por ferramenta dedicada de automação de navegador</w:t>
      </w:r>
      <w:r>
        <w:rPr>
          <w:rFonts w:ascii="Times New Roman" w:hAnsi="Times New Roman" w:cs="Times New Roman" w:eastAsia="Times New Roman"/>
          <w:sz w:val="24"/>
        </w:rPr>
        <w:t>, dado que, em uma arquitetura BaaS, a superfície de integração relevante é a própria API do serviço gerenciado — os fluxos ponta a ponta são, por essa razão, verificados por testes de integração executados contra a API, conforme a Seção 5.</w:t>
      </w:r>
    </w:p>
    <w:p>
      <w:pPr>
        <w:jc w:val="left"/>
      </w:pPr>
      <w:r>
        <w:rPr>
          <w:rFonts w:ascii="Times New Roman" w:hAnsi="Times New Roman" w:cs="Times New Roman" w:eastAsia="Times New Roman"/>
          <w:b/>
          <w:sz w:val="24"/>
        </w:rPr>
        <w:t>1.6 Justificativa</w:t>
      </w:r>
    </w:p>
    <w:p>
      <w:pPr>
        <w:ind w:firstLine="700"/>
        <w:jc w:val="both"/>
      </w:pPr>
      <w:r>
        <w:rPr>
          <w:rFonts w:ascii="Times New Roman" w:hAnsi="Times New Roman" w:cs="Times New Roman" w:eastAsia="Times New Roman"/>
          <w:sz w:val="24"/>
        </w:rPr>
        <w:t>A literatura de arquitetura de software dispõe de métodos consolidados de avaliação — notadamente o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de Clements, Kazman e Klein (2002) — e de modelos de qualidade reconhecidos, como o estabelecido pela norma ISO/IEC 25010 (2011). Tais referenciais, contudo, foram concebidos predominantemente sob o pressuposto de arquiteturas com camada de servidor de aplicação explícita. A crescente adoção de arquiteturas BaaS/Serverless, nas quais responsabilidades de autorização e integridade migram para o banco de dados e para serviços gerenciados, cria uma lacuna prática: não é evidente </w:t>
      </w:r>
      <w:r>
        <w:rPr>
          <w:rFonts w:ascii="Times New Roman" w:hAnsi="Times New Roman" w:cs="Times New Roman" w:eastAsia="Times New Roman"/>
          <w:i/>
          <w:sz w:val="24"/>
        </w:rPr>
        <w:t>como</w:t>
      </w:r>
      <w:r>
        <w:rPr>
          <w:rFonts w:ascii="Times New Roman" w:hAnsi="Times New Roman" w:cs="Times New Roman" w:eastAsia="Times New Roman"/>
          <w:sz w:val="24"/>
        </w:rPr>
        <w:t xml:space="preserve"> aplicar métricas e testes de Engenharia de Software para validar tecnicamente esses atributos de qualidade nesse novo arranjo.</w:t>
      </w:r>
    </w:p>
    <w:p>
      <w:pPr>
        <w:ind w:firstLine="700"/>
        <w:jc w:val="both"/>
      </w:pPr>
      <w:r>
        <w:rPr>
          <w:rFonts w:ascii="Times New Roman" w:hAnsi="Times New Roman" w:cs="Times New Roman" w:eastAsia="Times New Roman"/>
          <w:sz w:val="24"/>
        </w:rPr>
        <w:t>Justifica-se, portanto, conduzir um estudo de caso que (i) modele e documente rigorosamente uma arquitetura BaaS/Serverless real, (ii) defina cenários e métricas de avaliação alinhados aos atributos de qualidade da ISO/IEC 25010, e (iii) organize um procedimento reprodutível de avaliação. A contribuição é tanto prática — para a equipe da plataforma Hubservi — quanto metodológica, ao oferecer um roteiro de avaliação técnica transferível a outras aplicações que adotem o mesmo paradigma.</w:t>
      </w:r>
    </w:p>
    <w:p>
      <w:pPr>
        <w:jc w:val="left"/>
      </w:pPr>
      <w:r>
        <w:rPr>
          <w:rFonts w:ascii="Times New Roman" w:hAnsi="Times New Roman" w:cs="Times New Roman" w:eastAsia="Times New Roman"/>
          <w:b/>
          <w:sz w:val="24"/>
        </w:rPr>
        <w:t>1.7 Organização do artigo</w:t>
      </w:r>
    </w:p>
    <w:p>
      <w:pPr>
        <w:ind w:firstLine="700"/>
        <w:jc w:val="both"/>
      </w:pPr>
      <w:r>
        <w:rPr>
          <w:rFonts w:ascii="Times New Roman" w:hAnsi="Times New Roman" w:cs="Times New Roman" w:eastAsia="Times New Roman"/>
          <w:sz w:val="24"/>
        </w:rPr>
        <w:t>O restante do artigo está organizado da seguinte forma. A Seção 2 apresenta o referencial teórico sobre arquitetura de software, avaliação arquitetural, qualidade de software e arquiteturas BaaS/Serverless. A Seção 3 descreve a metodologia adotada. A Seção 4 documenta a arquitetura da plataforma Hubservi. A Seção 5 detalha o planejamento experimental e o plano de métricas. A Seção 6 apresenta a avaliação arquitetural com base no ATAM. A Seção 7 consolida os resultados das medições executadas. A Seção 8 expõe o cronograma. A Seção 9 apresenta a conclusão e, por fim, são listadas as referências.</w:t>
      </w:r>
    </w:p>
    <w:p>
      <w:pPr>
        <w:jc w:val="left"/>
      </w:pPr>
      <w:r>
        <w:rPr>
          <w:rFonts w:ascii="Times New Roman" w:hAnsi="Times New Roman" w:cs="Times New Roman" w:eastAsia="Times New Roman"/>
          <w:b/>
          <w:sz w:val="24"/>
        </w:rPr>
        <w:t>1.8 Disponibilidade dos artefatos</w:t>
      </w:r>
    </w:p>
    <w:p>
      <w:pPr>
        <w:ind w:firstLine="700"/>
        <w:jc w:val="both"/>
      </w:pPr>
      <w:r>
        <w:rPr>
          <w:rFonts w:ascii="Times New Roman" w:hAnsi="Times New Roman" w:cs="Times New Roman" w:eastAsia="Times New Roman"/>
          <w:sz w:val="24"/>
        </w:rPr>
        <w:t xml:space="preserve">Todo o material que sustenta este trabalho é público e versionado, em coerência com a própria tese do artigo: uma avaliação técnica só é verificável se o instrumento, o procedimento e as evidências puderem ser inspecionados por terceiros. O repositório (https://github.com/Richardy-Rodrigues/hubservi) reúne o código-fonte da plataforma, 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que definem o esquema e as políticas de autorização, as suítes de teste, o registro completo das medições — com ferramenta, versão, data, valor, critério e veredito — e as saídas brutas de cada execução.</w:t>
      </w:r>
    </w:p>
    <w:p>
      <w:pPr>
        <w:ind w:firstLine="700"/>
        <w:jc w:val="both"/>
      </w:pPr>
      <w:r>
        <w:rPr>
          <w:rFonts w:ascii="Times New Roman" w:hAnsi="Times New Roman" w:cs="Times New Roman" w:eastAsia="Times New Roman"/>
          <w:sz w:val="24"/>
        </w:rPr>
        <w:t xml:space="preserve">Dois documentos são publicados como </w:t>
      </w:r>
      <w:r>
        <w:rPr>
          <w:rFonts w:ascii="Times New Roman" w:hAnsi="Times New Roman" w:cs="Times New Roman" w:eastAsia="Times New Roman"/>
          <w:b/>
          <w:sz w:val="24"/>
        </w:rPr>
        <w:t>material suplementar</w:t>
      </w:r>
      <w:r>
        <w:rPr>
          <w:rFonts w:ascii="Times New Roman" w:hAnsi="Times New Roman" w:cs="Times New Roman" w:eastAsia="Times New Roman"/>
          <w:sz w:val="24"/>
        </w:rPr>
        <w:t xml:space="preserve">, referenciados ao longo do texto. O primeiro (VIEIRA; COSTA, 2026a) reúne os diagramas de modelagem — UML, BPMN e DER — e o dicionário de dados, numerados de forma autocontida (Figuras A.1 a A.10 e Tabelas A.1 a A.7). O segundo (VIEIRA; COSTA, 2026b) descreve como reproduzir cada medição reportada na Seção 7, classificando-as pelo que exigem do ambiente e explicitando quais </w:t>
      </w:r>
      <w:r>
        <w:rPr>
          <w:rFonts w:ascii="Times New Roman" w:hAnsi="Times New Roman" w:cs="Times New Roman" w:eastAsia="Times New Roman"/>
          <w:b/>
          <w:sz w:val="24"/>
        </w:rPr>
        <w:t>não</w:t>
      </w:r>
      <w:r>
        <w:rPr>
          <w:rFonts w:ascii="Times New Roman" w:hAnsi="Times New Roman" w:cs="Times New Roman" w:eastAsia="Times New Roman"/>
          <w:sz w:val="24"/>
        </w:rPr>
        <w:t xml:space="preserve"> são reproduzíveis e por quê — informação que a Seção 5.4 trata como parte das ameaças à validade, e não como omissão.</w:t>
      </w:r>
    </w:p>
    <w:p>
      <w:pPr>
        <w:jc w:val="left"/>
      </w:pPr>
      <w:r>
        <w:rPr>
          <w:rFonts w:ascii="Times New Roman" w:hAnsi="Times New Roman" w:cs="Times New Roman" w:eastAsia="Times New Roman"/>
          <w:b/>
          <w:sz w:val="24"/>
        </w:rPr>
        <w:t>2 REFERENCIAL TEÓRICO</w:t>
      </w:r>
    </w:p>
    <w:p>
      <w:pPr>
        <w:ind w:firstLine="700"/>
        <w:jc w:val="both"/>
      </w:pPr>
      <w:r>
        <w:rPr>
          <w:rFonts w:ascii="Times New Roman" w:hAnsi="Times New Roman" w:cs="Times New Roman" w:eastAsia="Times New Roman"/>
          <w:sz w:val="24"/>
        </w:rPr>
        <w:t>Esta seção fundamenta teoricamente o trabalho em quatro eixos: (i) arquitetura de software e atributos de qualidade; (ii) avaliação arquitetural e o método ATAM; (iii) qualidade de software segundo a ISO/IEC 25010; e (iv) o paradigma de arquiteturas BaaS/Serverless. Encerra com a contribuição da Engenharia de Software no que tange a testes e análise estática.</w:t>
      </w:r>
    </w:p>
    <w:p>
      <w:pPr>
        <w:jc w:val="left"/>
      </w:pPr>
      <w:r>
        <w:rPr>
          <w:rFonts w:ascii="Times New Roman" w:hAnsi="Times New Roman" w:cs="Times New Roman" w:eastAsia="Times New Roman"/>
          <w:b/>
          <w:sz w:val="24"/>
        </w:rPr>
        <w:t>2.1 Arquitetura de software e atributos de qualidade</w:t>
      </w:r>
    </w:p>
    <w:p>
      <w:pPr>
        <w:ind w:firstLine="700"/>
        <w:jc w:val="both"/>
      </w:pPr>
      <w:r>
        <w:rPr>
          <w:rFonts w:ascii="Times New Roman" w:hAnsi="Times New Roman" w:cs="Times New Roman" w:eastAsia="Times New Roman"/>
          <w:sz w:val="24"/>
        </w:rPr>
        <w:t>A arquitetura de software de um sistema é definida por Bass, Clements e Kazman (2012) como o conjunto de estruturas necessárias para raciocinar sobre o sistema, compreendendo elementos de software, as relações entre eles e as propriedades de ambos. Para os autores, a arquitetura é o artefato que viabiliza ou inibe os atributos de qualidade do sistema: decisões arquiteturais — e não primariamente decisões de implementação — determinam o grau em que requisitos como desempenho, segurança e modificabilidade serão satisfeitos.</w:t>
      </w:r>
    </w:p>
    <w:p>
      <w:pPr>
        <w:ind w:firstLine="700"/>
        <w:jc w:val="both"/>
      </w:pPr>
      <w:r>
        <w:rPr>
          <w:rFonts w:ascii="Times New Roman" w:hAnsi="Times New Roman" w:cs="Times New Roman" w:eastAsia="Times New Roman"/>
          <w:sz w:val="24"/>
        </w:rPr>
        <w:t xml:space="preserve">Bass, Clements e Kazman (2012) distinguem requisitos funcionais, que expressam </w:t>
      </w:r>
      <w:r>
        <w:rPr>
          <w:rFonts w:ascii="Times New Roman" w:hAnsi="Times New Roman" w:cs="Times New Roman" w:eastAsia="Times New Roman"/>
          <w:i/>
          <w:sz w:val="24"/>
        </w:rPr>
        <w:t>o que</w:t>
      </w:r>
      <w:r>
        <w:rPr>
          <w:rFonts w:ascii="Times New Roman" w:hAnsi="Times New Roman" w:cs="Times New Roman" w:eastAsia="Times New Roman"/>
          <w:sz w:val="24"/>
        </w:rPr>
        <w:t xml:space="preserve"> o sistema deve fazer, dos </w:t>
      </w:r>
      <w:r>
        <w:rPr>
          <w:rFonts w:ascii="Times New Roman" w:hAnsi="Times New Roman" w:cs="Times New Roman" w:eastAsia="Times New Roman"/>
          <w:i/>
          <w:sz w:val="24"/>
        </w:rPr>
        <w:t>requisitos de atributos de qualidade</w:t>
      </w:r>
      <w:r>
        <w:rPr>
          <w:rFonts w:ascii="Times New Roman" w:hAnsi="Times New Roman" w:cs="Times New Roman" w:eastAsia="Times New Roman"/>
          <w:sz w:val="24"/>
        </w:rPr>
        <w:t xml:space="preserve">, que expressam </w:t>
      </w:r>
      <w:r>
        <w:rPr>
          <w:rFonts w:ascii="Times New Roman" w:hAnsi="Times New Roman" w:cs="Times New Roman" w:eastAsia="Times New Roman"/>
          <w:i/>
          <w:sz w:val="24"/>
        </w:rPr>
        <w:t>quão bem</w:t>
      </w:r>
      <w:r>
        <w:rPr>
          <w:rFonts w:ascii="Times New Roman" w:hAnsi="Times New Roman" w:cs="Times New Roman" w:eastAsia="Times New Roman"/>
          <w:sz w:val="24"/>
        </w:rPr>
        <w:t xml:space="preserve"> o sistema deve fazê-lo. Esses requisitos são expressos por meio de </w:t>
      </w:r>
      <w:r>
        <w:rPr>
          <w:rFonts w:ascii="Times New Roman" w:hAnsi="Times New Roman" w:cs="Times New Roman" w:eastAsia="Times New Roman"/>
          <w:b/>
          <w:sz w:val="24"/>
        </w:rPr>
        <w:t>cenários de atributos de qualidade</w:t>
      </w:r>
      <w:r>
        <w:rPr>
          <w:rFonts w:ascii="Times New Roman" w:hAnsi="Times New Roman" w:cs="Times New Roman" w:eastAsia="Times New Roman"/>
          <w:sz w:val="24"/>
        </w:rPr>
        <w:t>, estruturados em seis partes: fonte do estímulo, estímulo, artefato, ambiente, resposta e medida da resposta. Tal estrutura é central para este trabalho, pois fornece o formato pelo qual os atributos avaliados na plataforma Hubservi são operacionalizados como cenários verificáveis (Seções 5 e 6).</w:t>
      </w:r>
    </w:p>
    <w:p>
      <w:pPr>
        <w:ind w:firstLine="700"/>
        <w:jc w:val="both"/>
      </w:pPr>
      <w:r>
        <w:rPr>
          <w:rFonts w:ascii="Times New Roman" w:hAnsi="Times New Roman" w:cs="Times New Roman" w:eastAsia="Times New Roman"/>
          <w:sz w:val="24"/>
        </w:rPr>
        <w:t xml:space="preserve">Os autores também introduzem o conceito de </w:t>
      </w:r>
      <w:r>
        <w:rPr>
          <w:rFonts w:ascii="Times New Roman" w:hAnsi="Times New Roman" w:cs="Times New Roman" w:eastAsia="Times New Roman"/>
          <w:b/>
          <w:sz w:val="24"/>
        </w:rPr>
        <w:t>táticas</w:t>
      </w:r>
      <w:r>
        <w:rPr>
          <w:rFonts w:ascii="Times New Roman" w:hAnsi="Times New Roman" w:cs="Times New Roman" w:eastAsia="Times New Roman"/>
          <w:sz w:val="24"/>
        </w:rPr>
        <w:t xml:space="preserve"> — decisões de projeto que influenciam o controle de um atributo de qualidade — e de </w:t>
      </w:r>
      <w:r>
        <w:rPr>
          <w:rFonts w:ascii="Times New Roman" w:hAnsi="Times New Roman" w:cs="Times New Roman" w:eastAsia="Times New Roman"/>
          <w:b/>
          <w:sz w:val="24"/>
        </w:rPr>
        <w:t>ASR</w:t>
      </w:r>
      <w:r>
        <w:rPr>
          <w:rFonts w:ascii="Times New Roman" w:hAnsi="Times New Roman" w:cs="Times New Roman" w:eastAsia="Times New Roman"/>
          <w:sz w:val="24"/>
        </w:rPr>
        <w:t xml:space="preserve"> (</w:t>
      </w:r>
      <w:r>
        <w:rPr>
          <w:rFonts w:ascii="Times New Roman" w:hAnsi="Times New Roman" w:cs="Times New Roman" w:eastAsia="Times New Roman"/>
          <w:i/>
          <w:sz w:val="24"/>
        </w:rPr>
        <w:t>Architecturally Significant Requirements</w:t>
      </w:r>
      <w:r>
        <w:rPr>
          <w:rFonts w:ascii="Times New Roman" w:hAnsi="Times New Roman" w:cs="Times New Roman" w:eastAsia="Times New Roman"/>
          <w:sz w:val="24"/>
        </w:rPr>
        <w:t xml:space="preserve">), os requisitos cuja satisfação depende de decisões arquiteturais. No contexto de uma arquitetura BaaS/Serverless, táticas de segurança como </w:t>
      </w:r>
      <w:r>
        <w:rPr>
          <w:rFonts w:ascii="Times New Roman" w:hAnsi="Times New Roman" w:cs="Times New Roman" w:eastAsia="Times New Roman"/>
          <w:i/>
          <w:sz w:val="24"/>
        </w:rPr>
        <w:t>autenticar atores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autorizar atores</w:t>
      </w:r>
      <w:r>
        <w:rPr>
          <w:rFonts w:ascii="Times New Roman" w:hAnsi="Times New Roman" w:cs="Times New Roman" w:eastAsia="Times New Roman"/>
          <w:sz w:val="24"/>
        </w:rPr>
        <w:t xml:space="preserve"> materializam-se em mecanismos declarativos (autenticação gerenciada e políticas de RLS), o que justifica avaliá-las de forma específica.</w:t>
      </w:r>
    </w:p>
    <w:p>
      <w:pPr>
        <w:jc w:val="left"/>
      </w:pPr>
      <w:r>
        <w:rPr>
          <w:rFonts w:ascii="Times New Roman" w:hAnsi="Times New Roman" w:cs="Times New Roman" w:eastAsia="Times New Roman"/>
          <w:b/>
          <w:sz w:val="24"/>
        </w:rPr>
        <w:t>2.2 Avaliação arquitetural e o método ATAM</w:t>
      </w:r>
    </w:p>
    <w:p>
      <w:pPr>
        <w:ind w:firstLine="700"/>
        <w:jc w:val="both"/>
      </w:pPr>
      <w:r>
        <w:rPr>
          <w:rFonts w:ascii="Times New Roman" w:hAnsi="Times New Roman" w:cs="Times New Roman" w:eastAsia="Times New Roman"/>
          <w:sz w:val="24"/>
        </w:rPr>
        <w:t xml:space="preserve">Clements, Kazman e Klein (2002), em </w:t>
      </w:r>
      <w:r>
        <w:rPr>
          <w:rFonts w:ascii="Times New Roman" w:hAnsi="Times New Roman" w:cs="Times New Roman" w:eastAsia="Times New Roman"/>
          <w:i/>
          <w:sz w:val="24"/>
        </w:rPr>
        <w:t>Evaluating Software Architectures</w:t>
      </w:r>
      <w:r>
        <w:rPr>
          <w:rFonts w:ascii="Times New Roman" w:hAnsi="Times New Roman" w:cs="Times New Roman" w:eastAsia="Times New Roman"/>
          <w:sz w:val="24"/>
        </w:rPr>
        <w:t xml:space="preserve">, argumentam que a arquitetura, por ser o primeiro artefato em que os atributos de qualidade do sistema se tornam analisáveis, pode e deve ser avaliada antes de a construção avançar, reduzindo o risco de retrabalho. Os autores propõem o </w:t>
      </w:r>
      <w:r>
        <w:rPr>
          <w:rFonts w:ascii="Times New Roman" w:hAnsi="Times New Roman" w:cs="Times New Roman" w:eastAsia="Times New Roman"/>
          <w:b/>
          <w:sz w:val="24"/>
        </w:rPr>
        <w:t>ATAM</w:t>
      </w:r>
      <w:r>
        <w:rPr>
          <w:rFonts w:ascii="Times New Roman" w:hAnsi="Times New Roman" w:cs="Times New Roman" w:eastAsia="Times New Roman"/>
          <w:sz w:val="24"/>
        </w:rPr>
        <w:t xml:space="preserve">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método de avaliação baseado em cenários cujo objetivo não é fornecer notas precisas, mas identificar </w:t>
      </w:r>
      <w:r>
        <w:rPr>
          <w:rFonts w:ascii="Times New Roman" w:hAnsi="Times New Roman" w:cs="Times New Roman" w:eastAsia="Times New Roman"/>
          <w:b/>
          <w:sz w:val="24"/>
        </w:rPr>
        <w:t>riscos</w:t>
      </w:r>
      <w:r>
        <w:rPr>
          <w:rFonts w:ascii="Times New Roman" w:hAnsi="Times New Roman" w:cs="Times New Roman" w:eastAsia="Times New Roman"/>
          <w:sz w:val="24"/>
        </w:rPr>
        <w:t xml:space="preserve">, </w:t>
      </w:r>
      <w:r>
        <w:rPr>
          <w:rFonts w:ascii="Times New Roman" w:hAnsi="Times New Roman" w:cs="Times New Roman" w:eastAsia="Times New Roman"/>
          <w:b/>
          <w:sz w:val="24"/>
        </w:rPr>
        <w:t>pontos de sensibilidade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sensitivity points</w:t>
      </w:r>
      <w:r>
        <w:rPr>
          <w:rFonts w:ascii="Times New Roman" w:hAnsi="Times New Roman" w:cs="Times New Roman" w:eastAsia="Times New Roman"/>
          <w:sz w:val="24"/>
        </w:rPr>
        <w:t xml:space="preserve">) e </w:t>
      </w:r>
      <w:r>
        <w:rPr>
          <w:rFonts w:ascii="Times New Roman" w:hAnsi="Times New Roman" w:cs="Times New Roman" w:eastAsia="Times New Roman"/>
          <w:b/>
          <w:sz w:val="24"/>
        </w:rPr>
        <w:t>pontos de compromisso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tradeoff points</w:t>
      </w:r>
      <w:r>
        <w:rPr>
          <w:rFonts w:ascii="Times New Roman" w:hAnsi="Times New Roman" w:cs="Times New Roman" w:eastAsia="Times New Roman"/>
          <w:sz w:val="24"/>
        </w:rPr>
        <w:t>) decorrentes das decisões arquiteturais.</w:t>
      </w:r>
    </w:p>
    <w:p>
      <w:pPr>
        <w:ind w:firstLine="700"/>
        <w:jc w:val="both"/>
      </w:pPr>
      <w:r>
        <w:rPr>
          <w:rFonts w:ascii="Times New Roman" w:hAnsi="Times New Roman" w:cs="Times New Roman" w:eastAsia="Times New Roman"/>
          <w:sz w:val="24"/>
        </w:rPr>
        <w:t xml:space="preserve">O ATAM organiza-se em torno de uma </w:t>
      </w:r>
      <w:r>
        <w:rPr>
          <w:rFonts w:ascii="Times New Roman" w:hAnsi="Times New Roman" w:cs="Times New Roman" w:eastAsia="Times New Roman"/>
          <w:b/>
          <w:sz w:val="24"/>
        </w:rPr>
        <w:t>árvore de utilidade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utility tree</w:t>
      </w:r>
      <w:r>
        <w:rPr>
          <w:rFonts w:ascii="Times New Roman" w:hAnsi="Times New Roman" w:cs="Times New Roman" w:eastAsia="Times New Roman"/>
          <w:sz w:val="24"/>
        </w:rPr>
        <w:t>), que decompõe a utilidade geral do sistema em atributos de qualidade, estes em refinamentos, e estes, por fim, em cenários priorizados segundo a importância para o negócio e o grau de risco arquitetural. Os principais conceitos do método, mobilizados na Seção 6, são: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Ponto de sensibilidade:</w:t>
      </w:r>
      <w:r>
        <w:rPr>
          <w:rFonts w:ascii="Times New Roman" w:hAnsi="Times New Roman" w:cs="Times New Roman" w:eastAsia="Times New Roman"/>
          <w:sz w:val="24"/>
        </w:rPr>
        <w:t xml:space="preserve"> propriedade de um ou mais componentes da arquitetura que é crítica para se alcançar uma resposta de atributo de qualidade.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Ponto de compromisso:</w:t>
      </w:r>
      <w:r>
        <w:rPr>
          <w:rFonts w:ascii="Times New Roman" w:hAnsi="Times New Roman" w:cs="Times New Roman" w:eastAsia="Times New Roman"/>
          <w:sz w:val="24"/>
        </w:rPr>
        <w:t xml:space="preserve"> propriedade que é ponto de sensibilidade para mais de um atributo, de modo que melhorá-la para um atributo pode degradar outro.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Risco e não risco:</w:t>
      </w:r>
      <w:r>
        <w:rPr>
          <w:rFonts w:ascii="Times New Roman" w:hAnsi="Times New Roman" w:cs="Times New Roman" w:eastAsia="Times New Roman"/>
          <w:sz w:val="24"/>
        </w:rPr>
        <w:t xml:space="preserve"> decisões arquiteturais com consequências potencialmente negativas (ou explicitamente seguras) para os atributos de qualidade.</w:t>
      </w:r>
    </w:p>
    <w:p>
      <w:pPr>
        <w:ind w:firstLine="700"/>
        <w:jc w:val="both"/>
      </w:pPr>
      <w:r>
        <w:rPr>
          <w:rFonts w:ascii="Times New Roman" w:hAnsi="Times New Roman" w:cs="Times New Roman" w:eastAsia="Times New Roman"/>
          <w:sz w:val="24"/>
        </w:rPr>
        <w:t xml:space="preserve">O método é especialmente adequado a este trabalho por ser orientado a cenários e por focalizar </w:t>
      </w:r>
      <w:r>
        <w:rPr>
          <w:rFonts w:ascii="Times New Roman" w:hAnsi="Times New Roman" w:cs="Times New Roman" w:eastAsia="Times New Roman"/>
          <w:i/>
          <w:sz w:val="24"/>
        </w:rPr>
        <w:t>tradeoffs</w:t>
      </w:r>
      <w:r>
        <w:rPr>
          <w:rFonts w:ascii="Times New Roman" w:hAnsi="Times New Roman" w:cs="Times New Roman" w:eastAsia="Times New Roman"/>
          <w:sz w:val="24"/>
        </w:rPr>
        <w:t>, dimensão central em arquiteturas BaaS/Serverless, nas quais a delegação de responsabilidades a serviços gerenciados implica compromissos explícitos entre simplicidade, controle, desempenho e segurança.</w:t>
      </w:r>
    </w:p>
    <w:p>
      <w:pPr>
        <w:jc w:val="left"/>
      </w:pPr>
      <w:r>
        <w:rPr>
          <w:rFonts w:ascii="Times New Roman" w:hAnsi="Times New Roman" w:cs="Times New Roman" w:eastAsia="Times New Roman"/>
          <w:b/>
          <w:sz w:val="24"/>
        </w:rPr>
        <w:t>2.3 Qualidade de software e a norma ISO/IEC 25010</w:t>
      </w:r>
    </w:p>
    <w:p>
      <w:pPr>
        <w:ind w:firstLine="700"/>
        <w:jc w:val="both"/>
      </w:pPr>
      <w:r>
        <w:rPr>
          <w:rFonts w:ascii="Times New Roman" w:hAnsi="Times New Roman" w:cs="Times New Roman" w:eastAsia="Times New Roman"/>
          <w:sz w:val="24"/>
        </w:rPr>
        <w:t>A norma ISO/IEC 25010 (2011), parte da família SQuaRE (</w:t>
      </w:r>
      <w:r>
        <w:rPr>
          <w:rFonts w:ascii="Times New Roman" w:hAnsi="Times New Roman" w:cs="Times New Roman" w:eastAsia="Times New Roman"/>
          <w:i/>
          <w:sz w:val="24"/>
        </w:rPr>
        <w:t>Systems and software Quality Requirements and Evaluation</w:t>
      </w:r>
      <w:r>
        <w:rPr>
          <w:rFonts w:ascii="Times New Roman" w:hAnsi="Times New Roman" w:cs="Times New Roman" w:eastAsia="Times New Roman"/>
          <w:sz w:val="24"/>
        </w:rPr>
        <w:t xml:space="preserve">), define um </w:t>
      </w:r>
      <w:r>
        <w:rPr>
          <w:rFonts w:ascii="Times New Roman" w:hAnsi="Times New Roman" w:cs="Times New Roman" w:eastAsia="Times New Roman"/>
          <w:b/>
          <w:sz w:val="24"/>
        </w:rPr>
        <w:t>modelo de qualidade do produto de software</w:t>
      </w:r>
      <w:r>
        <w:rPr>
          <w:rFonts w:ascii="Times New Roman" w:hAnsi="Times New Roman" w:cs="Times New Roman" w:eastAsia="Times New Roman"/>
          <w:sz w:val="24"/>
        </w:rPr>
        <w:t xml:space="preserve"> composto por oito características, cada qual subdividida em subcaracterísticas. As características são: adequação funcional, eficiência de desempenho, compatibilidade, usabilidade, confiabilidade, segurança, manutenibilidade e portabilidade.</w:t>
      </w:r>
    </w:p>
    <w:p>
      <w:pPr>
        <w:ind w:firstLine="700"/>
        <w:jc w:val="both"/>
      </w:pPr>
      <w:r>
        <w:rPr>
          <w:rFonts w:ascii="Times New Roman" w:hAnsi="Times New Roman" w:cs="Times New Roman" w:eastAsia="Times New Roman"/>
          <w:sz w:val="24"/>
        </w:rPr>
        <w:t>Para o escopo deste trabalho, são mobilizadas as seguintes características e subcaracterísticas: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Segurança</w:t>
      </w:r>
      <w:r>
        <w:rPr>
          <w:rFonts w:ascii="Times New Roman" w:hAnsi="Times New Roman" w:cs="Times New Roman" w:eastAsia="Times New Roman"/>
          <w:sz w:val="24"/>
        </w:rPr>
        <w:t xml:space="preserve"> (</w:t>
      </w:r>
      <w:r>
        <w:rPr>
          <w:rFonts w:ascii="Times New Roman" w:hAnsi="Times New Roman" w:cs="Times New Roman" w:eastAsia="Times New Roman"/>
          <w:i/>
          <w:sz w:val="24"/>
        </w:rPr>
        <w:t>security</w:t>
      </w:r>
      <w:r>
        <w:rPr>
          <w:rFonts w:ascii="Times New Roman" w:hAnsi="Times New Roman" w:cs="Times New Roman" w:eastAsia="Times New Roman"/>
          <w:sz w:val="24"/>
        </w:rPr>
        <w:t>): confidencialidade, integridade, não repúdio, responsabilização (</w:t>
      </w:r>
      <w:r>
        <w:rPr>
          <w:rFonts w:ascii="Times New Roman" w:hAnsi="Times New Roman" w:cs="Times New Roman" w:eastAsia="Times New Roman"/>
          <w:i/>
          <w:sz w:val="24"/>
        </w:rPr>
        <w:t>accountability</w:t>
      </w:r>
      <w:r>
        <w:rPr>
          <w:rFonts w:ascii="Times New Roman" w:hAnsi="Times New Roman" w:cs="Times New Roman" w:eastAsia="Times New Roman"/>
          <w:sz w:val="24"/>
        </w:rPr>
        <w:t>) e autenticidade. Avaliada por meio de autenticação, autorização e controle de acesso indevido.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Eficiência de desempenho</w:t>
      </w:r>
      <w:r>
        <w:rPr>
          <w:rFonts w:ascii="Times New Roman" w:hAnsi="Times New Roman" w:cs="Times New Roman" w:eastAsia="Times New Roman"/>
          <w:sz w:val="24"/>
        </w:rPr>
        <w:t xml:space="preserve"> (</w:t>
      </w:r>
      <w:r>
        <w:rPr>
          <w:rFonts w:ascii="Times New Roman" w:hAnsi="Times New Roman" w:cs="Times New Roman" w:eastAsia="Times New Roman"/>
          <w:i/>
          <w:sz w:val="24"/>
        </w:rPr>
        <w:t>performance efficiency</w:t>
      </w:r>
      <w:r>
        <w:rPr>
          <w:rFonts w:ascii="Times New Roman" w:hAnsi="Times New Roman" w:cs="Times New Roman" w:eastAsia="Times New Roman"/>
          <w:sz w:val="24"/>
        </w:rPr>
        <w:t>): comportamento temporal, utilização de recursos e capacidade. Avaliada por tempo de resposta, tempo de carregamento e comportamento sob carga.</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Manutenibilidade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maintainability</w:t>
      </w:r>
      <w:r>
        <w:rPr>
          <w:rFonts w:ascii="Times New Roman" w:hAnsi="Times New Roman" w:cs="Times New Roman" w:eastAsia="Times New Roman"/>
          <w:sz w:val="24"/>
        </w:rPr>
        <w:t xml:space="preserve">): modularidade, reusabilidade, analisabilidade, modificabilidade e </w:t>
      </w:r>
      <w:r>
        <w:rPr>
          <w:rFonts w:ascii="Times New Roman" w:hAnsi="Times New Roman" w:cs="Times New Roman" w:eastAsia="Times New Roman"/>
          <w:b/>
          <w:sz w:val="24"/>
        </w:rPr>
        <w:t>testabilidade</w:t>
      </w:r>
      <w:r>
        <w:rPr>
          <w:rFonts w:ascii="Times New Roman" w:hAnsi="Times New Roman" w:cs="Times New Roman" w:eastAsia="Times New Roman"/>
          <w:sz w:val="24"/>
        </w:rPr>
        <w:t>. Cabe registrar que, na ISO/IEC 25010 (2011), a testabilidade é uma subcaracterística da manutenibilidade; neste trabalho ela é tratada como dimensão avaliativa destacada, em razão de sua centralidade para a verificação dos demais atributos.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Confiabilidade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reliability</w:t>
      </w:r>
      <w:r>
        <w:rPr>
          <w:rFonts w:ascii="Times New Roman" w:hAnsi="Times New Roman" w:cs="Times New Roman" w:eastAsia="Times New Roman"/>
          <w:sz w:val="24"/>
        </w:rPr>
        <w:t>): maturidade, disponibilidade, tolerância a falhas e recuperabilidade. Avaliada pela consistência de operações e pelo comportamento em fluxos críticos.</w:t>
      </w:r>
    </w:p>
    <w:p>
      <w:pPr>
        <w:ind w:firstLine="700"/>
        <w:jc w:val="both"/>
      </w:pPr>
      <w:r>
        <w:rPr>
          <w:rFonts w:ascii="Times New Roman" w:hAnsi="Times New Roman" w:cs="Times New Roman" w:eastAsia="Times New Roman"/>
          <w:sz w:val="24"/>
        </w:rPr>
        <w:t>A norma fornece, assim, o vocabulário e a taxonomia que estruturam o plano de métricas (Seção 5), garantindo rastreabilidade entre cada métrica coletada e a característica de qualidade que ela pretende evidenciar.</w:t>
      </w:r>
    </w:p>
    <w:p>
      <w:pPr>
        <w:jc w:val="left"/>
      </w:pPr>
      <w:r>
        <w:rPr>
          <w:rFonts w:ascii="Times New Roman" w:hAnsi="Times New Roman" w:cs="Times New Roman" w:eastAsia="Times New Roman"/>
          <w:b/>
          <w:sz w:val="24"/>
        </w:rPr>
        <w:t>2.4 Arquiteturas BaaS e Serverless</w:t>
      </w:r>
    </w:p>
    <w:p>
      <w:pPr>
        <w:ind w:firstLine="700"/>
        <w:jc w:val="both"/>
      </w:pPr>
      <w:r>
        <w:rPr>
          <w:rFonts w:ascii="Times New Roman" w:hAnsi="Times New Roman" w:cs="Times New Roman" w:eastAsia="Times New Roman"/>
          <w:sz w:val="24"/>
        </w:rPr>
        <w:t xml:space="preserve">O termo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designa um modelo de execução no qual a provisão, o escalonamento e a manutenção de servidores são abstraídos e delegados a um provedor, de modo que a equipe de desenvolvimento concentra-se na lógica da aplicação. Uma de suas manifestações é o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no qual funcionalidades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comumente necessárias — autenticação, banco de dados, armazenamento de arquivos e autorização — são oferecidas como serviços gerenciados, consumidos diretamente pelo cliente por meio de SDKs e APIs.</w:t>
      </w:r>
    </w:p>
    <w:p>
      <w:pPr>
        <w:ind w:firstLine="700"/>
        <w:jc w:val="both"/>
      </w:pPr>
      <w:r>
        <w:rPr>
          <w:rFonts w:ascii="Times New Roman" w:hAnsi="Times New Roman" w:cs="Times New Roman" w:eastAsia="Times New Roman"/>
          <w:sz w:val="24"/>
        </w:rPr>
        <w:t xml:space="preserve">Nesse arranjo, parte significativa das regras de negócio e, sobretudo, das regras de autorização desloca-se para a camada de dados. No caso do Supabase, isso se concretiza por meio do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do PostgreSQL, mecanismo que permite definir, de forma </w:t>
      </w:r>
      <w:r>
        <w:rPr>
          <w:rFonts w:ascii="Times New Roman" w:hAnsi="Times New Roman" w:cs="Times New Roman" w:eastAsia="Times New Roman"/>
          <w:b/>
          <w:sz w:val="24"/>
        </w:rPr>
        <w:t>declarativa</w:t>
      </w:r>
      <w:r>
        <w:rPr>
          <w:rFonts w:ascii="Times New Roman" w:hAnsi="Times New Roman" w:cs="Times New Roman" w:eastAsia="Times New Roman"/>
          <w:sz w:val="24"/>
        </w:rPr>
        <w:t xml:space="preserve">, políticas que restringem quais linhas cada usuário pode ler ou modificar, avaliadas pelo próprio banco a cada operação. Complementam o modelo as </w:t>
      </w:r>
      <w:r>
        <w:rPr>
          <w:rFonts w:ascii="Times New Roman" w:hAnsi="Times New Roman" w:cs="Times New Roman" w:eastAsia="Times New Roman"/>
          <w:i/>
          <w:sz w:val="24"/>
        </w:rPr>
        <w:t>views</w:t>
      </w:r>
      <w:r>
        <w:rPr>
          <w:rFonts w:ascii="Times New Roman" w:hAnsi="Times New Roman" w:cs="Times New Roman" w:eastAsia="Times New Roman"/>
          <w:sz w:val="24"/>
        </w:rPr>
        <w:t xml:space="preserve"> (que expõem projeções controladas dos dados) e os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(que aplicam regras de integridade e máquinas de estado no servidor).</w:t>
      </w:r>
    </w:p>
    <w:p>
      <w:pPr>
        <w:ind w:firstLine="700"/>
        <w:jc w:val="both"/>
      </w:pPr>
      <w:r>
        <w:rPr>
          <w:rFonts w:ascii="Times New Roman" w:hAnsi="Times New Roman" w:cs="Times New Roman" w:eastAsia="Times New Roman"/>
          <w:sz w:val="24"/>
        </w:rPr>
        <w:t>Do ponto de vista arquitetural, esse paradigma apresenta implicações relevantes para a avaliação de qualidade: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superfície de autorização</w:t>
      </w:r>
      <w:r>
        <w:rPr>
          <w:rFonts w:ascii="Times New Roman" w:hAnsi="Times New Roman" w:cs="Times New Roman" w:eastAsia="Times New Roman"/>
          <w:sz w:val="24"/>
        </w:rPr>
        <w:t xml:space="preserve"> concentra-se em políticas declarativas, cuja correção precisa ser testada explicitamente, pois falhas de RLS podem expor dados sem que haja erro funcional aparente no cliente.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ausência de servidor de aplicação próprio</w:t>
      </w:r>
      <w:r>
        <w:rPr>
          <w:rFonts w:ascii="Times New Roman" w:hAnsi="Times New Roman" w:cs="Times New Roman" w:eastAsia="Times New Roman"/>
          <w:sz w:val="24"/>
        </w:rPr>
        <w:t xml:space="preserve"> transfere parte do desempenho percebido para o cliente (carregamento da SPA) e para a latência das chamadas ao serviço gerenciado.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testabilidade</w:t>
      </w:r>
      <w:r>
        <w:rPr>
          <w:rFonts w:ascii="Times New Roman" w:hAnsi="Times New Roman" w:cs="Times New Roman" w:eastAsia="Times New Roman"/>
          <w:sz w:val="24"/>
        </w:rPr>
        <w:t xml:space="preserve"> passa a depender da capacidade de testar tanto o cliente quanto as regras residentes no banco.</w:t>
      </w:r>
    </w:p>
    <w:p>
      <w:pPr>
        <w:ind w:firstLine="700"/>
        <w:jc w:val="both"/>
      </w:pPr>
      <w:r>
        <w:rPr>
          <w:rFonts w:ascii="Times New Roman" w:hAnsi="Times New Roman" w:cs="Times New Roman" w:eastAsia="Times New Roman"/>
          <w:sz w:val="24"/>
        </w:rPr>
        <w:t>Essas implicações motivam a necessidade, identificada no problema de pesquisa, de um procedimento de avaliação técnica específico para arquiteturas BaaS/Serverless.</w:t>
      </w:r>
    </w:p>
    <w:p>
      <w:pPr>
        <w:jc w:val="left"/>
      </w:pPr>
      <w:r>
        <w:rPr>
          <w:rFonts w:ascii="Times New Roman" w:hAnsi="Times New Roman" w:cs="Times New Roman" w:eastAsia="Times New Roman"/>
          <w:b/>
          <w:sz w:val="24"/>
        </w:rPr>
        <w:t>2.5 Engenharia de software: testes e análise estática</w:t>
      </w:r>
    </w:p>
    <w:p>
      <w:pPr>
        <w:ind w:firstLine="700"/>
        <w:jc w:val="both"/>
      </w:pPr>
      <w:r>
        <w:rPr>
          <w:rFonts w:ascii="Times New Roman" w:hAnsi="Times New Roman" w:cs="Times New Roman" w:eastAsia="Times New Roman"/>
          <w:sz w:val="24"/>
        </w:rPr>
        <w:t>Pressman e Maxim (2016) sistematizam o teste de software como atividade planejada e mensurável, distinguindo níveis (unidade, integração, sistema) e abordagens (caixa-branca e caixa-preta), e enfatizam o papel das métricas de software na avaliação objetiva da qualidade de produto e de processo. Sommerville (2011), por sua vez, situa a verificação e a validação, a análise estática e a inspeção de código como práticas complementares ao teste dinâmico, destacando que a análise estática permite detectar classes de defeitos — e indicadores de manutenibilidade, como complexidade e duplicação — sem a execução do programa.</w:t>
      </w:r>
    </w:p>
    <w:p>
      <w:pPr>
        <w:ind w:firstLine="700"/>
        <w:jc w:val="both"/>
      </w:pPr>
      <w:r>
        <w:rPr>
          <w:rFonts w:ascii="Times New Roman" w:hAnsi="Times New Roman" w:cs="Times New Roman" w:eastAsia="Times New Roman"/>
          <w:sz w:val="24"/>
        </w:rPr>
        <w:t>Esses referenciais embasam a escolha das ferramentas e métricas do plano experimental (Seção 5): testes automatizados (de unidade e de integração) para adequação funcional, confiabilidade e testabilidade; análise estática para manutenibilidade; e técnicas específicas para os atributos de segurança e desempenho.</w:t>
      </w:r>
    </w:p>
    <w:p>
      <w:pPr>
        <w:jc w:val="left"/>
      </w:pPr>
      <w:r>
        <w:rPr>
          <w:rFonts w:ascii="Times New Roman" w:hAnsi="Times New Roman" w:cs="Times New Roman" w:eastAsia="Times New Roman"/>
          <w:b/>
          <w:sz w:val="24"/>
        </w:rPr>
        <w:t>3 METODOLOGIA</w:t>
      </w:r>
    </w:p>
    <w:p>
      <w:pPr>
        <w:jc w:val="left"/>
      </w:pPr>
      <w:r>
        <w:rPr>
          <w:rFonts w:ascii="Times New Roman" w:hAnsi="Times New Roman" w:cs="Times New Roman" w:eastAsia="Times New Roman"/>
          <w:b/>
          <w:sz w:val="24"/>
        </w:rPr>
        <w:t>3.1 Classificação da pesquisa</w:t>
      </w:r>
    </w:p>
    <w:p>
      <w:pPr>
        <w:ind w:firstLine="700"/>
        <w:jc w:val="both"/>
      </w:pPr>
      <w:r>
        <w:rPr>
          <w:rFonts w:ascii="Times New Roman" w:hAnsi="Times New Roman" w:cs="Times New Roman" w:eastAsia="Times New Roman"/>
          <w:sz w:val="24"/>
        </w:rPr>
        <w:t>A pesquisa é classificada segundo quatro dimensões usuais na metodologia científica: natureza, abordagem, objetivos e procedimentos técnicos.</w:t>
      </w:r>
    </w:p>
    <w:p>
      <w:pPr>
        <w:jc w:val="left"/>
      </w:pPr>
      <w:r>
        <w:rPr>
          <w:rFonts w:ascii="Times New Roman" w:hAnsi="Times New Roman" w:cs="Times New Roman" w:eastAsia="Times New Roman"/>
          <w:b/>
          <w:sz w:val="24"/>
        </w:rPr>
        <w:t>Tabela 1 — Classificação da pesquisa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Dimensão</w:t>
            </w:r>
          </w:p>
        </w:tc>
        <w:tc>
          <w:tcPr>
            <w:tcW w:type="dxa" w:w="3024"/>
            <w:tcBorders>
              <w:bottom w:val="single" w:sz="8" w:space="0" w:color="auto"/>
            </w:tcBorders>
          </w:tcPr>
          <w:p>
            <w:pPr>
              <w:jc w:val="left"/>
            </w:pPr>
            <w:r>
              <w:rPr>
                <w:rFonts w:ascii="Times New Roman" w:hAnsi="Times New Roman" w:cs="Times New Roman" w:eastAsia="Times New Roman"/>
                <w:b/>
                <w:sz w:val="20"/>
              </w:rPr>
              <w:t>Classificação</w:t>
            </w:r>
          </w:p>
        </w:tc>
        <w:tc>
          <w:tcPr>
            <w:tcW w:type="dxa" w:w="3024"/>
            <w:tcBorders>
              <w:bottom w:val="single" w:sz="8" w:space="0" w:color="auto"/>
            </w:tcBorders>
          </w:tcPr>
          <w:p>
            <w:pPr>
              <w:jc w:val="left"/>
            </w:pPr>
            <w:r>
              <w:rPr>
                <w:rFonts w:ascii="Times New Roman" w:hAnsi="Times New Roman" w:cs="Times New Roman" w:eastAsia="Times New Roman"/>
                <w:b/>
                <w:sz w:val="20"/>
              </w:rPr>
              <w:t>Justificativa</w:t>
            </w:r>
          </w:p>
        </w:tc>
      </w:tr>
      <w:tr>
        <w:tc>
          <w:tcPr>
            <w:tcW w:type="dxa" w:w="3024"/>
          </w:tcPr>
          <w:p>
            <w:pPr>
              <w:jc w:val="left"/>
            </w:pPr>
            <w:r>
              <w:rPr>
                <w:rFonts w:ascii="Times New Roman" w:hAnsi="Times New Roman" w:cs="Times New Roman" w:eastAsia="Times New Roman"/>
                <w:b/>
                <w:sz w:val="20"/>
              </w:rPr>
              <w:t>Natureza</w:t>
            </w:r>
          </w:p>
        </w:tc>
        <w:tc>
          <w:tcPr>
            <w:tcW w:type="dxa" w:w="3024"/>
          </w:tcPr>
          <w:p>
            <w:pPr>
              <w:jc w:val="left"/>
            </w:pPr>
            <w:r>
              <w:rPr>
                <w:rFonts w:ascii="Times New Roman" w:hAnsi="Times New Roman" w:cs="Times New Roman" w:eastAsia="Times New Roman"/>
                <w:sz w:val="20"/>
              </w:rPr>
              <w:t>Aplicada</w:t>
            </w:r>
          </w:p>
        </w:tc>
        <w:tc>
          <w:tcPr>
            <w:tcW w:type="dxa" w:w="3024"/>
          </w:tcPr>
          <w:p>
            <w:pPr>
              <w:jc w:val="left"/>
            </w:pPr>
            <w:r>
              <w:rPr>
                <w:rFonts w:ascii="Times New Roman" w:hAnsi="Times New Roman" w:cs="Times New Roman" w:eastAsia="Times New Roman"/>
                <w:sz w:val="20"/>
              </w:rPr>
              <w:t>Visa gerar conhecimento de aplicação prática — um procedimento de avaliação técnica — dirigido à solução de um problema concreto de validação arquitetural.</w:t>
            </w:r>
          </w:p>
        </w:tc>
      </w:tr>
      <w:tr>
        <w:tc>
          <w:tcPr>
            <w:tcW w:type="dxa" w:w="3024"/>
          </w:tcPr>
          <w:p>
            <w:pPr>
              <w:jc w:val="left"/>
            </w:pPr>
            <w:r>
              <w:rPr>
                <w:rFonts w:ascii="Times New Roman" w:hAnsi="Times New Roman" w:cs="Times New Roman" w:eastAsia="Times New Roman"/>
                <w:b/>
                <w:sz w:val="20"/>
              </w:rPr>
              <w:t>Abordagem</w:t>
            </w:r>
          </w:p>
        </w:tc>
        <w:tc>
          <w:tcPr>
            <w:tcW w:type="dxa" w:w="3024"/>
          </w:tcPr>
          <w:p>
            <w:pPr>
              <w:jc w:val="left"/>
            </w:pPr>
            <w:r>
              <w:rPr>
                <w:rFonts w:ascii="Times New Roman" w:hAnsi="Times New Roman" w:cs="Times New Roman" w:eastAsia="Times New Roman"/>
                <w:sz w:val="20"/>
              </w:rPr>
              <w:t>Mista (quantitativa e qualitativa)</w:t>
            </w:r>
          </w:p>
        </w:tc>
        <w:tc>
          <w:tcPr>
            <w:tcW w:type="dxa" w:w="3024"/>
          </w:tcPr>
          <w:p>
            <w:pPr>
              <w:jc w:val="left"/>
            </w:pPr>
            <w:r>
              <w:rPr>
                <w:rFonts w:ascii="Times New Roman" w:hAnsi="Times New Roman" w:cs="Times New Roman" w:eastAsia="Times New Roman"/>
                <w:sz w:val="20"/>
              </w:rPr>
              <w:t>Combina a coleta de métricas objetivas (cobertura, tempos de resposta, complexidade, vulnerabilidades) com a análise qualitativa de decisões arquiteturais via ATAM.</w:t>
            </w:r>
          </w:p>
        </w:tc>
      </w:tr>
      <w:tr>
        <w:tc>
          <w:tcPr>
            <w:tcW w:type="dxa" w:w="3024"/>
          </w:tcPr>
          <w:p>
            <w:pPr>
              <w:jc w:val="left"/>
            </w:pPr>
            <w:r>
              <w:rPr>
                <w:rFonts w:ascii="Times New Roman" w:hAnsi="Times New Roman" w:cs="Times New Roman" w:eastAsia="Times New Roman"/>
                <w:b/>
                <w:sz w:val="20"/>
              </w:rPr>
              <w:t>Objetivos</w:t>
            </w:r>
          </w:p>
        </w:tc>
        <w:tc>
          <w:tcPr>
            <w:tcW w:type="dxa" w:w="3024"/>
          </w:tcPr>
          <w:p>
            <w:pPr>
              <w:jc w:val="left"/>
            </w:pPr>
            <w:r>
              <w:rPr>
                <w:rFonts w:ascii="Times New Roman" w:hAnsi="Times New Roman" w:cs="Times New Roman" w:eastAsia="Times New Roman"/>
                <w:sz w:val="20"/>
              </w:rPr>
              <w:t>Exploratória e descritiva</w:t>
            </w:r>
          </w:p>
        </w:tc>
        <w:tc>
          <w:tcPr>
            <w:tcW w:type="dxa" w:w="3024"/>
          </w:tcPr>
          <w:p>
            <w:pPr>
              <w:jc w:val="left"/>
            </w:pPr>
            <w:r>
              <w:rPr>
                <w:rFonts w:ascii="Times New Roman" w:hAnsi="Times New Roman" w:cs="Times New Roman" w:eastAsia="Times New Roman"/>
                <w:sz w:val="20"/>
              </w:rPr>
              <w:t>Explora a aplicação de métodos de avaliação a um paradigma arquitetural pouco coberto pela literatura clássica (BaaS/Serverless) e descreve detalhadamente a arquitetura e os resultados da avaliação.</w:t>
            </w:r>
          </w:p>
        </w:tc>
      </w:tr>
      <w:tr>
        <w:tc>
          <w:tcPr>
            <w:tcW w:type="dxa" w:w="3024"/>
          </w:tcPr>
          <w:p>
            <w:pPr>
              <w:jc w:val="left"/>
            </w:pPr>
            <w:r>
              <w:rPr>
                <w:rFonts w:ascii="Times New Roman" w:hAnsi="Times New Roman" w:cs="Times New Roman" w:eastAsia="Times New Roman"/>
                <w:b/>
                <w:sz w:val="20"/>
              </w:rPr>
              <w:t>Procedimentos</w:t>
            </w:r>
          </w:p>
        </w:tc>
        <w:tc>
          <w:tcPr>
            <w:tcW w:type="dxa" w:w="3024"/>
          </w:tcPr>
          <w:p>
            <w:pPr>
              <w:jc w:val="left"/>
            </w:pPr>
            <w:r>
              <w:rPr>
                <w:rFonts w:ascii="Times New Roman" w:hAnsi="Times New Roman" w:cs="Times New Roman" w:eastAsia="Times New Roman"/>
                <w:sz w:val="20"/>
              </w:rPr>
              <w:t>Estudo de caso com experimento técnico</w:t>
            </w:r>
          </w:p>
        </w:tc>
        <w:tc>
          <w:tcPr>
            <w:tcW w:type="dxa" w:w="3024"/>
          </w:tcPr>
          <w:p>
            <w:pPr>
              <w:jc w:val="left"/>
            </w:pPr>
            <w:r>
              <w:rPr>
                <w:rFonts w:ascii="Times New Roman" w:hAnsi="Times New Roman" w:cs="Times New Roman" w:eastAsia="Times New Roman"/>
                <w:sz w:val="20"/>
              </w:rPr>
              <w:t>Investiga em profundidade um caso real (Hubservi) e conduz um experimento técnico controlado de coleta de métricas e execução de testes.</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3.2 Objeto de estudo</w:t>
      </w:r>
    </w:p>
    <w:p>
      <w:pPr>
        <w:ind w:firstLine="700"/>
        <w:jc w:val="both"/>
      </w:pPr>
      <w:r>
        <w:rPr>
          <w:rFonts w:ascii="Times New Roman" w:hAnsi="Times New Roman" w:cs="Times New Roman" w:eastAsia="Times New Roman"/>
          <w:sz w:val="24"/>
        </w:rPr>
        <w:t xml:space="preserve">O objeto de estudo é a plataforma </w:t>
      </w:r>
      <w:r>
        <w:rPr>
          <w:rFonts w:ascii="Times New Roman" w:hAnsi="Times New Roman" w:cs="Times New Roman" w:eastAsia="Times New Roman"/>
          <w:b/>
          <w:sz w:val="24"/>
        </w:rPr>
        <w:t>Hubservi</w:t>
      </w:r>
      <w:r>
        <w:rPr>
          <w:rFonts w:ascii="Times New Roman" w:hAnsi="Times New Roman" w:cs="Times New Roman" w:eastAsia="Times New Roman"/>
          <w:sz w:val="24"/>
        </w:rPr>
        <w:t xml:space="preserve">, aplicação web de intermediação de serviços construída como SPA em React e TypeScript e apoiada pelo BaaS Supabase sobre PostgreSQL. A escolha justifica-se por ser um caso representativo do paradigma SPA + BaaS + Serverless, com regras de negócio expressivas residentes no banco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 o que a torna adequada à investigação do problema de pesquisa. A arquitetura do objeto é detalhada na Seção 4.</w:t>
      </w:r>
    </w:p>
    <w:p>
      <w:pPr>
        <w:jc w:val="left"/>
      </w:pPr>
      <w:r>
        <w:rPr>
          <w:rFonts w:ascii="Times New Roman" w:hAnsi="Times New Roman" w:cs="Times New Roman" w:eastAsia="Times New Roman"/>
          <w:b/>
          <w:sz w:val="24"/>
        </w:rPr>
        <w:t>3.2.1 Construção do instrumento</w:t>
      </w:r>
    </w:p>
    <w:p>
      <w:pPr>
        <w:ind w:firstLine="700"/>
        <w:jc w:val="both"/>
      </w:pPr>
      <w:r>
        <w:rPr>
          <w:rFonts w:ascii="Times New Roman" w:hAnsi="Times New Roman" w:cs="Times New Roman" w:eastAsia="Times New Roman"/>
          <w:sz w:val="24"/>
        </w:rPr>
        <w:t xml:space="preserve">Conforme a delimitação da Seção 1.5, a plataforma é o </w:t>
      </w:r>
      <w:r>
        <w:rPr>
          <w:rFonts w:ascii="Times New Roman" w:hAnsi="Times New Roman" w:cs="Times New Roman" w:eastAsia="Times New Roman"/>
          <w:b/>
          <w:sz w:val="24"/>
        </w:rPr>
        <w:t>instrumento</w:t>
      </w:r>
      <w:r>
        <w:rPr>
          <w:rFonts w:ascii="Times New Roman" w:hAnsi="Times New Roman" w:cs="Times New Roman" w:eastAsia="Times New Roman"/>
          <w:sz w:val="24"/>
        </w:rPr>
        <w:t xml:space="preserve"> da avaliação, desenvolvido integralmente pela equipe. Sua construção seguiu um processo estruturado, guiado por artefatos de Engenharia de Software, e não é objeto de avaliação em si — registra-se aqui por dois motivos: a </w:t>
      </w:r>
      <w:r>
        <w:rPr>
          <w:rFonts w:ascii="Times New Roman" w:hAnsi="Times New Roman" w:cs="Times New Roman" w:eastAsia="Times New Roman"/>
          <w:b/>
          <w:sz w:val="24"/>
        </w:rPr>
        <w:t>validade interna</w:t>
      </w:r>
      <w:r>
        <w:rPr>
          <w:rFonts w:ascii="Times New Roman" w:hAnsi="Times New Roman" w:cs="Times New Roman" w:eastAsia="Times New Roman"/>
          <w:sz w:val="24"/>
        </w:rPr>
        <w:t xml:space="preserve"> do experimento depende de o instrumento ser conhecido e controlado, e parte desses artefatos alimenta diretamente as etapas seguintes da pesquisa.</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Iniciação e concepção:</w:t>
      </w:r>
      <w:r>
        <w:rPr>
          <w:rFonts w:ascii="Times New Roman" w:hAnsi="Times New Roman" w:cs="Times New Roman" w:eastAsia="Times New Roman"/>
          <w:sz w:val="24"/>
        </w:rPr>
        <w:t xml:space="preserve"> Termo de Abertura do Projeto (TAP), Modelo Canvas e análise SWOT delimitaram problema, escopo (MVP), premissas, restrições e critérios de sucesso.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Planejamento:</w:t>
      </w:r>
      <w:r>
        <w:rPr>
          <w:rFonts w:ascii="Times New Roman" w:hAnsi="Times New Roman" w:cs="Times New Roman" w:eastAsia="Times New Roman"/>
          <w:sz w:val="24"/>
        </w:rPr>
        <w:t xml:space="preserve"> Estrutura Analítica do Projeto (EAP) e 5W2H organizaram as entregas; os requisitos foram especificados e priorizados sob identificadores rastreáveis (</w:t>
      </w:r>
      <w:r>
        <w:rPr>
          <w:rFonts w:ascii="Times New Roman" w:hAnsi="Times New Roman" w:cs="Times New Roman" w:eastAsia="Times New Roman"/>
          <w:b/>
          <w:sz w:val="24"/>
        </w:rPr>
        <w:t>RF-xx</w:t>
      </w:r>
      <w:r>
        <w:rPr>
          <w:rFonts w:ascii="Times New Roman" w:hAnsi="Times New Roman" w:cs="Times New Roman" w:eastAsia="Times New Roman"/>
          <w:sz w:val="24"/>
        </w:rPr>
        <w:t xml:space="preserve"> funcionais, </w:t>
      </w:r>
      <w:r>
        <w:rPr>
          <w:rFonts w:ascii="Times New Roman" w:hAnsi="Times New Roman" w:cs="Times New Roman" w:eastAsia="Times New Roman"/>
          <w:b/>
          <w:sz w:val="24"/>
        </w:rPr>
        <w:t>RNF-xx</w:t>
      </w:r>
      <w:r>
        <w:rPr>
          <w:rFonts w:ascii="Times New Roman" w:hAnsi="Times New Roman" w:cs="Times New Roman" w:eastAsia="Times New Roman"/>
          <w:sz w:val="24"/>
        </w:rPr>
        <w:t xml:space="preserve"> não funcionais).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Modelagem:</w:t>
      </w:r>
      <w:r>
        <w:rPr>
          <w:rFonts w:ascii="Times New Roman" w:hAnsi="Times New Roman" w:cs="Times New Roman" w:eastAsia="Times New Roman"/>
          <w:sz w:val="24"/>
        </w:rPr>
        <w:t xml:space="preserve"> UML (casos de uso, classes, componentes, sequência e implantação), BPMN (contratação e gerenciamento de </w:t>
      </w:r>
      <w:r>
        <w:rPr>
          <w:rFonts w:ascii="Times New Roman" w:hAnsi="Times New Roman" w:cs="Times New Roman" w:eastAsia="Times New Roman"/>
          <w:i/>
          <w:sz w:val="24"/>
        </w:rPr>
        <w:t>booking</w:t>
      </w:r>
      <w:r>
        <w:rPr>
          <w:rFonts w:ascii="Times New Roman" w:hAnsi="Times New Roman" w:cs="Times New Roman" w:eastAsia="Times New Roman"/>
          <w:sz w:val="24"/>
        </w:rPr>
        <w:t>) e modelo de dados (DER e dicionário de dados).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Construção incremental:</w:t>
      </w:r>
      <w:r>
        <w:rPr>
          <w:rFonts w:ascii="Times New Roman" w:hAnsi="Times New Roman" w:cs="Times New Roman" w:eastAsia="Times New Roman"/>
          <w:sz w:val="24"/>
        </w:rPr>
        <w:t xml:space="preserve"> entrega por marcos — </w:t>
      </w:r>
      <w:r>
        <w:rPr>
          <w:rFonts w:ascii="Times New Roman" w:hAnsi="Times New Roman" w:cs="Times New Roman" w:eastAsia="Times New Roman"/>
          <w:b/>
          <w:sz w:val="24"/>
        </w:rPr>
        <w:t>M1</w:t>
      </w:r>
      <w:r>
        <w:rPr>
          <w:rFonts w:ascii="Times New Roman" w:hAnsi="Times New Roman" w:cs="Times New Roman" w:eastAsia="Times New Roman"/>
          <w:sz w:val="24"/>
        </w:rPr>
        <w:t xml:space="preserve"> requisitos e arquitetura; </w:t>
      </w:r>
      <w:r>
        <w:rPr>
          <w:rFonts w:ascii="Times New Roman" w:hAnsi="Times New Roman" w:cs="Times New Roman" w:eastAsia="Times New Roman"/>
          <w:b/>
          <w:sz w:val="24"/>
        </w:rPr>
        <w:t>M2</w:t>
      </w:r>
      <w:r>
        <w:rPr>
          <w:rFonts w:ascii="Times New Roman" w:hAnsi="Times New Roman" w:cs="Times New Roman" w:eastAsia="Times New Roman"/>
          <w:sz w:val="24"/>
        </w:rPr>
        <w:t xml:space="preserve"> fluxos centrais (autenticação, serviços,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w:t>
      </w:r>
      <w:r>
        <w:rPr>
          <w:rFonts w:ascii="Times New Roman" w:hAnsi="Times New Roman" w:cs="Times New Roman" w:eastAsia="Times New Roman"/>
          <w:b/>
          <w:sz w:val="24"/>
        </w:rPr>
        <w:t>M3</w:t>
      </w:r>
      <w:r>
        <w:rPr>
          <w:rFonts w:ascii="Times New Roman" w:hAnsi="Times New Roman" w:cs="Times New Roman" w:eastAsia="Times New Roman"/>
          <w:sz w:val="24"/>
        </w:rPr>
        <w:t xml:space="preserve"> segurança e governança de dados (RLS e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w:t>
      </w:r>
      <w:r>
        <w:rPr>
          <w:rFonts w:ascii="Times New Roman" w:hAnsi="Times New Roman" w:cs="Times New Roman" w:eastAsia="Times New Roman"/>
          <w:b/>
          <w:sz w:val="24"/>
        </w:rPr>
        <w:t>M4</w:t>
      </w:r>
      <w:r>
        <w:rPr>
          <w:rFonts w:ascii="Times New Roman" w:hAnsi="Times New Roman" w:cs="Times New Roman" w:eastAsia="Times New Roman"/>
          <w:sz w:val="24"/>
        </w:rPr>
        <w:t xml:space="preserve"> validação de qualidade; </w:t>
      </w:r>
      <w:r>
        <w:rPr>
          <w:rFonts w:ascii="Times New Roman" w:hAnsi="Times New Roman" w:cs="Times New Roman" w:eastAsia="Times New Roman"/>
          <w:b/>
          <w:sz w:val="24"/>
        </w:rPr>
        <w:t>M5</w:t>
      </w:r>
      <w:r>
        <w:rPr>
          <w:rFonts w:ascii="Times New Roman" w:hAnsi="Times New Roman" w:cs="Times New Roman" w:eastAsia="Times New Roman"/>
          <w:sz w:val="24"/>
        </w:rPr>
        <w:t xml:space="preserve"> evolução da descoberta de serviços (ordenação e filtros).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Fluxo de qualidade contínuo:</w:t>
      </w:r>
      <w:r>
        <w:rPr>
          <w:rFonts w:ascii="Times New Roman" w:hAnsi="Times New Roman" w:cs="Times New Roman" w:eastAsia="Times New Roman"/>
          <w:sz w:val="24"/>
        </w:rPr>
        <w:t xml:space="preserve"> </w:t>
      </w:r>
      <w:r>
        <w:rPr>
          <w:rFonts w:ascii="Times New Roman" w:hAnsi="Times New Roman" w:cs="Times New Roman" w:eastAsia="Times New Roman"/>
          <w:i/>
          <w:sz w:val="24"/>
        </w:rPr>
        <w:t>lint</w:t>
      </w:r>
      <w:r>
        <w:rPr>
          <w:rFonts w:ascii="Times New Roman" w:hAnsi="Times New Roman" w:cs="Times New Roman" w:eastAsia="Times New Roman"/>
          <w:sz w:val="24"/>
        </w:rPr>
        <w:t>, testes e revisão a cada alteração, conforme premissa registrada no TAP.</w:t>
      </w:r>
    </w:p>
    <w:p>
      <w:pPr>
        <w:ind w:firstLine="700"/>
        <w:jc w:val="both"/>
      </w:pPr>
      <w:r>
        <w:rPr>
          <w:rFonts w:ascii="Times New Roman" w:hAnsi="Times New Roman" w:cs="Times New Roman" w:eastAsia="Times New Roman"/>
          <w:sz w:val="24"/>
        </w:rPr>
        <w:t xml:space="preserve">Os artefatos de modelagem, além de documentarem o instrumento, </w:t>
      </w:r>
      <w:r>
        <w:rPr>
          <w:rFonts w:ascii="Times New Roman" w:hAnsi="Times New Roman" w:cs="Times New Roman" w:eastAsia="Times New Roman"/>
          <w:b/>
          <w:sz w:val="24"/>
        </w:rPr>
        <w:t>atendem aos objetivos específicos 2 e 3</w:t>
      </w:r>
      <w:r>
        <w:rPr>
          <w:rFonts w:ascii="Times New Roman" w:hAnsi="Times New Roman" w:cs="Times New Roman" w:eastAsia="Times New Roman"/>
          <w:sz w:val="24"/>
        </w:rPr>
        <w:t xml:space="preserve"> e constituem a base a partir da qual se derivam a árvore de utilidade do ATAM (Seção 6) e os cenários de avaliação (Seção 5) — ou seja, ligam a construção do instrumento à avaliação propriamente dita. Encontram-se reproduzidos no material suplementar (VIEIRA; COSTA, 2026a).</w:t>
      </w:r>
    </w:p>
    <w:p>
      <w:pPr>
        <w:jc w:val="left"/>
      </w:pPr>
      <w:r>
        <w:rPr>
          <w:rFonts w:ascii="Times New Roman" w:hAnsi="Times New Roman" w:cs="Times New Roman" w:eastAsia="Times New Roman"/>
          <w:b/>
          <w:sz w:val="24"/>
        </w:rPr>
        <w:t>3.3 Etapas metodológicas</w:t>
      </w:r>
    </w:p>
    <w:p>
      <w:pPr>
        <w:ind w:firstLine="700"/>
        <w:jc w:val="both"/>
      </w:pPr>
      <w:r>
        <w:rPr>
          <w:rFonts w:ascii="Times New Roman" w:hAnsi="Times New Roman" w:cs="Times New Roman" w:eastAsia="Times New Roman"/>
          <w:sz w:val="24"/>
        </w:rPr>
        <w:t>A condução do trabalho organiza-se em seis etapas, alinhadas aos objetivos específicos (Seção 1.4.2):</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b/>
          <w:sz w:val="24"/>
        </w:rPr>
        <w:t>Levantamento de requisitos arquiteturais e atributos de qualidade.</w:t>
      </w:r>
      <w:r>
        <w:rPr>
          <w:rFonts w:ascii="Times New Roman" w:hAnsi="Times New Roman" w:cs="Times New Roman" w:eastAsia="Times New Roman"/>
          <w:sz w:val="24"/>
        </w:rPr>
        <w:t xml:space="preserve"> Identificação dos </w:t>
      </w:r>
      <w:r>
        <w:rPr>
          <w:rFonts w:ascii="Times New Roman" w:hAnsi="Times New Roman" w:cs="Times New Roman" w:eastAsia="Times New Roman"/>
          <w:i/>
          <w:sz w:val="24"/>
        </w:rPr>
        <w:t>Architecturally Significant Requirements</w:t>
      </w:r>
      <w:r>
        <w:rPr>
          <w:rFonts w:ascii="Times New Roman" w:hAnsi="Times New Roman" w:cs="Times New Roman" w:eastAsia="Times New Roman"/>
          <w:sz w:val="24"/>
        </w:rPr>
        <w:t xml:space="preserve"> (ASR) e seleção das características de qualidade da ISO/IEC 25010 (2011) relevantes ao domínio: segurança, eficiência de desempenho, manutenibilidade (com ênfase em testabilidade) e confiabilidade.</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b/>
          <w:sz w:val="24"/>
        </w:rPr>
        <w:t>Modelagem da arquitetura.</w:t>
      </w:r>
      <w:r>
        <w:rPr>
          <w:rFonts w:ascii="Times New Roman" w:hAnsi="Times New Roman" w:cs="Times New Roman" w:eastAsia="Times New Roman"/>
          <w:sz w:val="24"/>
        </w:rPr>
        <w:t xml:space="preserve"> Recuperação e representação da arquitetura real a partir do código-fonte e das </w:t>
      </w:r>
      <w:r>
        <w:rPr>
          <w:rFonts w:ascii="Times New Roman" w:hAnsi="Times New Roman" w:cs="Times New Roman" w:eastAsia="Times New Roman"/>
          <w:i/>
          <w:sz w:val="24"/>
        </w:rPr>
        <w:t>migrations</w:t>
      </w:r>
      <w:r>
        <w:rPr>
          <w:rFonts w:ascii="Times New Roman" w:hAnsi="Times New Roman" w:cs="Times New Roman" w:eastAsia="Times New Roman"/>
          <w:sz w:val="24"/>
        </w:rPr>
        <w:t>, produzindo modelos UML (casos de uso, classes, sequência, componentes e implantação), modelo de processos de negócio (BPMN) e o modelo de dados (DER e dicionário de dados). Os artefatos constam do material suplementar (VIEIRA; COSTA, 2026a).</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b/>
          <w:sz w:val="24"/>
        </w:rPr>
        <w:t>Documentação técnica.</w:t>
      </w:r>
      <w:r>
        <w:rPr>
          <w:rFonts w:ascii="Times New Roman" w:hAnsi="Times New Roman" w:cs="Times New Roman" w:eastAsia="Times New Roman"/>
          <w:sz w:val="24"/>
        </w:rPr>
        <w:t xml:space="preserve"> Descrição dos componentes, fluxos, persistência e regras de negócio (Seção 4), assegurando rastreabilidade entre cada afirmação e sua fonte no repositório.</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b/>
          <w:sz w:val="24"/>
        </w:rPr>
        <w:t>Definição de cenários de avaliação.</w:t>
      </w:r>
      <w:r>
        <w:rPr>
          <w:rFonts w:ascii="Times New Roman" w:hAnsi="Times New Roman" w:cs="Times New Roman" w:eastAsia="Times New Roman"/>
          <w:sz w:val="24"/>
        </w:rPr>
        <w:t xml:space="preserve"> Construção de uma árvore de utilidade ATAM e especificação de cenários de atributo de qualidade no formato de seis partes (Seção 6), além do mapeamento atributo, cenário, métrica, critério e ferramenta (Seção 5).</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b/>
          <w:sz w:val="24"/>
        </w:rPr>
        <w:t>Execução da avaliação técnica.</w:t>
      </w:r>
      <w:r>
        <w:rPr>
          <w:rFonts w:ascii="Times New Roman" w:hAnsi="Times New Roman" w:cs="Times New Roman" w:eastAsia="Times New Roman"/>
          <w:sz w:val="24"/>
        </w:rPr>
        <w:t xml:space="preserve"> Execução de testes automatizados (unitários, de componente e de integração contra a API), análise estática de código, testes de segurança e testes de desempenho, conforme o plano de métricas. O ambiente de teste de banco/API foi levantado com uma instância Supabase local, garantindo reprodutibilidade e isolamento em relação a dados de produção.</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b/>
          <w:sz w:val="24"/>
        </w:rPr>
        <w:t>Análise dos resultados.</w:t>
      </w:r>
      <w:r>
        <w:rPr>
          <w:rFonts w:ascii="Times New Roman" w:hAnsi="Times New Roman" w:cs="Times New Roman" w:eastAsia="Times New Roman"/>
          <w:sz w:val="24"/>
        </w:rPr>
        <w:t xml:space="preserve"> Interpretação das métricas coletadas à luz dos critérios definidos e dos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identificados no ATAM, com discussão dos achados e recomendações (Seção 7).</w:t>
      </w:r>
    </w:p>
    <w:p>
      <w:pPr>
        <w:jc w:val="left"/>
      </w:pPr>
      <w:r>
        <w:rPr>
          <w:rFonts w:ascii="Times New Roman" w:hAnsi="Times New Roman" w:cs="Times New Roman" w:eastAsia="Times New Roman"/>
          <w:b/>
          <w:sz w:val="24"/>
        </w:rPr>
        <w:t>3.4 Instrumentos e ferramentas</w:t>
      </w:r>
    </w:p>
    <w:p>
      <w:pPr>
        <w:ind w:firstLine="700"/>
        <w:jc w:val="both"/>
      </w:pPr>
      <w:r>
        <w:rPr>
          <w:rFonts w:ascii="Times New Roman" w:hAnsi="Times New Roman" w:cs="Times New Roman" w:eastAsia="Times New Roman"/>
          <w:sz w:val="24"/>
        </w:rPr>
        <w:t xml:space="preserve">A coleta de dados apoia-se em um conjunto de ferramentas, organizado por atributo de qualidade e detalhado na Seção 5. Onde a ferramenta inicialmente prevista não estava disponível no ambiente (por exigir conta ou instalação indisponível), adotou-se um substituto </w:t>
      </w:r>
      <w:r>
        <w:rPr>
          <w:rFonts w:ascii="Times New Roman" w:hAnsi="Times New Roman" w:cs="Times New Roman" w:eastAsia="Times New Roman"/>
          <w:b/>
          <w:sz w:val="24"/>
        </w:rPr>
        <w:t>da mesma classe</w:t>
      </w:r>
      <w:r>
        <w:rPr>
          <w:rFonts w:ascii="Times New Roman" w:hAnsi="Times New Roman" w:cs="Times New Roman" w:eastAsia="Times New Roman"/>
          <w:sz w:val="24"/>
        </w:rPr>
        <w:t xml:space="preserve">, medindo as mesmas métricas; cada substituição está registrada em </w:t>
      </w:r>
      <w:r>
        <w:rPr>
          <w:rFonts w:ascii="Times New Roman" w:hAnsi="Times New Roman" w:cs="Times New Roman" w:eastAsia="Times New Roman"/>
          <w:i/>
          <w:sz w:val="24"/>
        </w:rPr>
        <w:t>docs/tcc/medicoes/</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Testes automatizados:</w:t>
      </w:r>
      <w:r>
        <w:rPr>
          <w:rFonts w:ascii="Times New Roman" w:hAnsi="Times New Roman" w:cs="Times New Roman" w:eastAsia="Times New Roman"/>
          <w:sz w:val="24"/>
        </w:rPr>
        <w:t xml:space="preserve"> Vitest e React Testing Library (unitários e de componente); Vitest contra o </w:t>
      </w:r>
      <w:r>
        <w:rPr>
          <w:rFonts w:ascii="Times New Roman" w:hAnsi="Times New Roman" w:cs="Times New Roman" w:eastAsia="Times New Roman"/>
          <w:i/>
          <w:sz w:val="24"/>
        </w:rPr>
        <w:t>stack</w:t>
      </w:r>
      <w:r>
        <w:rPr>
          <w:rFonts w:ascii="Times New Roman" w:hAnsi="Times New Roman" w:cs="Times New Roman" w:eastAsia="Times New Roman"/>
          <w:sz w:val="24"/>
        </w:rPr>
        <w:t xml:space="preserve"> Supabase local via PostgREST (integração).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Análise estática:</w:t>
      </w:r>
      <w:r>
        <w:rPr>
          <w:rFonts w:ascii="Times New Roman" w:hAnsi="Times New Roman" w:cs="Times New Roman" w:eastAsia="Times New Roman"/>
          <w:sz w:val="24"/>
        </w:rPr>
        <w:t xml:space="preserve"> ESLint; </w:t>
      </w:r>
      <w:r>
        <w:rPr>
          <w:rFonts w:ascii="Times New Roman" w:hAnsi="Times New Roman" w:cs="Times New Roman" w:eastAsia="Times New Roman"/>
          <w:i/>
          <w:sz w:val="24"/>
        </w:rPr>
        <w:t>eslint-plugin-sonarjs</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code smells</w:t>
      </w:r>
      <w:r>
        <w:rPr>
          <w:rFonts w:ascii="Times New Roman" w:hAnsi="Times New Roman" w:cs="Times New Roman" w:eastAsia="Times New Roman"/>
          <w:sz w:val="24"/>
        </w:rPr>
        <w:t xml:space="preserve"> e complexidade — em substituição ao SonarQube, que exige serviço externo; </w:t>
      </w:r>
      <w:r>
        <w:rPr>
          <w:rFonts w:ascii="Times New Roman" w:hAnsi="Times New Roman" w:cs="Times New Roman" w:eastAsia="Times New Roman"/>
          <w:i/>
          <w:sz w:val="24"/>
        </w:rPr>
        <w:t>jscpd</w:t>
      </w:r>
      <w:r>
        <w:rPr>
          <w:rFonts w:ascii="Times New Roman" w:hAnsi="Times New Roman" w:cs="Times New Roman" w:eastAsia="Times New Roman"/>
          <w:sz w:val="24"/>
        </w:rPr>
        <w:t xml:space="preserve"> para duplicação.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Análise de dependências e modularização:</w:t>
      </w:r>
      <w:r>
        <w:rPr>
          <w:rFonts w:ascii="Times New Roman" w:hAnsi="Times New Roman" w:cs="Times New Roman" w:eastAsia="Times New Roman"/>
          <w:sz w:val="24"/>
        </w:rPr>
        <w:t xml:space="preserve"> Madge e dependency-cruiser.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Desempenho:</w:t>
      </w:r>
      <w:r>
        <w:rPr>
          <w:rFonts w:ascii="Times New Roman" w:hAnsi="Times New Roman" w:cs="Times New Roman" w:eastAsia="Times New Roman"/>
          <w:sz w:val="24"/>
        </w:rPr>
        <w:t xml:space="preserve"> Lighthouse (carregamento inicial); autocannon (carga sobre a API) — em substituição ao k6/JMeter.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Segurança:</w:t>
      </w:r>
      <w:r>
        <w:rPr>
          <w:rFonts w:ascii="Times New Roman" w:hAnsi="Times New Roman" w:cs="Times New Roman" w:eastAsia="Times New Roman"/>
          <w:sz w:val="24"/>
        </w:rPr>
        <w:t xml:space="preserve"> </w:t>
      </w:r>
      <w:r>
        <w:rPr>
          <w:rFonts w:ascii="Times New Roman" w:hAnsi="Times New Roman" w:cs="Times New Roman" w:eastAsia="Times New Roman"/>
          <w:i/>
          <w:sz w:val="24"/>
        </w:rPr>
        <w:t>npm audit</w:t>
      </w:r>
      <w:r>
        <w:rPr>
          <w:rFonts w:ascii="Times New Roman" w:hAnsi="Times New Roman" w:cs="Times New Roman" w:eastAsia="Times New Roman"/>
          <w:sz w:val="24"/>
        </w:rPr>
        <w:t xml:space="preserve"> para análise de composição de dependências (SCA) — em substituição ao Snyk, que exige conta; </w:t>
      </w:r>
      <w:r>
        <w:rPr>
          <w:rFonts w:ascii="Times New Roman" w:hAnsi="Times New Roman" w:cs="Times New Roman" w:eastAsia="Times New Roman"/>
          <w:i/>
          <w:sz w:val="24"/>
        </w:rPr>
        <w:t>supabase db lint</w:t>
      </w:r>
      <w:r>
        <w:rPr>
          <w:rFonts w:ascii="Times New Roman" w:hAnsi="Times New Roman" w:cs="Times New Roman" w:eastAsia="Times New Roman"/>
          <w:sz w:val="24"/>
        </w:rPr>
        <w:t xml:space="preserve"> para o </w:t>
      </w:r>
      <w:r>
        <w:rPr>
          <w:rFonts w:ascii="Times New Roman" w:hAnsi="Times New Roman" w:cs="Times New Roman" w:eastAsia="Times New Roman"/>
          <w:i/>
          <w:sz w:val="24"/>
        </w:rPr>
        <w:t>schema</w:t>
      </w:r>
      <w:r>
        <w:rPr>
          <w:rFonts w:ascii="Times New Roman" w:hAnsi="Times New Roman" w:cs="Times New Roman" w:eastAsia="Times New Roman"/>
          <w:sz w:val="24"/>
        </w:rPr>
        <w:t>. A varredura dinâmica (DAST/OWASP ZAP) permanece pendente de execução contra a URL de produção.</w:t>
      </w:r>
    </w:p>
    <w:p>
      <w:pPr>
        <w:jc w:val="left"/>
      </w:pPr>
      <w:r>
        <w:rPr>
          <w:rFonts w:ascii="Times New Roman" w:hAnsi="Times New Roman" w:cs="Times New Roman" w:eastAsia="Times New Roman"/>
          <w:b/>
          <w:sz w:val="24"/>
        </w:rPr>
        <w:t>3.5 Procedimentos de análise</w:t>
      </w:r>
    </w:p>
    <w:p>
      <w:pPr>
        <w:ind w:firstLine="700"/>
        <w:jc w:val="both"/>
      </w:pPr>
      <w:r>
        <w:rPr>
          <w:rFonts w:ascii="Times New Roman" w:hAnsi="Times New Roman" w:cs="Times New Roman" w:eastAsia="Times New Roman"/>
          <w:sz w:val="24"/>
        </w:rPr>
        <w:t>As métricas quantitativas são confrontadas com os critérios de aceitação previamente definidos (limiares e metas), e os achados qualitativos organizados segundo os conceitos do ATAM (riscos, pontos de sensibilidade e pontos de compromisso). A triangulação entre as evidências quantitativas e a análise arquitetural qualitativa sustenta a resposta à questão de pesquisa.</w:t>
      </w:r>
    </w:p>
    <w:p>
      <w:pPr>
        <w:ind w:firstLine="700"/>
        <w:jc w:val="both"/>
      </w:pPr>
      <w:r>
        <w:rPr>
          <w:rFonts w:ascii="Times New Roman" w:hAnsi="Times New Roman" w:cs="Times New Roman" w:eastAsia="Times New Roman"/>
          <w:sz w:val="24"/>
        </w:rPr>
        <w:t xml:space="preserve">Adotou-se, na execução, o ciclo </w:t>
      </w:r>
      <w:r>
        <w:rPr>
          <w:rFonts w:ascii="Times New Roman" w:hAnsi="Times New Roman" w:cs="Times New Roman" w:eastAsia="Times New Roman"/>
          <w:b/>
          <w:sz w:val="24"/>
        </w:rPr>
        <w:t>medir, detectar, corrigir e re-medir</w:t>
      </w:r>
      <w:r>
        <w:rPr>
          <w:rFonts w:ascii="Times New Roman" w:hAnsi="Times New Roman" w:cs="Times New Roman" w:eastAsia="Times New Roman"/>
          <w:sz w:val="24"/>
        </w:rPr>
        <w:t>: quando uma medição reprova o sistema, o defeito é corrigido e a medição repetida, reportando-se o par antes/depois. Um conjunto de cenários que aprovasse o sistema já na primeira execução não demonstraria qualidade, e sim fraqueza dos cenários — por isso os dois estados são preservados como evidência.</w:t>
      </w:r>
    </w:p>
    <w:p>
      <w:pPr>
        <w:ind w:firstLine="700"/>
        <w:jc w:val="both"/>
      </w:pPr>
      <w:r>
        <w:rPr>
          <w:rFonts w:ascii="Times New Roman" w:hAnsi="Times New Roman" w:cs="Times New Roman" w:eastAsia="Times New Roman"/>
          <w:b/>
          <w:sz w:val="24"/>
        </w:rPr>
        <w:t>Regra de registro e anti-fabricação.</w:t>
      </w:r>
      <w:r>
        <w:rPr>
          <w:rFonts w:ascii="Times New Roman" w:hAnsi="Times New Roman" w:cs="Times New Roman" w:eastAsia="Times New Roman"/>
          <w:sz w:val="24"/>
        </w:rPr>
        <w:t xml:space="preserve"> Toda medição registra ferramenta e versão, ambiente, configuração, data, valor obtido e veredito, com o artefato bruto correspondente arquivado em </w:t>
      </w:r>
      <w:r>
        <w:rPr>
          <w:rFonts w:ascii="Times New Roman" w:hAnsi="Times New Roman" w:cs="Times New Roman" w:eastAsia="Times New Roman"/>
          <w:i/>
          <w:sz w:val="24"/>
        </w:rPr>
        <w:t>docs/tcc/medicoes/evidencias/</w:t>
      </w:r>
      <w:r>
        <w:rPr>
          <w:rFonts w:ascii="Times New Roman" w:hAnsi="Times New Roman" w:cs="Times New Roman" w:eastAsia="Times New Roman"/>
          <w:sz w:val="24"/>
        </w:rPr>
        <w:t>. Nenhum valor é reportado sem evidência associada, e os resultados desfavoráveis são registrados com o mesmo rigor que os favoráveis (Seção 7).</w:t>
      </w:r>
    </w:p>
    <w:p>
      <w:pPr>
        <w:jc w:val="left"/>
      </w:pPr>
      <w:r>
        <w:rPr>
          <w:rFonts w:ascii="Times New Roman" w:hAnsi="Times New Roman" w:cs="Times New Roman" w:eastAsia="Times New Roman"/>
          <w:b/>
          <w:sz w:val="24"/>
        </w:rPr>
        <w:t>4 ARQUITETURA DO HUBSERVI</w:t>
      </w:r>
    </w:p>
    <w:p>
      <w:pPr>
        <w:ind w:firstLine="700"/>
        <w:jc w:val="both"/>
      </w:pPr>
      <w:r>
        <w:rPr>
          <w:rFonts w:ascii="Times New Roman" w:hAnsi="Times New Roman" w:cs="Times New Roman" w:eastAsia="Times New Roman"/>
          <w:sz w:val="24"/>
        </w:rPr>
        <w:t>Esta seção documenta a arquitetura real da plataforma Hubservi, recuperada a partir do código-fonte (</w:t>
      </w:r>
      <w:r>
        <w:rPr>
          <w:rFonts w:ascii="Times New Roman" w:hAnsi="Times New Roman" w:cs="Times New Roman" w:eastAsia="Times New Roman"/>
          <w:i/>
          <w:sz w:val="24"/>
        </w:rPr>
        <w:t>src/</w:t>
      </w:r>
      <w:r>
        <w:rPr>
          <w:rFonts w:ascii="Times New Roman" w:hAnsi="Times New Roman" w:cs="Times New Roman" w:eastAsia="Times New Roman"/>
          <w:sz w:val="24"/>
        </w:rPr>
        <w:t xml:space="preserve">) e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do banco de dados (</w:t>
      </w:r>
      <w:r>
        <w:rPr>
          <w:rFonts w:ascii="Times New Roman" w:hAnsi="Times New Roman" w:cs="Times New Roman" w:eastAsia="Times New Roman"/>
          <w:i/>
          <w:sz w:val="24"/>
        </w:rPr>
        <w:t>supabase/migrations/</w:t>
      </w:r>
      <w:r>
        <w:rPr>
          <w:rFonts w:ascii="Times New Roman" w:hAnsi="Times New Roman" w:cs="Times New Roman" w:eastAsia="Times New Roman"/>
          <w:sz w:val="24"/>
        </w:rPr>
        <w:t>). A descrição responde aos objetivos específicos 2 e 3 (modelar e documentar componentes, fluxos, persistência e regras de negócio).</w:t>
      </w:r>
    </w:p>
    <w:p>
      <w:pPr>
        <w:jc w:val="left"/>
      </w:pPr>
      <w:r>
        <w:rPr>
          <w:rFonts w:ascii="Times New Roman" w:hAnsi="Times New Roman" w:cs="Times New Roman" w:eastAsia="Times New Roman"/>
          <w:b/>
          <w:sz w:val="24"/>
        </w:rPr>
        <w:t>4.1 Visão geral e estilo arquitetural</w:t>
      </w:r>
    </w:p>
    <w:p>
      <w:pPr>
        <w:ind w:firstLine="700"/>
        <w:jc w:val="both"/>
      </w:pPr>
      <w:r>
        <w:rPr>
          <w:rFonts w:ascii="Times New Roman" w:hAnsi="Times New Roman" w:cs="Times New Roman" w:eastAsia="Times New Roman"/>
          <w:sz w:val="24"/>
        </w:rPr>
        <w:t xml:space="preserve">O Hubservi adota o estilo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xml:space="preserve">. Um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executado no navegador concentra a interface e a orquestração da lógica de aplicação e comunica-se diretamente com o BaaS Supabase, que provê autenticação, banco de dados PostgreSQL e autorização declarativa via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Não há, portanto, servidor de aplicação intermediário desenvolvido sob medida, tampouco decomposição em microsserviços: as responsabilidades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são delegadas a serviços gerenciados, e parte expressiva das regras de negócio reside no próprio banco, sob a forma de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w:t>
      </w:r>
      <w:r>
        <w:rPr>
          <w:rFonts w:ascii="Times New Roman" w:hAnsi="Times New Roman" w:cs="Times New Roman" w:eastAsia="Times New Roman"/>
          <w:i/>
          <w:sz w:val="24"/>
        </w:rPr>
        <w:t>views</w:t>
      </w:r>
      <w:r>
        <w:rPr>
          <w:rFonts w:ascii="Times New Roman" w:hAnsi="Times New Roman" w:cs="Times New Roman" w:eastAsia="Times New Roman"/>
          <w:sz w:val="24"/>
        </w:rPr>
        <w:t xml:space="preserve"> e políticas de RLS.</w:t>
      </w:r>
    </w:p>
    <w:p>
      <w:pPr>
        <w:ind w:firstLine="700"/>
        <w:jc w:val="both"/>
      </w:pPr>
      <w:r>
        <w:rPr>
          <w:rFonts w:ascii="Times New Roman" w:hAnsi="Times New Roman" w:cs="Times New Roman" w:eastAsia="Times New Roman"/>
          <w:sz w:val="24"/>
        </w:rPr>
        <w:t>A arquitetura organiza-se em camadas lógicas, conforme a Figura 1.</w:t>
      </w:r>
    </w:p>
    <w:p>
      <w:pPr>
        <w:jc w:val="center"/>
      </w:pPr>
      <w:r>
        <w:rPr>
          <w:rFonts w:ascii="Times New Roman" w:hAnsi="Times New Roman" w:cs="Times New Roman" w:eastAsia="Times New Roman"/>
          <w:b/>
          <w:sz w:val="24"/>
        </w:rPr>
        <w:t>Figura 1 — Camadas lógicas da arquitetura do Hubservi</w:t>
      </w:r>
    </w:p>
    <w:p>
      <w:pPr>
        <w:jc w:val="center"/>
      </w:pPr>
      <w:r>
        <w:drawing>
          <wp:inline xmlns:a="http://schemas.openxmlformats.org/drawingml/2006/main" xmlns:pic="http://schemas.openxmlformats.org/drawingml/2006/picture">
            <wp:extent cx="5576400" cy="8892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576400" cy="88920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Tabela 2 — Camadas lógicas e elementos correspondentes no repositório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Camada</w:t>
            </w:r>
          </w:p>
        </w:tc>
        <w:tc>
          <w:tcPr>
            <w:tcW w:type="dxa" w:w="3024"/>
            <w:tcBorders>
              <w:bottom w:val="single" w:sz="8" w:space="0" w:color="auto"/>
            </w:tcBorders>
          </w:tcPr>
          <w:p>
            <w:pPr>
              <w:jc w:val="left"/>
            </w:pPr>
            <w:r>
              <w:rPr>
                <w:rFonts w:ascii="Times New Roman" w:hAnsi="Times New Roman" w:cs="Times New Roman" w:eastAsia="Times New Roman"/>
                <w:b/>
                <w:sz w:val="20"/>
              </w:rPr>
              <w:t>Responsabilidade</w:t>
            </w:r>
          </w:p>
        </w:tc>
        <w:tc>
          <w:tcPr>
            <w:tcW w:type="dxa" w:w="3024"/>
            <w:tcBorders>
              <w:bottom w:val="single" w:sz="8" w:space="0" w:color="auto"/>
            </w:tcBorders>
          </w:tcPr>
          <w:p>
            <w:pPr>
              <w:jc w:val="left"/>
            </w:pPr>
            <w:r>
              <w:rPr>
                <w:rFonts w:ascii="Times New Roman" w:hAnsi="Times New Roman" w:cs="Times New Roman" w:eastAsia="Times New Roman"/>
                <w:b/>
                <w:sz w:val="20"/>
              </w:rPr>
              <w:t>Elementos no repositório</w:t>
            </w:r>
          </w:p>
        </w:tc>
      </w:tr>
      <w:tr>
        <w:tc>
          <w:tcPr>
            <w:tcW w:type="dxa" w:w="3024"/>
          </w:tcPr>
          <w:p>
            <w:pPr>
              <w:jc w:val="left"/>
            </w:pPr>
            <w:r>
              <w:rPr>
                <w:rFonts w:ascii="Times New Roman" w:hAnsi="Times New Roman" w:cs="Times New Roman" w:eastAsia="Times New Roman"/>
                <w:sz w:val="20"/>
              </w:rPr>
              <w:t>Apresentação</w:t>
            </w:r>
          </w:p>
        </w:tc>
        <w:tc>
          <w:tcPr>
            <w:tcW w:type="dxa" w:w="3024"/>
          </w:tcPr>
          <w:p>
            <w:pPr>
              <w:jc w:val="left"/>
            </w:pPr>
            <w:r>
              <w:rPr>
                <w:rFonts w:ascii="Times New Roman" w:hAnsi="Times New Roman" w:cs="Times New Roman" w:eastAsia="Times New Roman"/>
                <w:sz w:val="20"/>
              </w:rPr>
              <w:t>Renderização, navegação e interação</w:t>
            </w:r>
          </w:p>
        </w:tc>
        <w:tc>
          <w:tcPr>
            <w:tcW w:type="dxa" w:w="3024"/>
          </w:tcPr>
          <w:p>
            <w:pPr>
              <w:jc w:val="left"/>
            </w:pPr>
            <w:r>
              <w:rPr>
                <w:rFonts w:ascii="Times New Roman" w:hAnsi="Times New Roman" w:cs="Times New Roman" w:eastAsia="Times New Roman"/>
                <w:i/>
                <w:sz w:val="20"/>
              </w:rPr>
              <w:t>src/pages/</w:t>
            </w:r>
            <w:r>
              <w:rPr>
                <w:rFonts w:ascii="Times New Roman" w:hAnsi="Times New Roman" w:cs="Times New Roman" w:eastAsia="Times New Roman"/>
                <w:sz w:val="20"/>
              </w:rPr>
              <w:t xml:space="preserve">, </w:t>
            </w:r>
            <w:r>
              <w:rPr>
                <w:rFonts w:ascii="Times New Roman" w:hAnsi="Times New Roman" w:cs="Times New Roman" w:eastAsia="Times New Roman"/>
                <w:i/>
                <w:sz w:val="20"/>
              </w:rPr>
              <w:t>src/components/</w:t>
            </w:r>
            <w:r>
              <w:rPr>
                <w:rFonts w:ascii="Times New Roman" w:hAnsi="Times New Roman" w:cs="Times New Roman" w:eastAsia="Times New Roman"/>
                <w:sz w:val="20"/>
              </w:rPr>
              <w:t xml:space="preserve">, </w:t>
            </w:r>
            <w:r>
              <w:rPr>
                <w:rFonts w:ascii="Times New Roman" w:hAnsi="Times New Roman" w:cs="Times New Roman" w:eastAsia="Times New Roman"/>
                <w:i/>
                <w:sz w:val="20"/>
              </w:rPr>
              <w:t>src/components/ui/</w:t>
            </w:r>
          </w:p>
        </w:tc>
      </w:tr>
      <w:tr>
        <w:tc>
          <w:tcPr>
            <w:tcW w:type="dxa" w:w="3024"/>
          </w:tcPr>
          <w:p>
            <w:pPr>
              <w:jc w:val="left"/>
            </w:pPr>
            <w:r>
              <w:rPr>
                <w:rFonts w:ascii="Times New Roman" w:hAnsi="Times New Roman" w:cs="Times New Roman" w:eastAsia="Times New Roman"/>
                <w:sz w:val="20"/>
              </w:rPr>
              <w:t>Aplicação</w:t>
            </w:r>
          </w:p>
        </w:tc>
        <w:tc>
          <w:tcPr>
            <w:tcW w:type="dxa" w:w="3024"/>
          </w:tcPr>
          <w:p>
            <w:pPr>
              <w:jc w:val="left"/>
            </w:pPr>
            <w:r>
              <w:rPr>
                <w:rFonts w:ascii="Times New Roman" w:hAnsi="Times New Roman" w:cs="Times New Roman" w:eastAsia="Times New Roman"/>
                <w:sz w:val="20"/>
              </w:rPr>
              <w:t>Sessão, estado de servidor, regras de fluxo e validação</w:t>
            </w:r>
          </w:p>
        </w:tc>
        <w:tc>
          <w:tcPr>
            <w:tcW w:type="dxa" w:w="3024"/>
          </w:tcPr>
          <w:p>
            <w:pPr>
              <w:jc w:val="left"/>
            </w:pPr>
            <w:r>
              <w:rPr>
                <w:rFonts w:ascii="Times New Roman" w:hAnsi="Times New Roman" w:cs="Times New Roman" w:eastAsia="Times New Roman"/>
                <w:i/>
                <w:sz w:val="20"/>
              </w:rPr>
              <w:t>src/contexts/AuthContext.tsx</w:t>
            </w:r>
            <w:r>
              <w:rPr>
                <w:rFonts w:ascii="Times New Roman" w:hAnsi="Times New Roman" w:cs="Times New Roman" w:eastAsia="Times New Roman"/>
                <w:sz w:val="20"/>
              </w:rPr>
              <w:t>, React Query, esquemas Zod</w:t>
            </w:r>
          </w:p>
        </w:tc>
      </w:tr>
      <w:tr>
        <w:tc>
          <w:tcPr>
            <w:tcW w:type="dxa" w:w="3024"/>
          </w:tcPr>
          <w:p>
            <w:pPr>
              <w:jc w:val="left"/>
            </w:pPr>
            <w:r>
              <w:rPr>
                <w:rFonts w:ascii="Times New Roman" w:hAnsi="Times New Roman" w:cs="Times New Roman" w:eastAsia="Times New Roman"/>
                <w:sz w:val="20"/>
              </w:rPr>
              <w:t>Integração</w:t>
            </w:r>
          </w:p>
        </w:tc>
        <w:tc>
          <w:tcPr>
            <w:tcW w:type="dxa" w:w="3024"/>
          </w:tcPr>
          <w:p>
            <w:pPr>
              <w:jc w:val="left"/>
            </w:pPr>
            <w:r>
              <w:rPr>
                <w:rFonts w:ascii="Times New Roman" w:hAnsi="Times New Roman" w:cs="Times New Roman" w:eastAsia="Times New Roman"/>
                <w:sz w:val="20"/>
              </w:rPr>
              <w:t>Acesso ao BaaS</w:t>
            </w:r>
          </w:p>
        </w:tc>
        <w:tc>
          <w:tcPr>
            <w:tcW w:type="dxa" w:w="3024"/>
          </w:tcPr>
          <w:p>
            <w:pPr>
              <w:jc w:val="left"/>
            </w:pPr>
            <w:r>
              <w:rPr>
                <w:rFonts w:ascii="Times New Roman" w:hAnsi="Times New Roman" w:cs="Times New Roman" w:eastAsia="Times New Roman"/>
                <w:i/>
                <w:sz w:val="20"/>
              </w:rPr>
              <w:t>src/integrations/supabase/client.ts</w:t>
            </w:r>
            <w:r>
              <w:rPr>
                <w:rFonts w:ascii="Times New Roman" w:hAnsi="Times New Roman" w:cs="Times New Roman" w:eastAsia="Times New Roman"/>
                <w:sz w:val="20"/>
              </w:rPr>
              <w:t xml:space="preserve">, </w:t>
            </w:r>
            <w:r>
              <w:rPr>
                <w:rFonts w:ascii="Times New Roman" w:hAnsi="Times New Roman" w:cs="Times New Roman" w:eastAsia="Times New Roman"/>
                <w:i/>
                <w:sz w:val="20"/>
              </w:rPr>
              <w:t>views.ts</w:t>
            </w:r>
            <w:r>
              <w:rPr>
                <w:rFonts w:ascii="Times New Roman" w:hAnsi="Times New Roman" w:cs="Times New Roman" w:eastAsia="Times New Roman"/>
                <w:sz w:val="20"/>
              </w:rPr>
              <w:t xml:space="preserve">, </w:t>
            </w:r>
            <w:r>
              <w:rPr>
                <w:rFonts w:ascii="Times New Roman" w:hAnsi="Times New Roman" w:cs="Times New Roman" w:eastAsia="Times New Roman"/>
                <w:i/>
                <w:sz w:val="20"/>
              </w:rPr>
              <w:t>types.ts</w:t>
            </w:r>
          </w:p>
        </w:tc>
      </w:tr>
      <w:tr>
        <w:tc>
          <w:tcPr>
            <w:tcW w:type="dxa" w:w="3024"/>
          </w:tcPr>
          <w:p>
            <w:pPr>
              <w:jc w:val="left"/>
            </w:pPr>
            <w:r>
              <w:rPr>
                <w:rFonts w:ascii="Times New Roman" w:hAnsi="Times New Roman" w:cs="Times New Roman" w:eastAsia="Times New Roman"/>
                <w:sz w:val="20"/>
              </w:rPr>
              <w:t>Dados</w:t>
            </w:r>
          </w:p>
        </w:tc>
        <w:tc>
          <w:tcPr>
            <w:tcW w:type="dxa" w:w="3024"/>
          </w:tcPr>
          <w:p>
            <w:pPr>
              <w:jc w:val="left"/>
            </w:pPr>
            <w:r>
              <w:rPr>
                <w:rFonts w:ascii="Times New Roman" w:hAnsi="Times New Roman" w:cs="Times New Roman" w:eastAsia="Times New Roman"/>
                <w:sz w:val="20"/>
              </w:rPr>
              <w:t>Persistência e regras declarativas</w:t>
            </w:r>
          </w:p>
        </w:tc>
        <w:tc>
          <w:tcPr>
            <w:tcW w:type="dxa" w:w="3024"/>
          </w:tcPr>
          <w:p>
            <w:pPr>
              <w:jc w:val="left"/>
            </w:pPr>
            <w:r>
              <w:rPr>
                <w:rFonts w:ascii="Times New Roman" w:hAnsi="Times New Roman" w:cs="Times New Roman" w:eastAsia="Times New Roman"/>
                <w:i/>
                <w:sz w:val="20"/>
              </w:rPr>
              <w:t>supabase/migrations/</w:t>
            </w:r>
            <w:r>
              <w:rPr>
                <w:rFonts w:ascii="Times New Roman" w:hAnsi="Times New Roman" w:cs="Times New Roman" w:eastAsia="Times New Roman"/>
                <w:sz w:val="20"/>
              </w:rPr>
              <w:t xml:space="preserve"> (PostgreSQL)</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Os diagramas detalhados de componentes e de implantação constam do material suplementar (VIEIRA; COSTA, 2026a, Figuras A.7 e A.8).</w:t>
      </w:r>
    </w:p>
    <w:p>
      <w:pPr>
        <w:jc w:val="left"/>
      </w:pPr>
      <w:r>
        <w:rPr>
          <w:rFonts w:ascii="Times New Roman" w:hAnsi="Times New Roman" w:cs="Times New Roman" w:eastAsia="Times New Roman"/>
          <w:b/>
          <w:sz w:val="24"/>
        </w:rPr>
        <w:t>4.2 Tecnologias</w:t>
      </w:r>
    </w:p>
    <w:p>
      <w:pPr>
        <w:jc w:val="left"/>
      </w:pPr>
      <w:r>
        <w:rPr>
          <w:rFonts w:ascii="Times New Roman" w:hAnsi="Times New Roman" w:cs="Times New Roman" w:eastAsia="Times New Roman"/>
          <w:b/>
          <w:sz w:val="24"/>
        </w:rPr>
        <w:t>Tabela 3 — Tecnologias empregadas na plataforma Hubservi</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Camada</w:t>
            </w:r>
          </w:p>
        </w:tc>
        <w:tc>
          <w:tcPr>
            <w:tcW w:type="dxa" w:w="3024"/>
            <w:tcBorders>
              <w:bottom w:val="single" w:sz="8" w:space="0" w:color="auto"/>
            </w:tcBorders>
          </w:tcPr>
          <w:p>
            <w:pPr>
              <w:jc w:val="left"/>
            </w:pPr>
            <w:r>
              <w:rPr>
                <w:rFonts w:ascii="Times New Roman" w:hAnsi="Times New Roman" w:cs="Times New Roman" w:eastAsia="Times New Roman"/>
                <w:b/>
                <w:sz w:val="20"/>
              </w:rPr>
              <w:t>Tecnologia</w:t>
            </w:r>
          </w:p>
        </w:tc>
        <w:tc>
          <w:tcPr>
            <w:tcW w:type="dxa" w:w="3024"/>
            <w:tcBorders>
              <w:bottom w:val="single" w:sz="8" w:space="0" w:color="auto"/>
            </w:tcBorders>
          </w:tcPr>
          <w:p>
            <w:pPr>
              <w:jc w:val="left"/>
            </w:pPr>
            <w:r>
              <w:rPr>
                <w:rFonts w:ascii="Times New Roman" w:hAnsi="Times New Roman" w:cs="Times New Roman" w:eastAsia="Times New Roman"/>
                <w:b/>
                <w:sz w:val="20"/>
              </w:rPr>
              <w:t>Versão</w:t>
            </w:r>
          </w:p>
        </w:tc>
      </w:tr>
      <w:tr>
        <w:tc>
          <w:tcPr>
            <w:tcW w:type="dxa" w:w="3024"/>
          </w:tcPr>
          <w:p>
            <w:pPr>
              <w:jc w:val="left"/>
            </w:pPr>
            <w:r>
              <w:rPr>
                <w:rFonts w:ascii="Times New Roman" w:hAnsi="Times New Roman" w:cs="Times New Roman" w:eastAsia="Times New Roman"/>
                <w:sz w:val="20"/>
              </w:rPr>
              <w:t>Biblioteca de UI</w:t>
            </w:r>
          </w:p>
        </w:tc>
        <w:tc>
          <w:tcPr>
            <w:tcW w:type="dxa" w:w="3024"/>
          </w:tcPr>
          <w:p>
            <w:pPr>
              <w:jc w:val="left"/>
            </w:pPr>
            <w:r>
              <w:rPr>
                <w:rFonts w:ascii="Times New Roman" w:hAnsi="Times New Roman" w:cs="Times New Roman" w:eastAsia="Times New Roman"/>
                <w:sz w:val="20"/>
              </w:rPr>
              <w:t>React</w:t>
            </w:r>
          </w:p>
        </w:tc>
        <w:tc>
          <w:tcPr>
            <w:tcW w:type="dxa" w:w="3024"/>
          </w:tcPr>
          <w:p>
            <w:pPr>
              <w:jc w:val="left"/>
            </w:pPr>
            <w:r>
              <w:rPr>
                <w:rFonts w:ascii="Times New Roman" w:hAnsi="Times New Roman" w:cs="Times New Roman" w:eastAsia="Times New Roman"/>
                <w:sz w:val="20"/>
              </w:rPr>
              <w:t>18.3.1</w:t>
            </w:r>
          </w:p>
        </w:tc>
      </w:tr>
      <w:tr>
        <w:tc>
          <w:tcPr>
            <w:tcW w:type="dxa" w:w="3024"/>
          </w:tcPr>
          <w:p>
            <w:pPr>
              <w:jc w:val="left"/>
            </w:pPr>
            <w:r>
              <w:rPr>
                <w:rFonts w:ascii="Times New Roman" w:hAnsi="Times New Roman" w:cs="Times New Roman" w:eastAsia="Times New Roman"/>
                <w:sz w:val="20"/>
              </w:rPr>
              <w:t>Linguagem</w:t>
            </w:r>
          </w:p>
        </w:tc>
        <w:tc>
          <w:tcPr>
            <w:tcW w:type="dxa" w:w="3024"/>
          </w:tcPr>
          <w:p>
            <w:pPr>
              <w:jc w:val="left"/>
            </w:pPr>
            <w:r>
              <w:rPr>
                <w:rFonts w:ascii="Times New Roman" w:hAnsi="Times New Roman" w:cs="Times New Roman" w:eastAsia="Times New Roman"/>
                <w:sz w:val="20"/>
              </w:rPr>
              <w:t>TypeScript</w:t>
            </w:r>
          </w:p>
        </w:tc>
        <w:tc>
          <w:tcPr>
            <w:tcW w:type="dxa" w:w="3024"/>
          </w:tcPr>
          <w:p>
            <w:pPr>
              <w:jc w:val="left"/>
            </w:pPr>
            <w:r>
              <w:rPr>
                <w:rFonts w:ascii="Times New Roman" w:hAnsi="Times New Roman" w:cs="Times New Roman" w:eastAsia="Times New Roman"/>
                <w:sz w:val="20"/>
              </w:rPr>
              <w:t>5.8.3</w:t>
            </w:r>
          </w:p>
        </w:tc>
      </w:tr>
      <w:tr>
        <w:tc>
          <w:tcPr>
            <w:tcW w:type="dxa" w:w="3024"/>
          </w:tcPr>
          <w:p>
            <w:pPr>
              <w:jc w:val="left"/>
            </w:pPr>
            <w:r>
              <w:rPr>
                <w:rFonts w:ascii="Times New Roman" w:hAnsi="Times New Roman" w:cs="Times New Roman" w:eastAsia="Times New Roman"/>
                <w:sz w:val="20"/>
              </w:rPr>
              <w:t xml:space="preserve">Empacotador / </w:t>
            </w:r>
            <w:r>
              <w:rPr>
                <w:rFonts w:ascii="Times New Roman" w:hAnsi="Times New Roman" w:cs="Times New Roman" w:eastAsia="Times New Roman"/>
                <w:i/>
                <w:sz w:val="20"/>
              </w:rPr>
              <w:t>build</w:t>
            </w:r>
          </w:p>
        </w:tc>
        <w:tc>
          <w:tcPr>
            <w:tcW w:type="dxa" w:w="3024"/>
          </w:tcPr>
          <w:p>
            <w:pPr>
              <w:jc w:val="left"/>
            </w:pPr>
            <w:r>
              <w:rPr>
                <w:rFonts w:ascii="Times New Roman" w:hAnsi="Times New Roman" w:cs="Times New Roman" w:eastAsia="Times New Roman"/>
                <w:sz w:val="20"/>
              </w:rPr>
              <w:t>Vite</w:t>
            </w:r>
          </w:p>
        </w:tc>
        <w:tc>
          <w:tcPr>
            <w:tcW w:type="dxa" w:w="3024"/>
          </w:tcPr>
          <w:p>
            <w:pPr>
              <w:jc w:val="left"/>
            </w:pPr>
            <w:r>
              <w:rPr>
                <w:rFonts w:ascii="Times New Roman" w:hAnsi="Times New Roman" w:cs="Times New Roman" w:eastAsia="Times New Roman"/>
                <w:sz w:val="20"/>
              </w:rPr>
              <w:t>5.4.19</w:t>
            </w:r>
          </w:p>
        </w:tc>
      </w:tr>
      <w:tr>
        <w:tc>
          <w:tcPr>
            <w:tcW w:type="dxa" w:w="3024"/>
          </w:tcPr>
          <w:p>
            <w:pPr>
              <w:jc w:val="left"/>
            </w:pPr>
            <w:r>
              <w:rPr>
                <w:rFonts w:ascii="Times New Roman" w:hAnsi="Times New Roman" w:cs="Times New Roman" w:eastAsia="Times New Roman"/>
                <w:sz w:val="20"/>
              </w:rPr>
              <w:t>Roteamento</w:t>
            </w:r>
          </w:p>
        </w:tc>
        <w:tc>
          <w:tcPr>
            <w:tcW w:type="dxa" w:w="3024"/>
          </w:tcPr>
          <w:p>
            <w:pPr>
              <w:jc w:val="left"/>
            </w:pPr>
            <w:r>
              <w:rPr>
                <w:rFonts w:ascii="Times New Roman" w:hAnsi="Times New Roman" w:cs="Times New Roman" w:eastAsia="Times New Roman"/>
                <w:sz w:val="20"/>
              </w:rPr>
              <w:t>React Router DOM</w:t>
            </w:r>
          </w:p>
        </w:tc>
        <w:tc>
          <w:tcPr>
            <w:tcW w:type="dxa" w:w="3024"/>
          </w:tcPr>
          <w:p>
            <w:pPr>
              <w:jc w:val="left"/>
            </w:pPr>
            <w:r>
              <w:rPr>
                <w:rFonts w:ascii="Times New Roman" w:hAnsi="Times New Roman" w:cs="Times New Roman" w:eastAsia="Times New Roman"/>
                <w:sz w:val="20"/>
              </w:rPr>
              <w:t>6.30.1</w:t>
            </w:r>
          </w:p>
        </w:tc>
      </w:tr>
      <w:tr>
        <w:tc>
          <w:tcPr>
            <w:tcW w:type="dxa" w:w="3024"/>
          </w:tcPr>
          <w:p>
            <w:pPr>
              <w:jc w:val="left"/>
            </w:pPr>
            <w:r>
              <w:rPr>
                <w:rFonts w:ascii="Times New Roman" w:hAnsi="Times New Roman" w:cs="Times New Roman" w:eastAsia="Times New Roman"/>
                <w:sz w:val="20"/>
              </w:rPr>
              <w:t>Estado de servidor</w:t>
            </w:r>
          </w:p>
        </w:tc>
        <w:tc>
          <w:tcPr>
            <w:tcW w:type="dxa" w:w="3024"/>
          </w:tcPr>
          <w:p>
            <w:pPr>
              <w:jc w:val="left"/>
            </w:pPr>
            <w:r>
              <w:rPr>
                <w:rFonts w:ascii="Times New Roman" w:hAnsi="Times New Roman" w:cs="Times New Roman" w:eastAsia="Times New Roman"/>
                <w:sz w:val="20"/>
              </w:rPr>
              <w:t>TanStack React Query</w:t>
            </w:r>
          </w:p>
        </w:tc>
        <w:tc>
          <w:tcPr>
            <w:tcW w:type="dxa" w:w="3024"/>
          </w:tcPr>
          <w:p>
            <w:pPr>
              <w:jc w:val="left"/>
            </w:pPr>
            <w:r>
              <w:rPr>
                <w:rFonts w:ascii="Times New Roman" w:hAnsi="Times New Roman" w:cs="Times New Roman" w:eastAsia="Times New Roman"/>
                <w:sz w:val="20"/>
              </w:rPr>
              <w:t>5.83.0</w:t>
            </w:r>
          </w:p>
        </w:tc>
      </w:tr>
      <w:tr>
        <w:tc>
          <w:tcPr>
            <w:tcW w:type="dxa" w:w="3024"/>
          </w:tcPr>
          <w:p>
            <w:pPr>
              <w:jc w:val="left"/>
            </w:pPr>
            <w:r>
              <w:rPr>
                <w:rFonts w:ascii="Times New Roman" w:hAnsi="Times New Roman" w:cs="Times New Roman" w:eastAsia="Times New Roman"/>
                <w:sz w:val="20"/>
              </w:rPr>
              <w:t>Formulários e validação</w:t>
            </w:r>
          </w:p>
        </w:tc>
        <w:tc>
          <w:tcPr>
            <w:tcW w:type="dxa" w:w="3024"/>
          </w:tcPr>
          <w:p>
            <w:pPr>
              <w:jc w:val="left"/>
            </w:pPr>
            <w:r>
              <w:rPr>
                <w:rFonts w:ascii="Times New Roman" w:hAnsi="Times New Roman" w:cs="Times New Roman" w:eastAsia="Times New Roman"/>
                <w:sz w:val="20"/>
              </w:rPr>
              <w:t>react-hook-form + Zod</w:t>
            </w:r>
          </w:p>
        </w:tc>
        <w:tc>
          <w:tcPr>
            <w:tcW w:type="dxa" w:w="3024"/>
          </w:tcPr>
          <w:p>
            <w:pPr>
              <w:jc w:val="left"/>
            </w:pPr>
            <w:r>
              <w:rPr>
                <w:rFonts w:ascii="Times New Roman" w:hAnsi="Times New Roman" w:cs="Times New Roman" w:eastAsia="Times New Roman"/>
                <w:sz w:val="20"/>
              </w:rPr>
              <w:t>7.61 / 3.25</w:t>
            </w:r>
          </w:p>
        </w:tc>
      </w:tr>
      <w:tr>
        <w:tc>
          <w:tcPr>
            <w:tcW w:type="dxa" w:w="3024"/>
          </w:tcPr>
          <w:p>
            <w:pPr>
              <w:jc w:val="left"/>
            </w:pPr>
            <w:r>
              <w:rPr>
                <w:rFonts w:ascii="Times New Roman" w:hAnsi="Times New Roman" w:cs="Times New Roman" w:eastAsia="Times New Roman"/>
                <w:sz w:val="20"/>
              </w:rPr>
              <w:t>Componentes de UI</w:t>
            </w:r>
          </w:p>
        </w:tc>
        <w:tc>
          <w:tcPr>
            <w:tcW w:type="dxa" w:w="3024"/>
          </w:tcPr>
          <w:p>
            <w:pPr>
              <w:jc w:val="left"/>
            </w:pPr>
            <w:r>
              <w:rPr>
                <w:rFonts w:ascii="Times New Roman" w:hAnsi="Times New Roman" w:cs="Times New Roman" w:eastAsia="Times New Roman"/>
                <w:sz w:val="20"/>
              </w:rPr>
              <w:t>shadcn/ui (Radix UI) + Tailwind CSS</w:t>
            </w:r>
          </w:p>
        </w:tc>
        <w:tc>
          <w:tcPr>
            <w:tcW w:type="dxa" w:w="3024"/>
          </w:tcPr>
          <w:p>
            <w:pPr>
              <w:jc w:val="left"/>
            </w:pPr>
            <w:r>
              <w:rPr>
                <w:rFonts w:ascii="Times New Roman" w:hAnsi="Times New Roman" w:cs="Times New Roman" w:eastAsia="Times New Roman"/>
                <w:sz w:val="20"/>
              </w:rPr>
              <w:t>3.4.17</w:t>
            </w:r>
          </w:p>
        </w:tc>
      </w:tr>
      <w:tr>
        <w:tc>
          <w:tcPr>
            <w:tcW w:type="dxa" w:w="3024"/>
          </w:tcPr>
          <w:p>
            <w:pPr>
              <w:jc w:val="left"/>
            </w:pPr>
            <w:r>
              <w:rPr>
                <w:rFonts w:ascii="Times New Roman" w:hAnsi="Times New Roman" w:cs="Times New Roman" w:eastAsia="Times New Roman"/>
                <w:sz w:val="20"/>
              </w:rPr>
              <w:t>Cliente BaaS</w:t>
            </w:r>
          </w:p>
        </w:tc>
        <w:tc>
          <w:tcPr>
            <w:tcW w:type="dxa" w:w="3024"/>
          </w:tcPr>
          <w:p>
            <w:pPr>
              <w:jc w:val="left"/>
            </w:pPr>
            <w:r>
              <w:rPr>
                <w:rFonts w:ascii="Times New Roman" w:hAnsi="Times New Roman" w:cs="Times New Roman" w:eastAsia="Times New Roman"/>
                <w:sz w:val="20"/>
              </w:rPr>
              <w:t>@supabase/supabase-js</w:t>
            </w:r>
          </w:p>
        </w:tc>
        <w:tc>
          <w:tcPr>
            <w:tcW w:type="dxa" w:w="3024"/>
          </w:tcPr>
          <w:p>
            <w:pPr>
              <w:jc w:val="left"/>
            </w:pPr>
            <w:r>
              <w:rPr>
                <w:rFonts w:ascii="Times New Roman" w:hAnsi="Times New Roman" w:cs="Times New Roman" w:eastAsia="Times New Roman"/>
                <w:sz w:val="20"/>
              </w:rPr>
              <w:t>2.98.0</w:t>
            </w:r>
          </w:p>
        </w:tc>
      </w:tr>
      <w:tr>
        <w:tc>
          <w:tcPr>
            <w:tcW w:type="dxa" w:w="3024"/>
          </w:tcPr>
          <w:p>
            <w:pPr>
              <w:jc w:val="left"/>
            </w:pPr>
            <w:r>
              <w:rPr>
                <w:rFonts w:ascii="Times New Roman" w:hAnsi="Times New Roman" w:cs="Times New Roman" w:eastAsia="Times New Roman"/>
                <w:sz w:val="20"/>
              </w:rPr>
              <w:t>Banco de dados</w:t>
            </w:r>
          </w:p>
        </w:tc>
        <w:tc>
          <w:tcPr>
            <w:tcW w:type="dxa" w:w="3024"/>
          </w:tcPr>
          <w:p>
            <w:pPr>
              <w:jc w:val="left"/>
            </w:pPr>
            <w:r>
              <w:rPr>
                <w:rFonts w:ascii="Times New Roman" w:hAnsi="Times New Roman" w:cs="Times New Roman" w:eastAsia="Times New Roman"/>
                <w:sz w:val="20"/>
              </w:rPr>
              <w:t>PostgreSQL (gerenciado pelo Supabase)</w:t>
            </w:r>
          </w:p>
        </w:tc>
        <w:tc>
          <w:tcPr>
            <w:tcW w:type="dxa" w:w="3024"/>
          </w:tcPr>
          <w:p>
            <w:pPr>
              <w:jc w:val="left"/>
            </w:pP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4.3 Componentes e rotas</w:t>
      </w:r>
    </w:p>
    <w:p>
      <w:pPr>
        <w:ind w:firstLine="700"/>
        <w:jc w:val="both"/>
      </w:pPr>
      <w:r>
        <w:rPr>
          <w:rFonts w:ascii="Times New Roman" w:hAnsi="Times New Roman" w:cs="Times New Roman" w:eastAsia="Times New Roman"/>
          <w:sz w:val="24"/>
        </w:rPr>
        <w:t>A aplicação define as rotas apresentadas na Tabela 4 (</w:t>
      </w:r>
      <w:r>
        <w:rPr>
          <w:rFonts w:ascii="Times New Roman" w:hAnsi="Times New Roman" w:cs="Times New Roman" w:eastAsia="Times New Roman"/>
          <w:i/>
          <w:sz w:val="24"/>
        </w:rPr>
        <w:t>src/App.tsx</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Tabela 4 — Rotas da aplicação e respectivo nível de acesso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Rota</w:t>
            </w:r>
          </w:p>
        </w:tc>
        <w:tc>
          <w:tcPr>
            <w:tcW w:type="dxa" w:w="3024"/>
            <w:tcBorders>
              <w:bottom w:val="single" w:sz="8" w:space="0" w:color="auto"/>
            </w:tcBorders>
          </w:tcPr>
          <w:p>
            <w:pPr>
              <w:jc w:val="left"/>
            </w:pPr>
            <w:r>
              <w:rPr>
                <w:rFonts w:ascii="Times New Roman" w:hAnsi="Times New Roman" w:cs="Times New Roman" w:eastAsia="Times New Roman"/>
                <w:b/>
                <w:sz w:val="20"/>
              </w:rPr>
              <w:t>Página</w:t>
            </w:r>
          </w:p>
        </w:tc>
        <w:tc>
          <w:tcPr>
            <w:tcW w:type="dxa" w:w="3024"/>
            <w:tcBorders>
              <w:bottom w:val="single" w:sz="8" w:space="0" w:color="auto"/>
            </w:tcBorders>
          </w:tcPr>
          <w:p>
            <w:pPr>
              <w:jc w:val="left"/>
            </w:pPr>
            <w:r>
              <w:rPr>
                <w:rFonts w:ascii="Times New Roman" w:hAnsi="Times New Roman" w:cs="Times New Roman" w:eastAsia="Times New Roman"/>
                <w:b/>
                <w:sz w:val="20"/>
              </w:rPr>
              <w:t>Acesso</w:t>
            </w:r>
          </w:p>
        </w:tc>
      </w:tr>
      <w:tr>
        <w:tc>
          <w:tcPr>
            <w:tcW w:type="dxa" w:w="3024"/>
          </w:tcPr>
          <w:p>
            <w:pPr>
              <w:jc w:val="left"/>
            </w:pPr>
            <w:r>
              <w:rPr>
                <w:rFonts w:ascii="Times New Roman" w:hAnsi="Times New Roman" w:cs="Times New Roman" w:eastAsia="Times New Roman"/>
                <w:i/>
                <w:sz w:val="20"/>
              </w:rPr>
              <w:t>/</w:t>
            </w:r>
          </w:p>
        </w:tc>
        <w:tc>
          <w:tcPr>
            <w:tcW w:type="dxa" w:w="3024"/>
          </w:tcPr>
          <w:p>
            <w:pPr>
              <w:jc w:val="left"/>
            </w:pPr>
            <w:r>
              <w:rPr>
                <w:rFonts w:ascii="Times New Roman" w:hAnsi="Times New Roman" w:cs="Times New Roman" w:eastAsia="Times New Roman"/>
                <w:i/>
                <w:sz w:val="20"/>
              </w:rPr>
              <w:t>Index.tsx</w:t>
            </w:r>
            <w:r>
              <w:rPr>
                <w:rFonts w:ascii="Times New Roman" w:hAnsi="Times New Roman" w:cs="Times New Roman" w:eastAsia="Times New Roman"/>
                <w:sz w:val="20"/>
              </w:rPr>
              <w:t xml:space="preserve"> — </w:t>
            </w:r>
            <w:r>
              <w:rPr>
                <w:rFonts w:ascii="Times New Roman" w:hAnsi="Times New Roman" w:cs="Times New Roman" w:eastAsia="Times New Roman"/>
                <w:i/>
                <w:sz w:val="20"/>
              </w:rPr>
              <w:t>landing page</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/auth</w:t>
            </w:r>
          </w:p>
        </w:tc>
        <w:tc>
          <w:tcPr>
            <w:tcW w:type="dxa" w:w="3024"/>
          </w:tcPr>
          <w:p>
            <w:pPr>
              <w:jc w:val="left"/>
            </w:pPr>
            <w:r>
              <w:rPr>
                <w:rFonts w:ascii="Times New Roman" w:hAnsi="Times New Roman" w:cs="Times New Roman" w:eastAsia="Times New Roman"/>
                <w:i/>
                <w:sz w:val="20"/>
              </w:rPr>
              <w:t>Auth.tsx</w:t>
            </w:r>
            <w:r>
              <w:rPr>
                <w:rFonts w:ascii="Times New Roman" w:hAnsi="Times New Roman" w:cs="Times New Roman" w:eastAsia="Times New Roman"/>
                <w:sz w:val="20"/>
              </w:rPr>
              <w:t xml:space="preserve"> — login e cadastro</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i/>
                <w:sz w:val="20"/>
              </w:rPr>
              <w:t>Services.tsx</w:t>
            </w:r>
            <w:r>
              <w:rPr>
                <w:rFonts w:ascii="Times New Roman" w:hAnsi="Times New Roman" w:cs="Times New Roman" w:eastAsia="Times New Roman"/>
                <w:sz w:val="20"/>
              </w:rPr>
              <w:t xml:space="preserve"> — busca e listagem</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/services/:id</w:t>
            </w:r>
          </w:p>
        </w:tc>
        <w:tc>
          <w:tcPr>
            <w:tcW w:type="dxa" w:w="3024"/>
          </w:tcPr>
          <w:p>
            <w:pPr>
              <w:jc w:val="left"/>
            </w:pPr>
            <w:r>
              <w:rPr>
                <w:rFonts w:ascii="Times New Roman" w:hAnsi="Times New Roman" w:cs="Times New Roman" w:eastAsia="Times New Roman"/>
                <w:i/>
                <w:sz w:val="20"/>
              </w:rPr>
              <w:t>ServiceDetail.tsx</w:t>
            </w:r>
            <w:r>
              <w:rPr>
                <w:rFonts w:ascii="Times New Roman" w:hAnsi="Times New Roman" w:cs="Times New Roman" w:eastAsia="Times New Roman"/>
                <w:sz w:val="20"/>
              </w:rPr>
              <w:t xml:space="preserve"> — detalhe, avaliações e solicitação</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/dashboard</w:t>
            </w:r>
          </w:p>
        </w:tc>
        <w:tc>
          <w:tcPr>
            <w:tcW w:type="dxa" w:w="3024"/>
          </w:tcPr>
          <w:p>
            <w:pPr>
              <w:jc w:val="left"/>
            </w:pPr>
            <w:r>
              <w:rPr>
                <w:rFonts w:ascii="Times New Roman" w:hAnsi="Times New Roman" w:cs="Times New Roman" w:eastAsia="Times New Roman"/>
                <w:i/>
                <w:sz w:val="20"/>
              </w:rPr>
              <w:t>Dashboard.tsx</w:t>
            </w:r>
            <w:r>
              <w:rPr>
                <w:rFonts w:ascii="Times New Roman" w:hAnsi="Times New Roman" w:cs="Times New Roman" w:eastAsia="Times New Roman"/>
                <w:sz w:val="20"/>
              </w:rPr>
              <w:t xml:space="preserve"> — painel por perfil</w:t>
            </w:r>
          </w:p>
        </w:tc>
        <w:tc>
          <w:tcPr>
            <w:tcW w:type="dxa" w:w="3024"/>
          </w:tcPr>
          <w:p>
            <w:pPr>
              <w:jc w:val="left"/>
            </w:pPr>
            <w:r>
              <w:rPr>
                <w:rFonts w:ascii="Times New Roman" w:hAnsi="Times New Roman" w:cs="Times New Roman" w:eastAsia="Times New Roman"/>
                <w:sz w:val="20"/>
              </w:rPr>
              <w:t>Protegido</w:t>
            </w:r>
          </w:p>
        </w:tc>
      </w:tr>
      <w:tr>
        <w:tc>
          <w:tcPr>
            <w:tcW w:type="dxa" w:w="3024"/>
          </w:tcPr>
          <w:p>
            <w:pPr>
              <w:jc w:val="left"/>
            </w:pPr>
            <w:r>
              <w:rPr>
                <w:rFonts w:ascii="Times New Roman" w:hAnsi="Times New Roman" w:cs="Times New Roman" w:eastAsia="Times New Roman"/>
                <w:i/>
                <w:sz w:val="20"/>
              </w:rPr>
              <w:t>*</w:t>
            </w:r>
          </w:p>
        </w:tc>
        <w:tc>
          <w:tcPr>
            <w:tcW w:type="dxa" w:w="3024"/>
          </w:tcPr>
          <w:p>
            <w:pPr>
              <w:jc w:val="left"/>
            </w:pPr>
            <w:r>
              <w:rPr>
                <w:rFonts w:ascii="Times New Roman" w:hAnsi="Times New Roman" w:cs="Times New Roman" w:eastAsia="Times New Roman"/>
                <w:i/>
                <w:sz w:val="20"/>
              </w:rPr>
              <w:t>NotFound.tsx</w:t>
            </w:r>
            <w:r>
              <w:rPr>
                <w:rFonts w:ascii="Times New Roman" w:hAnsi="Times New Roman" w:cs="Times New Roman" w:eastAsia="Times New Roman"/>
                <w:sz w:val="20"/>
              </w:rPr>
              <w:t xml:space="preserve"> — 404</w:t>
            </w:r>
          </w:p>
        </w:tc>
        <w:tc>
          <w:tcPr>
            <w:tcW w:type="dxa" w:w="3024"/>
          </w:tcPr>
          <w:p>
            <w:pPr>
              <w:jc w:val="left"/>
            </w:pPr>
            <w:r>
              <w:rPr>
                <w:rFonts w:ascii="Times New Roman" w:hAnsi="Times New Roman" w:cs="Times New Roman" w:eastAsia="Times New Roman"/>
                <w:sz w:val="20"/>
              </w:rPr>
              <w:t>Público</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 acesso à rota protegida é controlado pelo componente </w:t>
      </w:r>
      <w:r>
        <w:rPr>
          <w:rFonts w:ascii="Times New Roman" w:hAnsi="Times New Roman" w:cs="Times New Roman" w:eastAsia="Times New Roman"/>
          <w:i/>
          <w:sz w:val="24"/>
        </w:rPr>
        <w:t>ProtectedRoute.tsx</w:t>
      </w:r>
      <w:r>
        <w:rPr>
          <w:rFonts w:ascii="Times New Roman" w:hAnsi="Times New Roman" w:cs="Times New Roman" w:eastAsia="Times New Roman"/>
          <w:sz w:val="24"/>
        </w:rPr>
        <w:t xml:space="preserve">, que redireciona usuários sem sessão para </w:t>
      </w:r>
      <w:r>
        <w:rPr>
          <w:rFonts w:ascii="Times New Roman" w:hAnsi="Times New Roman" w:cs="Times New Roman" w:eastAsia="Times New Roman"/>
          <w:i/>
          <w:sz w:val="24"/>
        </w:rPr>
        <w:t>/auth</w:t>
      </w:r>
      <w:r>
        <w:rPr>
          <w:rFonts w:ascii="Times New Roman" w:hAnsi="Times New Roman" w:cs="Times New Roman" w:eastAsia="Times New Roman"/>
          <w:sz w:val="24"/>
        </w:rPr>
        <w:t xml:space="preserve">. O </w:t>
      </w:r>
      <w:r>
        <w:rPr>
          <w:rFonts w:ascii="Times New Roman" w:hAnsi="Times New Roman" w:cs="Times New Roman" w:eastAsia="Times New Roman"/>
          <w:i/>
          <w:sz w:val="24"/>
        </w:rPr>
        <w:t>Dashboard.tsx</w:t>
      </w:r>
      <w:r>
        <w:rPr>
          <w:rFonts w:ascii="Times New Roman" w:hAnsi="Times New Roman" w:cs="Times New Roman" w:eastAsia="Times New Roman"/>
          <w:sz w:val="24"/>
        </w:rPr>
        <w:t xml:space="preserve"> seleciona a interface conforme o tipo de usuário: </w:t>
      </w:r>
      <w:r>
        <w:rPr>
          <w:rFonts w:ascii="Times New Roman" w:hAnsi="Times New Roman" w:cs="Times New Roman" w:eastAsia="Times New Roman"/>
          <w:i/>
          <w:sz w:val="24"/>
        </w:rPr>
        <w:t>ClientDashboard</w:t>
      </w:r>
      <w:r>
        <w:rPr>
          <w:rFonts w:ascii="Times New Roman" w:hAnsi="Times New Roman" w:cs="Times New Roman" w:eastAsia="Times New Roman"/>
          <w:sz w:val="24"/>
        </w:rPr>
        <w:t xml:space="preserve"> (cliente) ou </w:t>
      </w:r>
      <w:r>
        <w:rPr>
          <w:rFonts w:ascii="Times New Roman" w:hAnsi="Times New Roman" w:cs="Times New Roman" w:eastAsia="Times New Roman"/>
          <w:i/>
          <w:sz w:val="24"/>
        </w:rPr>
        <w:t>ProviderDashboard</w:t>
      </w:r>
      <w:r>
        <w:rPr>
          <w:rFonts w:ascii="Times New Roman" w:hAnsi="Times New Roman" w:cs="Times New Roman" w:eastAsia="Times New Roman"/>
          <w:sz w:val="24"/>
        </w:rPr>
        <w:t xml:space="preserve"> (prestador). Provedores globais configurados na raiz incluem </w:t>
      </w:r>
      <w:r>
        <w:rPr>
          <w:rFonts w:ascii="Times New Roman" w:hAnsi="Times New Roman" w:cs="Times New Roman" w:eastAsia="Times New Roman"/>
          <w:i/>
          <w:sz w:val="24"/>
        </w:rPr>
        <w:t>QueryClientProvider</w:t>
      </w:r>
      <w:r>
        <w:rPr>
          <w:rFonts w:ascii="Times New Roman" w:hAnsi="Times New Roman" w:cs="Times New Roman" w:eastAsia="Times New Roman"/>
          <w:sz w:val="24"/>
        </w:rPr>
        <w:t xml:space="preserve"> (cache e sincronização de dados), </w:t>
      </w:r>
      <w:r>
        <w:rPr>
          <w:rFonts w:ascii="Times New Roman" w:hAnsi="Times New Roman" w:cs="Times New Roman" w:eastAsia="Times New Roman"/>
          <w:i/>
          <w:sz w:val="24"/>
        </w:rPr>
        <w:t>AuthProvider</w:t>
      </w:r>
      <w:r>
        <w:rPr>
          <w:rFonts w:ascii="Times New Roman" w:hAnsi="Times New Roman" w:cs="Times New Roman" w:eastAsia="Times New Roman"/>
          <w:sz w:val="24"/>
        </w:rPr>
        <w:t xml:space="preserve"> (sessão e perfil), </w:t>
      </w:r>
      <w:r>
        <w:rPr>
          <w:rFonts w:ascii="Times New Roman" w:hAnsi="Times New Roman" w:cs="Times New Roman" w:eastAsia="Times New Roman"/>
          <w:i/>
          <w:sz w:val="24"/>
        </w:rPr>
        <w:t>BrowserRouter</w:t>
      </w:r>
      <w:r>
        <w:rPr>
          <w:rFonts w:ascii="Times New Roman" w:hAnsi="Times New Roman" w:cs="Times New Roman" w:eastAsia="Times New Roman"/>
          <w:sz w:val="24"/>
        </w:rPr>
        <w:t xml:space="preserve"> e provedores de </w:t>
      </w:r>
      <w:r>
        <w:rPr>
          <w:rFonts w:ascii="Times New Roman" w:hAnsi="Times New Roman" w:cs="Times New Roman" w:eastAsia="Times New Roman"/>
          <w:i/>
          <w:sz w:val="24"/>
        </w:rPr>
        <w:t>feedback</w:t>
      </w:r>
      <w:r>
        <w:rPr>
          <w:rFonts w:ascii="Times New Roman" w:hAnsi="Times New Roman" w:cs="Times New Roman" w:eastAsia="Times New Roman"/>
          <w:sz w:val="24"/>
        </w:rPr>
        <w:t xml:space="preserve"> de interface. Os diagramas de casos de uso e de classes constam do material suplementar (VIEIRA; COSTA, 2026a, Figuras A.2 e A.3).</w:t>
      </w:r>
    </w:p>
    <w:p>
      <w:pPr>
        <w:jc w:val="left"/>
      </w:pPr>
      <w:r>
        <w:rPr>
          <w:rFonts w:ascii="Times New Roman" w:hAnsi="Times New Roman" w:cs="Times New Roman" w:eastAsia="Times New Roman"/>
          <w:b/>
          <w:sz w:val="24"/>
        </w:rPr>
        <w:t>4.4 Modelo de dados</w:t>
      </w:r>
    </w:p>
    <w:p>
      <w:pPr>
        <w:ind w:firstLine="700"/>
        <w:jc w:val="both"/>
      </w:pPr>
      <w:r>
        <w:rPr>
          <w:rFonts w:ascii="Times New Roman" w:hAnsi="Times New Roman" w:cs="Times New Roman" w:eastAsia="Times New Roman"/>
          <w:sz w:val="24"/>
        </w:rPr>
        <w:t xml:space="preserve">O esquema do banco compreende cinco tabelas, três tipos enumerados e duas </w:t>
      </w:r>
      <w:r>
        <w:rPr>
          <w:rFonts w:ascii="Times New Roman" w:hAnsi="Times New Roman" w:cs="Times New Roman" w:eastAsia="Times New Roman"/>
          <w:i/>
          <w:sz w:val="24"/>
        </w:rPr>
        <w:t>views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Tabelas:</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categories</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w:t>
      </w:r>
      <w:r>
        <w:rPr>
          <w:rFonts w:ascii="Times New Roman" w:hAnsi="Times New Roman" w:cs="Times New Roman" w:eastAsia="Times New Roman"/>
          <w:i/>
          <w:sz w:val="24"/>
        </w:rPr>
        <w:t>reviews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Enumerações: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client</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provider</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price_type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w:t>
      </w:r>
      <w:r>
        <w:rPr>
          <w:rFonts w:ascii="Times New Roman" w:hAnsi="Times New Roman" w:cs="Times New Roman" w:eastAsia="Times New Roman"/>
          <w:i/>
          <w:sz w:val="24"/>
        </w:rPr>
        <w:t>hourly</w:t>
      </w:r>
      <w:r>
        <w:rPr>
          <w:rFonts w:ascii="Times New Roman" w:hAnsi="Times New Roman" w:cs="Times New Roman" w:eastAsia="Times New Roman"/>
          <w:sz w:val="24"/>
        </w:rPr>
        <w:t xml:space="preserve">, </w:t>
      </w:r>
      <w:r>
        <w:rPr>
          <w:rFonts w:ascii="Times New Roman" w:hAnsi="Times New Roman" w:cs="Times New Roman" w:eastAsia="Times New Roman"/>
          <w:i/>
          <w:sz w:val="24"/>
        </w:rPr>
        <w:t>negotiable</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booking_status</w:t>
      </w:r>
      <w:r>
        <w:rPr>
          <w:rFonts w:ascii="Times New Roman" w:hAnsi="Times New Roman" w:cs="Times New Roman" w:eastAsia="Times New Roman"/>
          <w:sz w:val="24"/>
        </w:rPr>
        <w:t xml:space="preserve">: </w:t>
      </w:r>
      <w:r>
        <w:rPr>
          <w:rFonts w:ascii="Times New Roman" w:hAnsi="Times New Roman" w:cs="Times New Roman" w:eastAsia="Times New Roman"/>
          <w:i/>
          <w:sz w:val="24"/>
        </w:rPr>
        <w:t>pending</w:t>
      </w:r>
      <w:r>
        <w:rPr>
          <w:rFonts w:ascii="Times New Roman" w:hAnsi="Times New Roman" w:cs="Times New Roman" w:eastAsia="Times New Roman"/>
          <w:sz w:val="24"/>
        </w:rPr>
        <w:t xml:space="preserve">,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completed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rejected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cancelled</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Views: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xml:space="preserve"> — agrega, por serviço, a contagem de avaliações (</w:t>
      </w:r>
      <w:r>
        <w:rPr>
          <w:rFonts w:ascii="Times New Roman" w:hAnsi="Times New Roman" w:cs="Times New Roman" w:eastAsia="Times New Roman"/>
          <w:i/>
          <w:sz w:val="24"/>
        </w:rPr>
        <w:t>review_count</w:t>
      </w:r>
      <w:r>
        <w:rPr>
          <w:rFonts w:ascii="Times New Roman" w:hAnsi="Times New Roman" w:cs="Times New Roman" w:eastAsia="Times New Roman"/>
          <w:sz w:val="24"/>
        </w:rPr>
        <w:t>) e a média de notas (</w:t>
      </w:r>
      <w:r>
        <w:rPr>
          <w:rFonts w:ascii="Times New Roman" w:hAnsi="Times New Roman" w:cs="Times New Roman" w:eastAsia="Times New Roman"/>
          <w:i/>
          <w:sz w:val="24"/>
        </w:rPr>
        <w:t>average_rating</w:t>
      </w:r>
      <w:r>
        <w:rPr>
          <w:rFonts w:ascii="Times New Roman" w:hAnsi="Times New Roman" w:cs="Times New Roman" w:eastAsia="Times New Roman"/>
          <w:sz w:val="24"/>
        </w:rPr>
        <w:t xml:space="preserve">); definida com </w:t>
      </w:r>
      <w:r>
        <w:rPr>
          <w:rFonts w:ascii="Times New Roman" w:hAnsi="Times New Roman" w:cs="Times New Roman" w:eastAsia="Times New Roman"/>
          <w:i/>
          <w:sz w:val="24"/>
        </w:rPr>
        <w:t>security_invoker = true</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 projeção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sem dados pessoais sensíveis (expõe </w:t>
      </w:r>
      <w:r>
        <w:rPr>
          <w:rFonts w:ascii="Times New Roman" w:hAnsi="Times New Roman" w:cs="Times New Roman" w:eastAsia="Times New Roman"/>
          <w:i/>
          <w:sz w:val="24"/>
        </w:rPr>
        <w:t>id</w:t>
      </w:r>
      <w:r>
        <w:rPr>
          <w:rFonts w:ascii="Times New Roman" w:hAnsi="Times New Roman" w:cs="Times New Roman" w:eastAsia="Times New Roman"/>
          <w:sz w:val="24"/>
        </w:rPr>
        <w:t xml:space="preserve">, </w:t>
      </w:r>
      <w:r>
        <w:rPr>
          <w:rFonts w:ascii="Times New Roman" w:hAnsi="Times New Roman" w:cs="Times New Roman" w:eastAsia="Times New Roman"/>
          <w:i/>
          <w:sz w:val="24"/>
        </w:rPr>
        <w:t>full_name</w:t>
      </w:r>
      <w:r>
        <w:rPr>
          <w:rFonts w:ascii="Times New Roman" w:hAnsi="Times New Roman" w:cs="Times New Roman" w:eastAsia="Times New Roman"/>
          <w:sz w:val="24"/>
        </w:rPr>
        <w:t xml:space="preserve">, </w:t>
      </w:r>
      <w:r>
        <w:rPr>
          <w:rFonts w:ascii="Times New Roman" w:hAnsi="Times New Roman" w:cs="Times New Roman" w:eastAsia="Times New Roman"/>
          <w:i/>
          <w:sz w:val="24"/>
        </w:rPr>
        <w:t>avatar_url</w:t>
      </w:r>
      <w:r>
        <w:rPr>
          <w:rFonts w:ascii="Times New Roman" w:hAnsi="Times New Roman" w:cs="Times New Roman" w:eastAsia="Times New Roman"/>
          <w:sz w:val="24"/>
        </w:rPr>
        <w:t xml:space="preserv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created_at</w:t>
      </w:r>
      <w:r>
        <w:rPr>
          <w:rFonts w:ascii="Times New Roman" w:hAnsi="Times New Roman" w:cs="Times New Roman" w:eastAsia="Times New Roman"/>
          <w:sz w:val="24"/>
        </w:rPr>
        <w:t xml:space="preserve">; </w:t>
      </w:r>
      <w:r>
        <w:rPr>
          <w:rFonts w:ascii="Times New Roman" w:hAnsi="Times New Roman" w:cs="Times New Roman" w:eastAsia="Times New Roman"/>
          <w:b/>
          <w:sz w:val="24"/>
        </w:rPr>
        <w:t>omite</w:t>
      </w:r>
      <w:r>
        <w:rPr>
          <w:rFonts w:ascii="Times New Roman" w:hAnsi="Times New Roman" w:cs="Times New Roman" w:eastAsia="Times New Roman"/>
          <w:sz w:val="24"/>
        </w:rPr>
        <w:t xml:space="preserv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phone</w:t>
      </w:r>
      <w:r>
        <w:rPr>
          <w:rFonts w:ascii="Times New Roman" w:hAnsi="Times New Roman" w:cs="Times New Roman" w:eastAsia="Times New Roman"/>
          <w:sz w:val="24"/>
        </w:rPr>
        <w:t>), utilizada para apresentar dados de perfil a usuários não autenticados.</w:t>
      </w:r>
    </w:p>
    <w:p>
      <w:pPr>
        <w:ind w:firstLine="700"/>
        <w:jc w:val="both"/>
      </w:pPr>
      <w:r>
        <w:rPr>
          <w:rFonts w:ascii="Times New Roman" w:hAnsi="Times New Roman" w:cs="Times New Roman" w:eastAsia="Times New Roman"/>
          <w:sz w:val="24"/>
        </w:rPr>
        <w:t xml:space="preserve">As chaves estrangeiras estabelecem as relações: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(prestador) e </w:t>
      </w:r>
      <w:r>
        <w:rPr>
          <w:rFonts w:ascii="Times New Roman" w:hAnsi="Times New Roman" w:cs="Times New Roman" w:eastAsia="Times New Roman"/>
          <w:i/>
          <w:sz w:val="24"/>
        </w:rPr>
        <w:t>categories</w:t>
      </w: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duas vezes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(cliente e prestador);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(cliente e prestador). A tabela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possui a restrição de unicidade (</w:t>
      </w:r>
      <w:r>
        <w:rPr>
          <w:rFonts w:ascii="Times New Roman" w:hAnsi="Times New Roman" w:cs="Times New Roman" w:eastAsia="Times New Roman"/>
          <w:i/>
          <w:sz w:val="24"/>
        </w:rPr>
        <w:t>service_id</w:t>
      </w:r>
      <w:r>
        <w:rPr>
          <w:rFonts w:ascii="Times New Roman" w:hAnsi="Times New Roman" w:cs="Times New Roman" w:eastAsia="Times New Roman"/>
          <w:sz w:val="24"/>
        </w:rPr>
        <w:t xml:space="preserve">, </w:t>
      </w:r>
      <w:r>
        <w:rPr>
          <w:rFonts w:ascii="Times New Roman" w:hAnsi="Times New Roman" w:cs="Times New Roman" w:eastAsia="Times New Roman"/>
          <w:i/>
          <w:sz w:val="24"/>
        </w:rPr>
        <w:t>client_id</w:t>
      </w:r>
      <w:r>
        <w:rPr>
          <w:rFonts w:ascii="Times New Roman" w:hAnsi="Times New Roman" w:cs="Times New Roman" w:eastAsia="Times New Roman"/>
          <w:sz w:val="24"/>
        </w:rPr>
        <w:t>), garantindo no máximo uma avaliação por cliente por serviço. O DER e o dicionário de dados constam do material suplementar (VIEIRA; COSTA, 2026a, Figura A.1 e Tabelas A.1 a A.7).</w:t>
      </w:r>
    </w:p>
    <w:p>
      <w:pPr>
        <w:jc w:val="left"/>
      </w:pPr>
      <w:r>
        <w:rPr>
          <w:rFonts w:ascii="Times New Roman" w:hAnsi="Times New Roman" w:cs="Times New Roman" w:eastAsia="Times New Roman"/>
          <w:b/>
          <w:sz w:val="24"/>
        </w:rPr>
        <w:t>4.5 Fluxos principais</w:t>
      </w:r>
    </w:p>
    <w:p>
      <w:pPr>
        <w:jc w:val="left"/>
      </w:pPr>
      <w:r>
        <w:rPr>
          <w:rFonts w:ascii="Times New Roman" w:hAnsi="Times New Roman" w:cs="Times New Roman" w:eastAsia="Times New Roman"/>
          <w:b/>
          <w:sz w:val="24"/>
        </w:rPr>
        <w:t>4.5.1 Autenticação</w:t>
      </w:r>
    </w:p>
    <w:p>
      <w:pPr>
        <w:ind w:firstLine="700"/>
        <w:jc w:val="both"/>
      </w:pPr>
      <w:r>
        <w:rPr>
          <w:rFonts w:ascii="Times New Roman" w:hAnsi="Times New Roman" w:cs="Times New Roman" w:eastAsia="Times New Roman"/>
          <w:sz w:val="24"/>
        </w:rPr>
        <w:t>O cadastro (</w:t>
      </w:r>
      <w:r>
        <w:rPr>
          <w:rFonts w:ascii="Times New Roman" w:hAnsi="Times New Roman" w:cs="Times New Roman" w:eastAsia="Times New Roman"/>
          <w:i/>
          <w:sz w:val="24"/>
        </w:rPr>
        <w:t>Auth.tsx</w:t>
      </w:r>
      <w:r>
        <w:rPr>
          <w:rFonts w:ascii="Times New Roman" w:hAnsi="Times New Roman" w:cs="Times New Roman" w:eastAsia="Times New Roman"/>
          <w:sz w:val="24"/>
        </w:rPr>
        <w:t xml:space="preserve">) chama </w:t>
      </w:r>
      <w:r>
        <w:rPr>
          <w:rFonts w:ascii="Times New Roman" w:hAnsi="Times New Roman" w:cs="Times New Roman" w:eastAsia="Times New Roman"/>
          <w:i/>
          <w:sz w:val="24"/>
        </w:rPr>
        <w:t>supabase.auth.signUp</w:t>
      </w:r>
      <w:r>
        <w:rPr>
          <w:rFonts w:ascii="Times New Roman" w:hAnsi="Times New Roman" w:cs="Times New Roman" w:eastAsia="Times New Roman"/>
          <w:sz w:val="24"/>
        </w:rPr>
        <w:t xml:space="preserve">, fornecendo </w:t>
      </w:r>
      <w:r>
        <w:rPr>
          <w:rFonts w:ascii="Times New Roman" w:hAnsi="Times New Roman" w:cs="Times New Roman" w:eastAsia="Times New Roman"/>
          <w:i/>
          <w:sz w:val="24"/>
        </w:rPr>
        <w:t>full_name</w:t>
      </w:r>
      <w:r>
        <w:rPr>
          <w:rFonts w:ascii="Times New Roman" w:hAnsi="Times New Roman" w:cs="Times New Roman" w:eastAsia="Times New Roman"/>
          <w:sz w:val="24"/>
        </w:rPr>
        <w:t xml:space="preserve"> 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em metadados. O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on_auth_user_created</w:t>
      </w:r>
      <w:r>
        <w:rPr>
          <w:rFonts w:ascii="Times New Roman" w:hAnsi="Times New Roman" w:cs="Times New Roman" w:eastAsia="Times New Roman"/>
          <w:sz w:val="24"/>
        </w:rPr>
        <w:t xml:space="preserve"> materializa, de forma idempotente, a linha correspondente em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O </w:t>
      </w:r>
      <w:r>
        <w:rPr>
          <w:rFonts w:ascii="Times New Roman" w:hAnsi="Times New Roman" w:cs="Times New Roman" w:eastAsia="Times New Roman"/>
          <w:i/>
          <w:sz w:val="24"/>
        </w:rPr>
        <w:t>AuthContext</w:t>
      </w:r>
      <w:r>
        <w:rPr>
          <w:rFonts w:ascii="Times New Roman" w:hAnsi="Times New Roman" w:cs="Times New Roman" w:eastAsia="Times New Roman"/>
          <w:sz w:val="24"/>
        </w:rPr>
        <w:t xml:space="preserve"> assina </w:t>
      </w:r>
      <w:r>
        <w:rPr>
          <w:rFonts w:ascii="Times New Roman" w:hAnsi="Times New Roman" w:cs="Times New Roman" w:eastAsia="Times New Roman"/>
          <w:i/>
          <w:sz w:val="24"/>
        </w:rPr>
        <w:t>onAuthStateChange</w:t>
      </w:r>
      <w:r>
        <w:rPr>
          <w:rFonts w:ascii="Times New Roman" w:hAnsi="Times New Roman" w:cs="Times New Roman" w:eastAsia="Times New Roman"/>
          <w:sz w:val="24"/>
        </w:rPr>
        <w:t xml:space="preserve"> e carrega o perfil do usuário autenticado (VIEIRA; COSTA, 2026a, Figura A.4).</w:t>
      </w:r>
    </w:p>
    <w:p>
      <w:pPr>
        <w:jc w:val="left"/>
      </w:pPr>
      <w:r>
        <w:rPr>
          <w:rFonts w:ascii="Times New Roman" w:hAnsi="Times New Roman" w:cs="Times New Roman" w:eastAsia="Times New Roman"/>
          <w:b/>
          <w:sz w:val="24"/>
        </w:rPr>
        <w:t>4.5.2 Cadastro e busca de serviços</w:t>
      </w:r>
    </w:p>
    <w:p>
      <w:pPr>
        <w:ind w:firstLine="700"/>
        <w:jc w:val="both"/>
      </w:pPr>
      <w:r>
        <w:rPr>
          <w:rFonts w:ascii="Times New Roman" w:hAnsi="Times New Roman" w:cs="Times New Roman" w:eastAsia="Times New Roman"/>
          <w:sz w:val="24"/>
        </w:rPr>
        <w:t xml:space="preserve">Prestadores criam, editam e removem serviços pelo </w:t>
      </w:r>
      <w:r>
        <w:rPr>
          <w:rFonts w:ascii="Times New Roman" w:hAnsi="Times New Roman" w:cs="Times New Roman" w:eastAsia="Times New Roman"/>
          <w:i/>
          <w:sz w:val="24"/>
        </w:rPr>
        <w:t>ServiceForm</w:t>
      </w:r>
      <w:r>
        <w:rPr>
          <w:rFonts w:ascii="Times New Roman" w:hAnsi="Times New Roman" w:cs="Times New Roman" w:eastAsia="Times New Roman"/>
          <w:sz w:val="24"/>
        </w:rPr>
        <w:t xml:space="preserve"> no </w:t>
      </w:r>
      <w:r>
        <w:rPr>
          <w:rFonts w:ascii="Times New Roman" w:hAnsi="Times New Roman" w:cs="Times New Roman" w:eastAsia="Times New Roman"/>
          <w:i/>
          <w:sz w:val="24"/>
        </w:rPr>
        <w:t>ProviderDashboard</w:t>
      </w:r>
      <w:r>
        <w:rPr>
          <w:rFonts w:ascii="Times New Roman" w:hAnsi="Times New Roman" w:cs="Times New Roman" w:eastAsia="Times New Roman"/>
          <w:sz w:val="24"/>
        </w:rPr>
        <w:t>, com validação Zod. A busca (</w:t>
      </w:r>
      <w:r>
        <w:rPr>
          <w:rFonts w:ascii="Times New Roman" w:hAnsi="Times New Roman" w:cs="Times New Roman" w:eastAsia="Times New Roman"/>
          <w:i/>
          <w:sz w:val="24"/>
        </w:rPr>
        <w:t>Services.tsx</w:t>
      </w:r>
      <w:r>
        <w:rPr>
          <w:rFonts w:ascii="Times New Roman" w:hAnsi="Times New Roman" w:cs="Times New Roman" w:eastAsia="Times New Roman"/>
          <w:sz w:val="24"/>
        </w:rPr>
        <w:t>) consulta serviços ativos (</w:t>
      </w:r>
      <w:r>
        <w:rPr>
          <w:rFonts w:ascii="Times New Roman" w:hAnsi="Times New Roman" w:cs="Times New Roman" w:eastAsia="Times New Roman"/>
          <w:i/>
          <w:sz w:val="24"/>
        </w:rPr>
        <w:t>is_active = true</w:t>
      </w:r>
      <w:r>
        <w:rPr>
          <w:rFonts w:ascii="Times New Roman" w:hAnsi="Times New Roman" w:cs="Times New Roman" w:eastAsia="Times New Roman"/>
          <w:sz w:val="24"/>
        </w:rPr>
        <w:t xml:space="preserve">), com filtro por categoria e por título, paginação e ordenação por </w:t>
      </w:r>
      <w:r>
        <w:rPr>
          <w:rFonts w:ascii="Times New Roman" w:hAnsi="Times New Roman" w:cs="Times New Roman" w:eastAsia="Times New Roman"/>
          <w:b/>
          <w:sz w:val="24"/>
        </w:rPr>
        <w:t>recência</w:t>
      </w:r>
      <w:r>
        <w:rPr>
          <w:rFonts w:ascii="Times New Roman" w:hAnsi="Times New Roman" w:cs="Times New Roman" w:eastAsia="Times New Roman"/>
          <w:sz w:val="24"/>
        </w:rPr>
        <w:t xml:space="preserve">, </w:t>
      </w:r>
      <w:r>
        <w:rPr>
          <w:rFonts w:ascii="Times New Roman" w:hAnsi="Times New Roman" w:cs="Times New Roman" w:eastAsia="Times New Roman"/>
          <w:b/>
          <w:sz w:val="24"/>
        </w:rPr>
        <w:t>avaliação</w:t>
      </w:r>
      <w:r>
        <w:rPr>
          <w:rFonts w:ascii="Times New Roman" w:hAnsi="Times New Roman" w:cs="Times New Roman" w:eastAsia="Times New Roman"/>
          <w:sz w:val="24"/>
        </w:rPr>
        <w:t xml:space="preserve"> ou </w:t>
      </w:r>
      <w:r>
        <w:rPr>
          <w:rFonts w:ascii="Times New Roman" w:hAnsi="Times New Roman" w:cs="Times New Roman" w:eastAsia="Times New Roman"/>
          <w:b/>
          <w:sz w:val="24"/>
        </w:rPr>
        <w:t>popularidade</w:t>
      </w:r>
      <w:r>
        <w:rPr>
          <w:rFonts w:ascii="Times New Roman" w:hAnsi="Times New Roman" w:cs="Times New Roman" w:eastAsia="Times New Roman"/>
          <w:sz w:val="24"/>
        </w:rPr>
        <w:t xml:space="preserve"> — estas duas últimas apoiadas na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Cabe destacar que a recomendação de serviços, no Hubservi, resume-se a essa ordenação por popularidade e avaliação, constituindo módulo secundário e não o foco deste trabalho.</w:t>
      </w:r>
    </w:p>
    <w:p>
      <w:pPr>
        <w:jc w:val="left"/>
      </w:pPr>
      <w:r>
        <w:rPr>
          <w:rFonts w:ascii="Times New Roman" w:hAnsi="Times New Roman" w:cs="Times New Roman" w:eastAsia="Times New Roman"/>
          <w:b/>
          <w:sz w:val="24"/>
        </w:rPr>
        <w:t>4.5.3 Contratação (booking)</w:t>
      </w:r>
    </w:p>
    <w:p>
      <w:pPr>
        <w:ind w:firstLine="700"/>
        <w:jc w:val="both"/>
      </w:pPr>
      <w:r>
        <w:rPr>
          <w:rFonts w:ascii="Times New Roman" w:hAnsi="Times New Roman" w:cs="Times New Roman" w:eastAsia="Times New Roman"/>
          <w:sz w:val="24"/>
        </w:rPr>
        <w:t>A solicitação (</w:t>
      </w:r>
      <w:r>
        <w:rPr>
          <w:rFonts w:ascii="Times New Roman" w:hAnsi="Times New Roman" w:cs="Times New Roman" w:eastAsia="Times New Roman"/>
          <w:i/>
          <w:sz w:val="24"/>
        </w:rPr>
        <w:t>BookingDialog</w:t>
      </w:r>
      <w:r>
        <w:rPr>
          <w:rFonts w:ascii="Times New Roman" w:hAnsi="Times New Roman" w:cs="Times New Roman" w:eastAsia="Times New Roman"/>
          <w:sz w:val="24"/>
        </w:rPr>
        <w:t xml:space="preserve">) insere um registro em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com </w:t>
      </w:r>
      <w:r>
        <w:rPr>
          <w:rFonts w:ascii="Times New Roman" w:hAnsi="Times New Roman" w:cs="Times New Roman" w:eastAsia="Times New Roman"/>
          <w:i/>
          <w:sz w:val="24"/>
        </w:rPr>
        <w:t>status = 'pending'</w:t>
      </w:r>
      <w:r>
        <w:rPr>
          <w:rFonts w:ascii="Times New Roman" w:hAnsi="Times New Roman" w:cs="Times New Roman" w:eastAsia="Times New Roman"/>
          <w:sz w:val="24"/>
        </w:rPr>
        <w:t>. O cliente acompanha e pode cancelar solicitações pendentes; o prestador aceita, rejeita, conclui ou cancela (VIEIRA; COSTA, 2026a, Figuras A.5 e A.9).</w:t>
      </w:r>
    </w:p>
    <w:p>
      <w:pPr>
        <w:jc w:val="left"/>
      </w:pPr>
      <w:r>
        <w:rPr>
          <w:rFonts w:ascii="Times New Roman" w:hAnsi="Times New Roman" w:cs="Times New Roman" w:eastAsia="Times New Roman"/>
          <w:b/>
          <w:sz w:val="24"/>
        </w:rPr>
        <w:t>4.5.4 Avaliação (review)</w:t>
      </w:r>
    </w:p>
    <w:p>
      <w:pPr>
        <w:ind w:firstLine="700"/>
        <w:jc w:val="both"/>
      </w:pPr>
      <w:r>
        <w:rPr>
          <w:rFonts w:ascii="Times New Roman" w:hAnsi="Times New Roman" w:cs="Times New Roman" w:eastAsia="Times New Roman"/>
          <w:sz w:val="24"/>
        </w:rPr>
        <w:t xml:space="preserve">Concluído um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o cliente pode registrar uma avaliação (nota de 1 a 5 e comentário) pelo </w:t>
      </w:r>
      <w:r>
        <w:rPr>
          <w:rFonts w:ascii="Times New Roman" w:hAnsi="Times New Roman" w:cs="Times New Roman" w:eastAsia="Times New Roman"/>
          <w:i/>
          <w:sz w:val="24"/>
        </w:rPr>
        <w:t>ReviewForm</w:t>
      </w:r>
      <w:r>
        <w:rPr>
          <w:rFonts w:ascii="Times New Roman" w:hAnsi="Times New Roman" w:cs="Times New Roman" w:eastAsia="Times New Roman"/>
          <w:sz w:val="24"/>
        </w:rPr>
        <w:t xml:space="preserve"> (VIEIRA; COSTA, 2026a, Figura A.6).</w:t>
      </w:r>
    </w:p>
    <w:p>
      <w:pPr>
        <w:jc w:val="left"/>
      </w:pPr>
      <w:r>
        <w:rPr>
          <w:rFonts w:ascii="Times New Roman" w:hAnsi="Times New Roman" w:cs="Times New Roman" w:eastAsia="Times New Roman"/>
          <w:b/>
          <w:sz w:val="24"/>
        </w:rPr>
        <w:t>4.6 Regras de negócio residentes no banco</w:t>
      </w:r>
    </w:p>
    <w:p>
      <w:pPr>
        <w:ind w:firstLine="700"/>
        <w:jc w:val="both"/>
      </w:pPr>
      <w:r>
        <w:rPr>
          <w:rFonts w:ascii="Times New Roman" w:hAnsi="Times New Roman" w:cs="Times New Roman" w:eastAsia="Times New Roman"/>
          <w:sz w:val="24"/>
        </w:rPr>
        <w:t xml:space="preserve">Boa parte das invariantes do domínio é imposta no servidor por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restrições, e não apenas no cliente — característica marcante do paradigma BaaS.</w:t>
      </w:r>
    </w:p>
    <w:p>
      <w:pPr>
        <w:jc w:val="left"/>
      </w:pPr>
      <w:r>
        <w:rPr>
          <w:rFonts w:ascii="Times New Roman" w:hAnsi="Times New Roman" w:cs="Times New Roman" w:eastAsia="Times New Roman"/>
          <w:b/>
          <w:sz w:val="24"/>
        </w:rPr>
        <w:t>Tabela 5 — Regras de negócio implementadas no banco de dados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Regra</w:t>
            </w:r>
          </w:p>
        </w:tc>
        <w:tc>
          <w:tcPr>
            <w:tcW w:type="dxa" w:w="3024"/>
            <w:tcBorders>
              <w:bottom w:val="single" w:sz="8" w:space="0" w:color="auto"/>
            </w:tcBorders>
          </w:tcPr>
          <w:p>
            <w:pPr>
              <w:jc w:val="left"/>
            </w:pPr>
            <w:r>
              <w:rPr>
                <w:rFonts w:ascii="Times New Roman" w:hAnsi="Times New Roman" w:cs="Times New Roman" w:eastAsia="Times New Roman"/>
                <w:b/>
                <w:sz w:val="20"/>
              </w:rPr>
              <w:t>Mecanismo</w:t>
            </w:r>
          </w:p>
        </w:tc>
        <w:tc>
          <w:tcPr>
            <w:tcW w:type="dxa" w:w="3024"/>
            <w:tcBorders>
              <w:bottom w:val="single" w:sz="8" w:space="0" w:color="auto"/>
            </w:tcBorders>
          </w:tcPr>
          <w:p>
            <w:pPr>
              <w:jc w:val="left"/>
            </w:pPr>
            <w:r>
              <w:rPr>
                <w:rFonts w:ascii="Times New Roman" w:hAnsi="Times New Roman" w:cs="Times New Roman" w:eastAsia="Times New Roman"/>
                <w:b/>
                <w:sz w:val="20"/>
              </w:rPr>
              <w:t>Fonte</w:t>
            </w:r>
          </w:p>
        </w:tc>
      </w:tr>
      <w:tr>
        <w:tc>
          <w:tcPr>
            <w:tcW w:type="dxa" w:w="3024"/>
          </w:tcPr>
          <w:p>
            <w:pPr>
              <w:jc w:val="left"/>
            </w:pPr>
            <w:r>
              <w:rPr>
                <w:rFonts w:ascii="Times New Roman" w:hAnsi="Times New Roman" w:cs="Times New Roman" w:eastAsia="Times New Roman"/>
                <w:sz w:val="20"/>
              </w:rPr>
              <w:t>Provisão automática de perfil no cadastro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on_auth_user_created</w:t>
            </w:r>
            <w:r>
              <w:rPr>
                <w:rFonts w:ascii="Times New Roman" w:hAnsi="Times New Roman" w:cs="Times New Roman" w:eastAsia="Times New Roman"/>
                <w:sz w:val="20"/>
              </w:rPr>
              <w:t xml:space="preserve"> para </w:t>
            </w:r>
            <w:r>
              <w:rPr>
                <w:rFonts w:ascii="Times New Roman" w:hAnsi="Times New Roman" w:cs="Times New Roman" w:eastAsia="Times New Roman"/>
                <w:i/>
                <w:sz w:val="20"/>
              </w:rPr>
              <w:t>handle_new_user()</w:t>
            </w:r>
            <w:r>
              <w:rPr>
                <w:rFonts w:ascii="Times New Roman" w:hAnsi="Times New Roman" w:cs="Times New Roman" w:eastAsia="Times New Roman"/>
                <w:sz w:val="20"/>
              </w:rPr>
              <w:t xml:space="preserve"> (idempotente, </w:t>
            </w:r>
            <w:r>
              <w:rPr>
                <w:rFonts w:ascii="Times New Roman" w:hAnsi="Times New Roman" w:cs="Times New Roman" w:eastAsia="Times New Roman"/>
                <w:i/>
                <w:sz w:val="20"/>
              </w:rPr>
              <w:t>SECURITY DEFINER</w:t>
            </w:r>
            <w:r>
              <w:rPr>
                <w:rFonts w:ascii="Times New Roman" w:hAnsi="Times New Roman" w:cs="Times New Roman" w:eastAsia="Times New Roman"/>
                <w:sz w:val="20"/>
              </w:rPr>
              <w:t>)</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 </w:t>
            </w:r>
            <w:r>
              <w:rPr>
                <w:rFonts w:ascii="Times New Roman" w:hAnsi="Times New Roman" w:cs="Times New Roman" w:eastAsia="Times New Roman"/>
                <w:i/>
                <w:sz w:val="20"/>
              </w:rPr>
              <w:t>20260316201000</w:t>
            </w:r>
          </w:p>
        </w:tc>
      </w:tr>
      <w:tr>
        <w:tc>
          <w:tcPr>
            <w:tcW w:type="dxa" w:w="3024"/>
          </w:tcPr>
          <w:p>
            <w:pPr>
              <w:jc w:val="left"/>
            </w:pPr>
            <w:r>
              <w:rPr>
                <w:rFonts w:ascii="Times New Roman" w:hAnsi="Times New Roman" w:cs="Times New Roman" w:eastAsia="Times New Roman"/>
                <w:i/>
                <w:sz w:val="20"/>
              </w:rPr>
              <w:t>updated_at</w:t>
            </w:r>
            <w:r>
              <w:rPr>
                <w:rFonts w:ascii="Times New Roman" w:hAnsi="Times New Roman" w:cs="Times New Roman" w:eastAsia="Times New Roman"/>
                <w:sz w:val="20"/>
              </w:rPr>
              <w:t xml:space="preserve"> atualizado a cada alteração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update_updated_at_column()</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w:t>
            </w:r>
          </w:p>
        </w:tc>
      </w:tr>
      <w:tr>
        <w:tc>
          <w:tcPr>
            <w:tcW w:type="dxa" w:w="3024"/>
          </w:tcPr>
          <w:p>
            <w:pPr>
              <w:jc w:val="left"/>
            </w:pPr>
            <w:r>
              <w:rPr>
                <w:rFonts w:ascii="Times New Roman" w:hAnsi="Times New Roman" w:cs="Times New Roman" w:eastAsia="Times New Roman"/>
                <w:sz w:val="20"/>
              </w:rPr>
              <w:t xml:space="preserve">Máquina de estados do </w:t>
            </w:r>
            <w:r>
              <w:rPr>
                <w:rFonts w:ascii="Times New Roman" w:hAnsi="Times New Roman" w:cs="Times New Roman" w:eastAsia="Times New Roman"/>
                <w:i/>
                <w:sz w:val="20"/>
              </w:rPr>
              <w:t>booking</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validate_booking_status_transition()</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 </w:t>
            </w:r>
            <w:r>
              <w:rPr>
                <w:rFonts w:ascii="Times New Roman" w:hAnsi="Times New Roman" w:cs="Times New Roman" w:eastAsia="Times New Roman"/>
                <w:i/>
                <w:sz w:val="20"/>
              </w:rPr>
              <w:t>20260528000000</w:t>
            </w:r>
          </w:p>
        </w:tc>
      </w:tr>
      <w:tr>
        <w:tc>
          <w:tcPr>
            <w:tcW w:type="dxa" w:w="3024"/>
          </w:tcPr>
          <w:p>
            <w:pPr>
              <w:jc w:val="left"/>
            </w:pPr>
            <w:r>
              <w:rPr>
                <w:rFonts w:ascii="Times New Roman" w:hAnsi="Times New Roman" w:cs="Times New Roman" w:eastAsia="Times New Roman"/>
                <w:sz w:val="20"/>
              </w:rPr>
              <w:t xml:space="preserve">Imutabilidade do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(anti-escalonamento de privilégio)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prevent_user_type_change()</w:t>
            </w:r>
          </w:p>
        </w:tc>
        <w:tc>
          <w:tcPr>
            <w:tcW w:type="dxa" w:w="3024"/>
          </w:tcPr>
          <w:p>
            <w:pPr>
              <w:jc w:val="left"/>
            </w:pPr>
            <w:r>
              <w:rPr>
                <w:rFonts w:ascii="Times New Roman" w:hAnsi="Times New Roman" w:cs="Times New Roman" w:eastAsia="Times New Roman"/>
                <w:i/>
                <w:sz w:val="20"/>
              </w:rPr>
              <w:t>20260514100000</w:t>
            </w:r>
          </w:p>
        </w:tc>
      </w:tr>
      <w:tr>
        <w:tc>
          <w:tcPr>
            <w:tcW w:type="dxa" w:w="3024"/>
          </w:tcPr>
          <w:p>
            <w:pPr>
              <w:jc w:val="left"/>
            </w:pPr>
            <w:r>
              <w:rPr>
                <w:rFonts w:ascii="Times New Roman" w:hAnsi="Times New Roman" w:cs="Times New Roman" w:eastAsia="Times New Roman"/>
                <w:i/>
                <w:sz w:val="20"/>
              </w:rPr>
              <w:t>booking.provider_id</w:t>
            </w:r>
            <w:r>
              <w:rPr>
                <w:rFonts w:ascii="Times New Roman" w:hAnsi="Times New Roman" w:cs="Times New Roman" w:eastAsia="Times New Roman"/>
                <w:sz w:val="20"/>
              </w:rPr>
              <w:t xml:space="preserve"> deve coincidir com o dono do serviço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validate_booking_provider()</w:t>
            </w:r>
          </w:p>
        </w:tc>
        <w:tc>
          <w:tcPr>
            <w:tcW w:type="dxa" w:w="3024"/>
          </w:tcPr>
          <w:p>
            <w:pPr>
              <w:jc w:val="left"/>
            </w:pPr>
            <w:r>
              <w:rPr>
                <w:rFonts w:ascii="Times New Roman" w:hAnsi="Times New Roman" w:cs="Times New Roman" w:eastAsia="Times New Roman"/>
                <w:i/>
                <w:sz w:val="20"/>
              </w:rPr>
              <w:t>20260514100100</w:t>
            </w:r>
          </w:p>
        </w:tc>
      </w:tr>
      <w:tr>
        <w:tc>
          <w:tcPr>
            <w:tcW w:type="dxa" w:w="3024"/>
          </w:tcPr>
          <w:p>
            <w:pPr>
              <w:jc w:val="left"/>
            </w:pPr>
            <w:r>
              <w:rPr>
                <w:rFonts w:ascii="Times New Roman" w:hAnsi="Times New Roman" w:cs="Times New Roman" w:eastAsia="Times New Roman"/>
                <w:i/>
                <w:sz w:val="20"/>
              </w:rPr>
              <w:t>price_max</w:t>
            </w:r>
            <w:r>
              <w:rPr>
                <w:rFonts w:ascii="Times New Roman" w:hAnsi="Times New Roman" w:cs="Times New Roman" w:eastAsia="Times New Roman"/>
                <w:sz w:val="20"/>
              </w:rPr>
              <w:t xml:space="preserve"> maior ou igual a </w:t>
            </w:r>
            <w:r>
              <w:rPr>
                <w:rFonts w:ascii="Times New Roman" w:hAnsi="Times New Roman" w:cs="Times New Roman" w:eastAsia="Times New Roman"/>
                <w:i/>
                <w:sz w:val="20"/>
              </w:rPr>
              <w:t>price_min</w:t>
            </w:r>
          </w:p>
        </w:tc>
        <w:tc>
          <w:tcPr>
            <w:tcW w:type="dxa" w:w="3024"/>
          </w:tcPr>
          <w:p>
            <w:pPr>
              <w:jc w:val="left"/>
            </w:pPr>
            <w:r>
              <w:rPr>
                <w:rFonts w:ascii="Times New Roman" w:hAnsi="Times New Roman" w:cs="Times New Roman" w:eastAsia="Times New Roman"/>
                <w:i/>
                <w:sz w:val="20"/>
              </w:rPr>
              <w:t>constraint</w:t>
            </w:r>
            <w:r>
              <w:rPr>
                <w:rFonts w:ascii="Times New Roman" w:hAnsi="Times New Roman" w:cs="Times New Roman" w:eastAsia="Times New Roman"/>
                <w:sz w:val="20"/>
              </w:rPr>
              <w:t xml:space="preserve"> </w:t>
            </w:r>
            <w:r>
              <w:rPr>
                <w:rFonts w:ascii="Times New Roman" w:hAnsi="Times New Roman" w:cs="Times New Roman" w:eastAsia="Times New Roman"/>
                <w:i/>
                <w:sz w:val="20"/>
              </w:rPr>
              <w:t>services_price_range_check</w:t>
            </w:r>
          </w:p>
        </w:tc>
        <w:tc>
          <w:tcPr>
            <w:tcW w:type="dxa" w:w="3024"/>
          </w:tcPr>
          <w:p>
            <w:pPr>
              <w:jc w:val="left"/>
            </w:pPr>
            <w:r>
              <w:rPr>
                <w:rFonts w:ascii="Times New Roman" w:hAnsi="Times New Roman" w:cs="Times New Roman" w:eastAsia="Times New Roman"/>
                <w:i/>
                <w:sz w:val="20"/>
              </w:rPr>
              <w:t>20260514100300</w:t>
            </w:r>
          </w:p>
        </w:tc>
      </w:tr>
      <w:tr>
        <w:tc>
          <w:tcPr>
            <w:tcW w:type="dxa" w:w="3024"/>
          </w:tcPr>
          <w:p>
            <w:pPr>
              <w:jc w:val="left"/>
            </w:pPr>
            <w:r>
              <w:rPr>
                <w:rFonts w:ascii="Times New Roman" w:hAnsi="Times New Roman" w:cs="Times New Roman" w:eastAsia="Times New Roman"/>
                <w:sz w:val="20"/>
              </w:rPr>
              <w:t xml:space="preserve">Avaliação só após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completed</w:t>
            </w:r>
          </w:p>
        </w:tc>
        <w:tc>
          <w:tcPr>
            <w:tcW w:type="dxa" w:w="3024"/>
          </w:tcPr>
          <w:p>
            <w:pPr>
              <w:jc w:val="left"/>
            </w:pPr>
            <w:r>
              <w:rPr>
                <w:rFonts w:ascii="Times New Roman" w:hAnsi="Times New Roman" w:cs="Times New Roman" w:eastAsia="Times New Roman"/>
                <w:sz w:val="20"/>
              </w:rPr>
              <w:t xml:space="preserve">política RLS de </w:t>
            </w:r>
            <w:r>
              <w:rPr>
                <w:rFonts w:ascii="Times New Roman" w:hAnsi="Times New Roman" w:cs="Times New Roman" w:eastAsia="Times New Roman"/>
                <w:i/>
                <w:sz w:val="20"/>
              </w:rPr>
              <w:t>INSERT</w:t>
            </w:r>
            <w:r>
              <w:rPr>
                <w:rFonts w:ascii="Times New Roman" w:hAnsi="Times New Roman" w:cs="Times New Roman" w:eastAsia="Times New Roman"/>
                <w:sz w:val="20"/>
              </w:rPr>
              <w:t xml:space="preserve"> em </w:t>
            </w: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i/>
                <w:sz w:val="20"/>
              </w:rPr>
              <w:t>20260514100400</w:t>
            </w:r>
          </w:p>
        </w:tc>
      </w:tr>
      <w:tr>
        <w:tc>
          <w:tcPr>
            <w:tcW w:type="dxa" w:w="3024"/>
          </w:tcPr>
          <w:p>
            <w:pPr>
              <w:jc w:val="left"/>
            </w:pPr>
            <w:r>
              <w:rPr>
                <w:rFonts w:ascii="Times New Roman" w:hAnsi="Times New Roman" w:cs="Times New Roman" w:eastAsia="Times New Roman"/>
                <w:sz w:val="20"/>
              </w:rPr>
              <w:t xml:space="preserve">Cliente pode cancelar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pendente</w:t>
            </w:r>
          </w:p>
        </w:tc>
        <w:tc>
          <w:tcPr>
            <w:tcW w:type="dxa" w:w="3024"/>
          </w:tcPr>
          <w:p>
            <w:pPr>
              <w:jc w:val="left"/>
            </w:pPr>
            <w:r>
              <w:rPr>
                <w:rFonts w:ascii="Times New Roman" w:hAnsi="Times New Roman" w:cs="Times New Roman" w:eastAsia="Times New Roman"/>
                <w:sz w:val="20"/>
              </w:rPr>
              <w:t xml:space="preserve">política RLS e transição </w:t>
            </w:r>
            <w:r>
              <w:rPr>
                <w:rFonts w:ascii="Times New Roman" w:hAnsi="Times New Roman" w:cs="Times New Roman" w:eastAsia="Times New Roman"/>
                <w:i/>
                <w:sz w:val="20"/>
              </w:rPr>
              <w:t>pending</w:t>
            </w:r>
            <w:r>
              <w:rPr>
                <w:rFonts w:ascii="Times New Roman" w:hAnsi="Times New Roman" w:cs="Times New Roman" w:eastAsia="Times New Roman"/>
                <w:sz w:val="20"/>
              </w:rPr>
              <w:t xml:space="preserve"> para </w:t>
            </w:r>
            <w:r>
              <w:rPr>
                <w:rFonts w:ascii="Times New Roman" w:hAnsi="Times New Roman" w:cs="Times New Roman" w:eastAsia="Times New Roman"/>
                <w:i/>
                <w:sz w:val="20"/>
              </w:rPr>
              <w:t>cancelled</w:t>
            </w:r>
          </w:p>
        </w:tc>
        <w:tc>
          <w:tcPr>
            <w:tcW w:type="dxa" w:w="3024"/>
          </w:tcPr>
          <w:p>
            <w:pPr>
              <w:jc w:val="left"/>
            </w:pPr>
            <w:r>
              <w:rPr>
                <w:rFonts w:ascii="Times New Roman" w:hAnsi="Times New Roman" w:cs="Times New Roman" w:eastAsia="Times New Roman"/>
                <w:i/>
                <w:sz w:val="20"/>
              </w:rPr>
              <w:t>20260528000000</w:t>
            </w:r>
          </w:p>
        </w:tc>
      </w:tr>
      <w:tr>
        <w:tc>
          <w:tcPr>
            <w:tcW w:type="dxa" w:w="3024"/>
          </w:tcPr>
          <w:p>
            <w:pPr>
              <w:jc w:val="left"/>
            </w:pPr>
            <w:r>
              <w:rPr>
                <w:rFonts w:ascii="Times New Roman" w:hAnsi="Times New Roman" w:cs="Times New Roman" w:eastAsia="Times New Roman"/>
                <w:i/>
                <w:sz w:val="20"/>
              </w:rPr>
              <w:t>review.provider_id</w:t>
            </w:r>
            <w:r>
              <w:rPr>
                <w:rFonts w:ascii="Times New Roman" w:hAnsi="Times New Roman" w:cs="Times New Roman" w:eastAsia="Times New Roman"/>
                <w:sz w:val="20"/>
              </w:rPr>
              <w:t xml:space="preserve"> deve coincidir com o dono do serviço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de validação espelhado (correção reportada em 7.3.2)</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de correção (julho de 2026)</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A máquina de estados do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admite as transições </w:t>
      </w:r>
      <w:r>
        <w:rPr>
          <w:rFonts w:ascii="Times New Roman" w:hAnsi="Times New Roman" w:cs="Times New Roman" w:eastAsia="Times New Roman"/>
          <w:i/>
          <w:sz w:val="24"/>
        </w:rPr>
        <w:t>pending</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rejected</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cancelled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completed</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cancelled</w:t>
      </w:r>
      <w:r>
        <w:rPr>
          <w:rFonts w:ascii="Times New Roman" w:hAnsi="Times New Roman" w:cs="Times New Roman" w:eastAsia="Times New Roman"/>
          <w:sz w:val="24"/>
        </w:rPr>
        <w:t>; transições inválidas resultam em exceção (VIEIRA; COSTA, 2026a, Figura A.10).</w:t>
      </w:r>
    </w:p>
    <w:p>
      <w:pPr>
        <w:jc w:val="left"/>
      </w:pPr>
      <w:r>
        <w:rPr>
          <w:rFonts w:ascii="Times New Roman" w:hAnsi="Times New Roman" w:cs="Times New Roman" w:eastAsia="Times New Roman"/>
          <w:b/>
          <w:sz w:val="24"/>
        </w:rPr>
        <w:t>4.7 Segurança: autorização declarativa via RLS</w:t>
      </w:r>
    </w:p>
    <w:p>
      <w:pPr>
        <w:ind w:firstLine="700"/>
        <w:jc w:val="both"/>
      </w:pPr>
      <w:r>
        <w:rPr>
          <w:rFonts w:ascii="Times New Roman" w:hAnsi="Times New Roman" w:cs="Times New Roman" w:eastAsia="Times New Roman"/>
          <w:sz w:val="24"/>
        </w:rPr>
        <w:t xml:space="preserve">Todas as tabelas têm RLS habilitado. A autorização é expressa por políticas declarativas avaliadas pelo PostgreSQL a cada operação. A Tabela 6 resume as políticas vigentes, já </w:t>
      </w:r>
      <w:r>
        <w:rPr>
          <w:rFonts w:ascii="Times New Roman" w:hAnsi="Times New Roman" w:cs="Times New Roman" w:eastAsia="Times New Roman"/>
          <w:b/>
          <w:sz w:val="24"/>
        </w:rPr>
        <w:t>no estado posterior às correções</w:t>
      </w:r>
      <w:r>
        <w:rPr>
          <w:rFonts w:ascii="Times New Roman" w:hAnsi="Times New Roman" w:cs="Times New Roman" w:eastAsia="Times New Roman"/>
          <w:sz w:val="24"/>
        </w:rPr>
        <w:t xml:space="preserve"> de segurança reportadas na Seção 7.3.2.</w:t>
      </w:r>
    </w:p>
    <w:p>
      <w:pPr>
        <w:jc w:val="left"/>
      </w:pPr>
      <w:r>
        <w:rPr>
          <w:rFonts w:ascii="Times New Roman" w:hAnsi="Times New Roman" w:cs="Times New Roman" w:eastAsia="Times New Roman"/>
          <w:b/>
          <w:sz w:val="24"/>
        </w:rPr>
        <w:t>Tabela 6 — Políticas de Row Level Security por tabela e operação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Tabela</w:t>
            </w:r>
          </w:p>
        </w:tc>
        <w:tc>
          <w:tcPr>
            <w:tcW w:type="dxa" w:w="3024"/>
            <w:tcBorders>
              <w:bottom w:val="single" w:sz="8" w:space="0" w:color="auto"/>
            </w:tcBorders>
          </w:tcPr>
          <w:p>
            <w:pPr>
              <w:jc w:val="left"/>
            </w:pPr>
            <w:r>
              <w:rPr>
                <w:rFonts w:ascii="Times New Roman" w:hAnsi="Times New Roman" w:cs="Times New Roman" w:eastAsia="Times New Roman"/>
                <w:b/>
                <w:sz w:val="20"/>
              </w:rPr>
              <w:t>Operação</w:t>
            </w:r>
          </w:p>
        </w:tc>
        <w:tc>
          <w:tcPr>
            <w:tcW w:type="dxa" w:w="3024"/>
            <w:tcBorders>
              <w:bottom w:val="single" w:sz="8" w:space="0" w:color="auto"/>
            </w:tcBorders>
          </w:tcPr>
          <w:p>
            <w:pPr>
              <w:jc w:val="left"/>
            </w:pPr>
            <w:r>
              <w:rPr>
                <w:rFonts w:ascii="Times New Roman" w:hAnsi="Times New Roman" w:cs="Times New Roman" w:eastAsia="Times New Roman"/>
                <w:b/>
                <w:sz w:val="20"/>
              </w:rPr>
              <w:t>Política (resumo)</w:t>
            </w:r>
          </w:p>
        </w:tc>
      </w:tr>
      <w:tr>
        <w:tc>
          <w:tcPr>
            <w:tcW w:type="dxa" w:w="3024"/>
          </w:tcPr>
          <w:p>
            <w:pPr>
              <w:jc w:val="left"/>
            </w:pPr>
            <w:r>
              <w:rPr>
                <w:rFonts w:ascii="Times New Roman" w:hAnsi="Times New Roman" w:cs="Times New Roman" w:eastAsia="Times New Roman"/>
                <w:i/>
                <w:sz w:val="20"/>
              </w:rPr>
              <w:t>profiles</w:t>
            </w:r>
          </w:p>
        </w:tc>
        <w:tc>
          <w:tcPr>
            <w:tcW w:type="dxa" w:w="3024"/>
          </w:tcPr>
          <w:p>
            <w:pPr>
              <w:jc w:val="left"/>
            </w:pPr>
            <w:r>
              <w:rPr>
                <w:rFonts w:ascii="Times New Roman" w:hAnsi="Times New Roman" w:cs="Times New Roman" w:eastAsia="Times New Roman"/>
                <w:sz w:val="20"/>
              </w:rPr>
              <w:t>SELECT/UPDATE/INSERT</w:t>
            </w:r>
          </w:p>
        </w:tc>
        <w:tc>
          <w:tcPr>
            <w:tcW w:type="dxa" w:w="3024"/>
          </w:tcPr>
          <w:p>
            <w:pPr>
              <w:jc w:val="left"/>
            </w:pPr>
            <w:r>
              <w:rPr>
                <w:rFonts w:ascii="Times New Roman" w:hAnsi="Times New Roman" w:cs="Times New Roman" w:eastAsia="Times New Roman"/>
                <w:sz w:val="20"/>
              </w:rPr>
              <w:t>usuário acessa e edita apenas o próprio perfil (</w:t>
            </w:r>
            <w:r>
              <w:rPr>
                <w:rFonts w:ascii="Times New Roman" w:hAnsi="Times New Roman" w:cs="Times New Roman" w:eastAsia="Times New Roman"/>
                <w:i/>
                <w:sz w:val="20"/>
              </w:rPr>
              <w:t>auth.uid() = id</w:t>
            </w:r>
            <w:r>
              <w:rPr>
                <w:rFonts w:ascii="Times New Roman" w:hAnsi="Times New Roman" w:cs="Times New Roman" w:eastAsia="Times New Roman"/>
                <w:sz w:val="20"/>
              </w:rPr>
              <w:t xml:space="preserve">); dados de contraparte são obtidos pela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public_profiles</w:t>
            </w:r>
            <w:r>
              <w:rPr>
                <w:rFonts w:ascii="Times New Roman" w:hAnsi="Times New Roman" w:cs="Times New Roman" w:eastAsia="Times New Roman"/>
                <w:sz w:val="20"/>
              </w:rPr>
              <w:t>, sem PII</w:t>
            </w:r>
          </w:p>
        </w:tc>
      </w:tr>
      <w:tr>
        <w:tc>
          <w:tcPr>
            <w:tcW w:type="dxa" w:w="3024"/>
          </w:tcPr>
          <w:p>
            <w:pPr>
              <w:jc w:val="left"/>
            </w:pPr>
            <w:r>
              <w:rPr>
                <w:rFonts w:ascii="Times New Roman" w:hAnsi="Times New Roman" w:cs="Times New Roman" w:eastAsia="Times New Roman"/>
                <w:i/>
                <w:sz w:val="20"/>
              </w:rPr>
              <w:t>categories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leitura pública</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qualquer um vê serviços ativos; prestador vê os próprios (ativos ou não)</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sz w:val="20"/>
              </w:rPr>
              <w:t>INSERT/UPDATE/DELETE</w:t>
            </w:r>
          </w:p>
        </w:tc>
        <w:tc>
          <w:tcPr>
            <w:tcW w:type="dxa" w:w="3024"/>
          </w:tcPr>
          <w:p>
            <w:pPr>
              <w:jc w:val="left"/>
            </w:pPr>
            <w:r>
              <w:rPr>
                <w:rFonts w:ascii="Times New Roman" w:hAnsi="Times New Roman" w:cs="Times New Roman" w:eastAsia="Times New Roman"/>
                <w:sz w:val="20"/>
              </w:rPr>
              <w:t>apenas o prestador dono (</w:t>
            </w:r>
            <w:r>
              <w:rPr>
                <w:rFonts w:ascii="Times New Roman" w:hAnsi="Times New Roman" w:cs="Times New Roman" w:eastAsia="Times New Roman"/>
                <w:i/>
                <w:sz w:val="20"/>
              </w:rPr>
              <w:t>auth.uid() = provider_id</w:t>
            </w:r>
            <w:r>
              <w:rPr>
                <w:rFonts w:ascii="Times New Roman" w:hAnsi="Times New Roman" w:cs="Times New Roman" w:eastAsia="Times New Roman"/>
                <w:sz w:val="20"/>
              </w:rPr>
              <w:t>)</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cliente vê os próprios; prestador vê os próprios</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INSERT</w:t>
            </w:r>
          </w:p>
        </w:tc>
        <w:tc>
          <w:tcPr>
            <w:tcW w:type="dxa" w:w="3024"/>
          </w:tcPr>
          <w:p>
            <w:pPr>
              <w:jc w:val="left"/>
            </w:pPr>
            <w:r>
              <w:rPr>
                <w:rFonts w:ascii="Times New Roman" w:hAnsi="Times New Roman" w:cs="Times New Roman" w:eastAsia="Times New Roman"/>
                <w:sz w:val="20"/>
              </w:rPr>
              <w:t>apenas o cliente (</w:t>
            </w:r>
            <w:r>
              <w:rPr>
                <w:rFonts w:ascii="Times New Roman" w:hAnsi="Times New Roman" w:cs="Times New Roman" w:eastAsia="Times New Roman"/>
                <w:i/>
                <w:sz w:val="20"/>
              </w:rPr>
              <w:t>auth.uid() = client_id</w:t>
            </w:r>
            <w:r>
              <w:rPr>
                <w:rFonts w:ascii="Times New Roman" w:hAnsi="Times New Roman" w:cs="Times New Roman" w:eastAsia="Times New Roman"/>
                <w:sz w:val="20"/>
              </w:rPr>
              <w:t>)</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UPDATE</w:t>
            </w:r>
          </w:p>
        </w:tc>
        <w:tc>
          <w:tcPr>
            <w:tcW w:type="dxa" w:w="3024"/>
          </w:tcPr>
          <w:p>
            <w:pPr>
              <w:jc w:val="left"/>
            </w:pPr>
            <w:r>
              <w:rPr>
                <w:rFonts w:ascii="Times New Roman" w:hAnsi="Times New Roman" w:cs="Times New Roman" w:eastAsia="Times New Roman"/>
                <w:sz w:val="20"/>
              </w:rPr>
              <w:t>prestador altera status; cliente pode cancelar apenas os próprios pendentes</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leitura pública</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INSERT</w:t>
            </w:r>
          </w:p>
        </w:tc>
        <w:tc>
          <w:tcPr>
            <w:tcW w:type="dxa" w:w="3024"/>
          </w:tcPr>
          <w:p>
            <w:pPr>
              <w:jc w:val="left"/>
            </w:pPr>
            <w:r>
              <w:rPr>
                <w:rFonts w:ascii="Times New Roman" w:hAnsi="Times New Roman" w:cs="Times New Roman" w:eastAsia="Times New Roman"/>
                <w:sz w:val="20"/>
              </w:rPr>
              <w:t xml:space="preserve">cliente com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completed</w:t>
            </w:r>
            <w:r>
              <w:rPr>
                <w:rFonts w:ascii="Times New Roman" w:hAnsi="Times New Roman" w:cs="Times New Roman" w:eastAsia="Times New Roman"/>
                <w:sz w:val="20"/>
              </w:rPr>
              <w:t xml:space="preserve"> no serviço; </w:t>
            </w:r>
            <w:r>
              <w:rPr>
                <w:rFonts w:ascii="Times New Roman" w:hAnsi="Times New Roman" w:cs="Times New Roman" w:eastAsia="Times New Roman"/>
                <w:i/>
                <w:sz w:val="20"/>
              </w:rPr>
              <w:t>provider_id</w:t>
            </w:r>
            <w:r>
              <w:rPr>
                <w:rFonts w:ascii="Times New Roman" w:hAnsi="Times New Roman" w:cs="Times New Roman" w:eastAsia="Times New Roman"/>
                <w:sz w:val="20"/>
              </w:rPr>
              <w:t xml:space="preserve"> validado por </w:t>
            </w:r>
            <w:r>
              <w:rPr>
                <w:rFonts w:ascii="Times New Roman" w:hAnsi="Times New Roman" w:cs="Times New Roman" w:eastAsia="Times New Roman"/>
                <w:i/>
                <w:sz w:val="20"/>
              </w:rPr>
              <w:t>trigger</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UPDATE/DELETE</w:t>
            </w:r>
          </w:p>
        </w:tc>
        <w:tc>
          <w:tcPr>
            <w:tcW w:type="dxa" w:w="3024"/>
          </w:tcPr>
          <w:p>
            <w:pPr>
              <w:jc w:val="left"/>
            </w:pPr>
            <w:r>
              <w:rPr>
                <w:rFonts w:ascii="Times New Roman" w:hAnsi="Times New Roman" w:cs="Times New Roman" w:eastAsia="Times New Roman"/>
                <w:sz w:val="20"/>
              </w:rPr>
              <w:t>apenas o autor (</w:t>
            </w:r>
            <w:r>
              <w:rPr>
                <w:rFonts w:ascii="Times New Roman" w:hAnsi="Times New Roman" w:cs="Times New Roman" w:eastAsia="Times New Roman"/>
                <w:i/>
                <w:sz w:val="20"/>
              </w:rPr>
              <w:t>auth.uid() = client_id</w:t>
            </w: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A proteção de dados pessoais (e-mail e telefone) é assegurada pela restrição da leitura direta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ao próprio registro, combinada à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para consumo por terceiros e por usuários anônimos. Registre-se que essa configuração é resultado da avaliação: a política originalmente vigente admitia leitura por qualquer usuário autenticado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defeito detectado e corrigido conforme a Seção 7.3.2. Esse arranjo — autorização concentrada em políticas declarativas — é precisamente o ponto que a avaliação de segurança (Seções 5 e 6) exercitou de forma sistemática.</w:t>
      </w:r>
    </w:p>
    <w:p>
      <w:pPr>
        <w:jc w:val="left"/>
      </w:pPr>
      <w:r>
        <w:rPr>
          <w:rFonts w:ascii="Times New Roman" w:hAnsi="Times New Roman" w:cs="Times New Roman" w:eastAsia="Times New Roman"/>
          <w:b/>
          <w:sz w:val="24"/>
        </w:rPr>
        <w:t>4.8 Síntese arquitetural</w:t>
      </w:r>
    </w:p>
    <w:p>
      <w:pPr>
        <w:ind w:firstLine="700"/>
        <w:jc w:val="both"/>
      </w:pPr>
      <w:r>
        <w:rPr>
          <w:rFonts w:ascii="Times New Roman" w:hAnsi="Times New Roman" w:cs="Times New Roman" w:eastAsia="Times New Roman"/>
          <w:sz w:val="24"/>
        </w:rPr>
        <w:t xml:space="preserve">O Hubservi exemplifica os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característicos do paradigma BaaS/Serverless: ganha-se simplicidade operacional e velocidade de desenvolvimento ao delegar autenticação, persistência e autorização a serviços gerenciados, ao custo de concentrar a correção da segurança em configurações declarativas e de transferir parte do desempenho percebido para o cliente e para a latência das chamadas ao serviço. Esses pontos orientaram o planejamento experimental apresentado a seguir.</w:t>
      </w:r>
    </w:p>
    <w:p>
      <w:pPr>
        <w:jc w:val="left"/>
      </w:pPr>
      <w:r>
        <w:rPr>
          <w:rFonts w:ascii="Times New Roman" w:hAnsi="Times New Roman" w:cs="Times New Roman" w:eastAsia="Times New Roman"/>
          <w:b/>
          <w:sz w:val="24"/>
        </w:rPr>
        <w:t>5 PLANEJAMENTO EXPERIMENTAL</w:t>
      </w:r>
    </w:p>
    <w:p>
      <w:pPr>
        <w:ind w:firstLine="700"/>
        <w:jc w:val="both"/>
      </w:pPr>
      <w:r>
        <w:rPr>
          <w:rFonts w:ascii="Times New Roman" w:hAnsi="Times New Roman" w:cs="Times New Roman" w:eastAsia="Times New Roman"/>
          <w:sz w:val="24"/>
        </w:rPr>
        <w:t xml:space="preserve">Esta seção operacionaliza a avaliação técnica, atendendo aos objetivos específicos 4 a 8. Para cada atributo de qualidade da ISO/IEC 25010 (2011) considerado relevante, definiu-se um conjunto de cenários, métricas, critérios de aceitação e ferramentas. Os critérios aqui apresentados são </w:t>
      </w:r>
      <w:r>
        <w:rPr>
          <w:rFonts w:ascii="Times New Roman" w:hAnsi="Times New Roman" w:cs="Times New Roman" w:eastAsia="Times New Roman"/>
          <w:b/>
          <w:sz w:val="24"/>
        </w:rPr>
        <w:t>metas e limiares de planejamento</w:t>
      </w:r>
      <w:r>
        <w:rPr>
          <w:rFonts w:ascii="Times New Roman" w:hAnsi="Times New Roman" w:cs="Times New Roman" w:eastAsia="Times New Roman"/>
          <w:sz w:val="24"/>
        </w:rPr>
        <w:t>, fixados antes da coleta; os valores efetivamente medidos constam da Seção 7.</w:t>
      </w:r>
    </w:p>
    <w:p>
      <w:pPr>
        <w:jc w:val="left"/>
      </w:pPr>
      <w:r>
        <w:rPr>
          <w:rFonts w:ascii="Times New Roman" w:hAnsi="Times New Roman" w:cs="Times New Roman" w:eastAsia="Times New Roman"/>
          <w:b/>
          <w:sz w:val="24"/>
        </w:rPr>
        <w:t>5.1 Visão geral do procedimento de medição</w:t>
      </w:r>
    </w:p>
    <w:p>
      <w:pPr>
        <w:ind w:firstLine="700"/>
        <w:jc w:val="both"/>
      </w:pPr>
      <w:r>
        <w:rPr>
          <w:rFonts w:ascii="Times New Roman" w:hAnsi="Times New Roman" w:cs="Times New Roman" w:eastAsia="Times New Roman"/>
          <w:sz w:val="24"/>
        </w:rPr>
        <w:t>O procedimento encadeia atributo de qualidade, cenário em seis partes, métrica, critério de aceitação, ferramenta, coleta e registro, e análise em face do critério, conforme a Figura 2.</w:t>
      </w:r>
    </w:p>
    <w:p>
      <w:pPr>
        <w:jc w:val="center"/>
      </w:pPr>
      <w:r>
        <w:rPr>
          <w:rFonts w:ascii="Times New Roman" w:hAnsi="Times New Roman" w:cs="Times New Roman" w:eastAsia="Times New Roman"/>
          <w:b/>
          <w:sz w:val="24"/>
        </w:rPr>
        <w:t>Figura 2 — Procedimento de medição adotado</w:t>
      </w:r>
    </w:p>
    <w:p>
      <w:pPr>
        <w:jc w:val="center"/>
      </w:pPr>
      <w:r>
        <w:drawing>
          <wp:inline xmlns:a="http://schemas.openxmlformats.org/drawingml/2006/main" xmlns:pic="http://schemas.openxmlformats.org/drawingml/2006/picture">
            <wp:extent cx="5577840" cy="28492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77840" cy="284929"/>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Cada execução de medição registrou: ferramenta e versão, ambiente, configuração, data, valor obtido e veredito (atende ou não atende ao critério). A reprodutibilidade foi assegurada pela fixação de ambiente e parâmetros, conforme a etapa 5 da metodologia (Seção 3.3).</w:t>
      </w:r>
    </w:p>
    <w:p>
      <w:pPr>
        <w:jc w:val="left"/>
      </w:pPr>
      <w:r>
        <w:rPr>
          <w:rFonts w:ascii="Times New Roman" w:hAnsi="Times New Roman" w:cs="Times New Roman" w:eastAsia="Times New Roman"/>
          <w:b/>
          <w:sz w:val="24"/>
        </w:rPr>
        <w:t>5.2 Mapeamento entre atributo, cenário, métrica, critério e ferramenta</w:t>
      </w:r>
    </w:p>
    <w:p>
      <w:pPr>
        <w:ind w:firstLine="700"/>
        <w:jc w:val="both"/>
      </w:pPr>
      <w:r>
        <w:rPr>
          <w:rFonts w:ascii="Times New Roman" w:hAnsi="Times New Roman" w:cs="Times New Roman" w:eastAsia="Times New Roman"/>
          <w:sz w:val="24"/>
        </w:rPr>
        <w:t xml:space="preserve">Os valores da coluna </w:t>
      </w:r>
      <w:r>
        <w:rPr>
          <w:rFonts w:ascii="Times New Roman" w:hAnsi="Times New Roman" w:cs="Times New Roman" w:eastAsia="Times New Roman"/>
          <w:b/>
          <w:sz w:val="24"/>
        </w:rPr>
        <w:t>Critério (meta)</w:t>
      </w:r>
      <w:r>
        <w:rPr>
          <w:rFonts w:ascii="Times New Roman" w:hAnsi="Times New Roman" w:cs="Times New Roman" w:eastAsia="Times New Roman"/>
          <w:sz w:val="24"/>
        </w:rPr>
        <w:t xml:space="preserve"> são alvos de planejamento; não representam resultados medidos. A coluna </w:t>
      </w:r>
      <w:r>
        <w:rPr>
          <w:rFonts w:ascii="Times New Roman" w:hAnsi="Times New Roman" w:cs="Times New Roman" w:eastAsia="Times New Roman"/>
          <w:b/>
          <w:sz w:val="24"/>
        </w:rPr>
        <w:t>Ferramenta</w:t>
      </w:r>
      <w:r>
        <w:rPr>
          <w:rFonts w:ascii="Times New Roman" w:hAnsi="Times New Roman" w:cs="Times New Roman" w:eastAsia="Times New Roman"/>
          <w:sz w:val="24"/>
        </w:rPr>
        <w:t xml:space="preserve"> já registra os substitutos efetivamente utilizados, conforme a Seção 3.4.</w:t>
      </w:r>
    </w:p>
    <w:p>
      <w:pPr>
        <w:jc w:val="left"/>
      </w:pPr>
      <w:r>
        <w:rPr>
          <w:rFonts w:ascii="Times New Roman" w:hAnsi="Times New Roman" w:cs="Times New Roman" w:eastAsia="Times New Roman"/>
          <w:b/>
          <w:sz w:val="24"/>
        </w:rPr>
        <w:t>5.2.1 Segurança</w:t>
      </w:r>
    </w:p>
    <w:p>
      <w:pPr>
        <w:jc w:val="left"/>
      </w:pPr>
      <w:r>
        <w:rPr>
          <w:rFonts w:ascii="Times New Roman" w:hAnsi="Times New Roman" w:cs="Times New Roman" w:eastAsia="Times New Roman"/>
          <w:b/>
          <w:sz w:val="24"/>
        </w:rPr>
        <w:t>Tabela 7 — Cenários, métricas e critérios de segurança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Usuário tenta ler ou alterar dados de outro usuário (</w:t>
            </w:r>
            <w:r>
              <w:rPr>
                <w:rFonts w:ascii="Times New Roman" w:hAnsi="Times New Roman" w:cs="Times New Roman" w:eastAsia="Times New Roman"/>
                <w:i/>
                <w:sz w:val="20"/>
              </w:rPr>
              <w:t>booking</w:t>
            </w:r>
            <w:r>
              <w:rPr>
                <w:rFonts w:ascii="Times New Roman" w:hAnsi="Times New Roman" w:cs="Times New Roman" w:eastAsia="Times New Roman"/>
                <w:sz w:val="20"/>
              </w:rPr>
              <w:t>, perfil, serviço)</w:t>
            </w:r>
          </w:p>
        </w:tc>
        <w:tc>
          <w:tcPr>
            <w:tcW w:type="dxa" w:w="2268"/>
          </w:tcPr>
          <w:p>
            <w:pPr>
              <w:jc w:val="left"/>
            </w:pPr>
            <w:r>
              <w:rPr>
                <w:rFonts w:ascii="Times New Roman" w:hAnsi="Times New Roman" w:cs="Times New Roman" w:eastAsia="Times New Roman"/>
                <w:sz w:val="20"/>
              </w:rPr>
              <w:t>Nº de acessos indevidos bem-sucedidos</w:t>
            </w:r>
          </w:p>
        </w:tc>
        <w:tc>
          <w:tcPr>
            <w:tcW w:type="dxa" w:w="2268"/>
          </w:tcPr>
          <w:p>
            <w:pPr>
              <w:jc w:val="left"/>
            </w:pPr>
            <w:r>
              <w:rPr>
                <w:rFonts w:ascii="Times New Roman" w:hAnsi="Times New Roman" w:cs="Times New Roman" w:eastAsia="Times New Roman"/>
                <w:sz w:val="20"/>
              </w:rPr>
              <w:t>0 acessos indevidos</w:t>
            </w:r>
          </w:p>
        </w:tc>
        <w:tc>
          <w:tcPr>
            <w:tcW w:type="dxa" w:w="2268"/>
          </w:tcPr>
          <w:p>
            <w:pPr>
              <w:jc w:val="left"/>
            </w:pPr>
            <w:r>
              <w:rPr>
                <w:rFonts w:ascii="Times New Roman" w:hAnsi="Times New Roman" w:cs="Times New Roman" w:eastAsia="Times New Roman"/>
                <w:sz w:val="20"/>
              </w:rPr>
              <w:t>Testes de política RLS contra a API</w:t>
            </w:r>
          </w:p>
        </w:tc>
      </w:tr>
      <w:tr>
        <w:tc>
          <w:tcPr>
            <w:tcW w:type="dxa" w:w="2268"/>
          </w:tcPr>
          <w:p>
            <w:pPr>
              <w:jc w:val="left"/>
            </w:pPr>
            <w:r>
              <w:rPr>
                <w:rFonts w:ascii="Times New Roman" w:hAnsi="Times New Roman" w:cs="Times New Roman" w:eastAsia="Times New Roman"/>
                <w:sz w:val="20"/>
              </w:rPr>
              <w:t xml:space="preserve">Cliente tenta avaliar serviço sem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concluído</w:t>
            </w:r>
          </w:p>
        </w:tc>
        <w:tc>
          <w:tcPr>
            <w:tcW w:type="dxa" w:w="2268"/>
          </w:tcPr>
          <w:p>
            <w:pPr>
              <w:jc w:val="left"/>
            </w:pPr>
            <w:r>
              <w:rPr>
                <w:rFonts w:ascii="Times New Roman" w:hAnsi="Times New Roman" w:cs="Times New Roman" w:eastAsia="Times New Roman"/>
                <w:sz w:val="20"/>
              </w:rPr>
              <w:t xml:space="preserve">Nº de inserções de </w:t>
            </w:r>
            <w:r>
              <w:rPr>
                <w:rFonts w:ascii="Times New Roman" w:hAnsi="Times New Roman" w:cs="Times New Roman" w:eastAsia="Times New Roman"/>
                <w:i/>
                <w:sz w:val="20"/>
              </w:rPr>
              <w:t>review</w:t>
            </w:r>
            <w:r>
              <w:rPr>
                <w:rFonts w:ascii="Times New Roman" w:hAnsi="Times New Roman" w:cs="Times New Roman" w:eastAsia="Times New Roman"/>
                <w:sz w:val="20"/>
              </w:rPr>
              <w:t xml:space="preserve"> indevidas</w:t>
            </w:r>
          </w:p>
        </w:tc>
        <w:tc>
          <w:tcPr>
            <w:tcW w:type="dxa" w:w="2268"/>
          </w:tcPr>
          <w:p>
            <w:pPr>
              <w:jc w:val="left"/>
            </w:pPr>
            <w:r>
              <w:rPr>
                <w:rFonts w:ascii="Times New Roman" w:hAnsi="Times New Roman" w:cs="Times New Roman" w:eastAsia="Times New Roman"/>
                <w:sz w:val="20"/>
              </w:rPr>
              <w:t>0 inserções</w:t>
            </w:r>
          </w:p>
        </w:tc>
        <w:tc>
          <w:tcPr>
            <w:tcW w:type="dxa" w:w="2268"/>
          </w:tcPr>
          <w:p>
            <w:pPr>
              <w:jc w:val="left"/>
            </w:pPr>
            <w:r>
              <w:rPr>
                <w:rFonts w:ascii="Times New Roman" w:hAnsi="Times New Roman" w:cs="Times New Roman" w:eastAsia="Times New Roman"/>
                <w:sz w:val="20"/>
              </w:rPr>
              <w:t>Teste de integração contra a API</w:t>
            </w:r>
          </w:p>
        </w:tc>
      </w:tr>
      <w:tr>
        <w:tc>
          <w:tcPr>
            <w:tcW w:type="dxa" w:w="2268"/>
          </w:tcPr>
          <w:p>
            <w:pPr>
              <w:jc w:val="left"/>
            </w:pPr>
            <w:r>
              <w:rPr>
                <w:rFonts w:ascii="Times New Roman" w:hAnsi="Times New Roman" w:cs="Times New Roman" w:eastAsia="Times New Roman"/>
                <w:sz w:val="20"/>
              </w:rPr>
              <w:t xml:space="preserve">Usuário tenta alterar o próprio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(escalonamento)</w:t>
            </w:r>
          </w:p>
        </w:tc>
        <w:tc>
          <w:tcPr>
            <w:tcW w:type="dxa" w:w="2268"/>
          </w:tcPr>
          <w:p>
            <w:pPr>
              <w:jc w:val="left"/>
            </w:pPr>
            <w:r>
              <w:rPr>
                <w:rFonts w:ascii="Times New Roman" w:hAnsi="Times New Roman" w:cs="Times New Roman" w:eastAsia="Times New Roman"/>
                <w:sz w:val="20"/>
              </w:rPr>
              <w:t>Tentativa bloqueada (sim/não)</w:t>
            </w:r>
          </w:p>
        </w:tc>
        <w:tc>
          <w:tcPr>
            <w:tcW w:type="dxa" w:w="2268"/>
          </w:tcPr>
          <w:p>
            <w:pPr>
              <w:jc w:val="left"/>
            </w:pPr>
            <w:r>
              <w:rPr>
                <w:rFonts w:ascii="Times New Roman" w:hAnsi="Times New Roman" w:cs="Times New Roman" w:eastAsia="Times New Roman"/>
                <w:sz w:val="20"/>
              </w:rPr>
              <w:t>100% bloqueadas</w:t>
            </w:r>
          </w:p>
        </w:tc>
        <w:tc>
          <w:tcPr>
            <w:tcW w:type="dxa" w:w="2268"/>
          </w:tcPr>
          <w:p>
            <w:pPr>
              <w:jc w:val="left"/>
            </w:pPr>
            <w:r>
              <w:rPr>
                <w:rFonts w:ascii="Times New Roman" w:hAnsi="Times New Roman" w:cs="Times New Roman" w:eastAsia="Times New Roman"/>
                <w:sz w:val="20"/>
              </w:rPr>
              <w:t xml:space="preserve">Teste de integração e verificação do </w:t>
            </w:r>
            <w:r>
              <w:rPr>
                <w:rFonts w:ascii="Times New Roman" w:hAnsi="Times New Roman" w:cs="Times New Roman" w:eastAsia="Times New Roman"/>
                <w:i/>
                <w:sz w:val="20"/>
              </w:rPr>
              <w:t>trigger</w:t>
            </w:r>
          </w:p>
        </w:tc>
      </w:tr>
      <w:tr>
        <w:tc>
          <w:tcPr>
            <w:tcW w:type="dxa" w:w="2268"/>
          </w:tcPr>
          <w:p>
            <w:pPr>
              <w:jc w:val="left"/>
            </w:pPr>
            <w:r>
              <w:rPr>
                <w:rFonts w:ascii="Times New Roman" w:hAnsi="Times New Roman" w:cs="Times New Roman" w:eastAsia="Times New Roman"/>
                <w:sz w:val="20"/>
              </w:rPr>
              <w:t>Varredura de vulnerabilidades da aplicação web</w:t>
            </w:r>
          </w:p>
        </w:tc>
        <w:tc>
          <w:tcPr>
            <w:tcW w:type="dxa" w:w="2268"/>
          </w:tcPr>
          <w:p>
            <w:pPr>
              <w:jc w:val="left"/>
            </w:pPr>
            <w:r>
              <w:rPr>
                <w:rFonts w:ascii="Times New Roman" w:hAnsi="Times New Roman" w:cs="Times New Roman" w:eastAsia="Times New Roman"/>
                <w:sz w:val="20"/>
              </w:rPr>
              <w:t>Nº de vulnerabilidades por severidade</w:t>
            </w:r>
          </w:p>
        </w:tc>
        <w:tc>
          <w:tcPr>
            <w:tcW w:type="dxa" w:w="2268"/>
          </w:tcPr>
          <w:p>
            <w:pPr>
              <w:jc w:val="left"/>
            </w:pPr>
            <w:r>
              <w:rPr>
                <w:rFonts w:ascii="Times New Roman" w:hAnsi="Times New Roman" w:cs="Times New Roman" w:eastAsia="Times New Roman"/>
                <w:sz w:val="20"/>
              </w:rPr>
              <w:t>0 de severidade alta ou crítica</w:t>
            </w:r>
          </w:p>
        </w:tc>
        <w:tc>
          <w:tcPr>
            <w:tcW w:type="dxa" w:w="2268"/>
          </w:tcPr>
          <w:p>
            <w:pPr>
              <w:jc w:val="left"/>
            </w:pPr>
            <w:r>
              <w:rPr>
                <w:rFonts w:ascii="Times New Roman" w:hAnsi="Times New Roman" w:cs="Times New Roman" w:eastAsia="Times New Roman"/>
                <w:sz w:val="20"/>
              </w:rPr>
              <w:t>OWASP ZAP (pendente — ver 7.3.2)</w:t>
            </w:r>
          </w:p>
        </w:tc>
      </w:tr>
      <w:tr>
        <w:tc>
          <w:tcPr>
            <w:tcW w:type="dxa" w:w="2268"/>
          </w:tcPr>
          <w:p>
            <w:pPr>
              <w:jc w:val="left"/>
            </w:pPr>
            <w:r>
              <w:rPr>
                <w:rFonts w:ascii="Times New Roman" w:hAnsi="Times New Roman" w:cs="Times New Roman" w:eastAsia="Times New Roman"/>
                <w:sz w:val="20"/>
              </w:rPr>
              <w:t>Vulnerabilidades em dependências</w:t>
            </w:r>
          </w:p>
        </w:tc>
        <w:tc>
          <w:tcPr>
            <w:tcW w:type="dxa" w:w="2268"/>
          </w:tcPr>
          <w:p>
            <w:pPr>
              <w:jc w:val="left"/>
            </w:pPr>
            <w:r>
              <w:rPr>
                <w:rFonts w:ascii="Times New Roman" w:hAnsi="Times New Roman" w:cs="Times New Roman" w:eastAsia="Times New Roman"/>
                <w:sz w:val="20"/>
              </w:rPr>
              <w:t>Nº de CVEs por severidade</w:t>
            </w:r>
          </w:p>
        </w:tc>
        <w:tc>
          <w:tcPr>
            <w:tcW w:type="dxa" w:w="2268"/>
          </w:tcPr>
          <w:p>
            <w:pPr>
              <w:jc w:val="left"/>
            </w:pPr>
            <w:r>
              <w:rPr>
                <w:rFonts w:ascii="Times New Roman" w:hAnsi="Times New Roman" w:cs="Times New Roman" w:eastAsia="Times New Roman"/>
                <w:sz w:val="20"/>
              </w:rPr>
              <w:t>0 de severidade alta ou crítica não tratadas</w:t>
            </w:r>
          </w:p>
        </w:tc>
        <w:tc>
          <w:tcPr>
            <w:tcW w:type="dxa" w:w="2268"/>
          </w:tcPr>
          <w:p>
            <w:pPr>
              <w:jc w:val="left"/>
            </w:pPr>
            <w:r>
              <w:rPr>
                <w:rFonts w:ascii="Times New Roman" w:hAnsi="Times New Roman" w:cs="Times New Roman" w:eastAsia="Times New Roman"/>
                <w:i/>
                <w:sz w:val="20"/>
              </w:rPr>
              <w:t>npm audit</w:t>
            </w:r>
            <w:r>
              <w:rPr>
                <w:rFonts w:ascii="Times New Roman" w:hAnsi="Times New Roman" w:cs="Times New Roman" w:eastAsia="Times New Roman"/>
                <w:sz w:val="20"/>
              </w:rPr>
              <w:t xml:space="preserve"> (em substituição ao Snyk)</w:t>
            </w:r>
          </w:p>
        </w:tc>
      </w:tr>
      <w:tr>
        <w:tc>
          <w:tcPr>
            <w:tcW w:type="dxa" w:w="2268"/>
          </w:tcPr>
          <w:p>
            <w:pPr>
              <w:jc w:val="left"/>
            </w:pPr>
            <w:r>
              <w:rPr>
                <w:rFonts w:ascii="Times New Roman" w:hAnsi="Times New Roman" w:cs="Times New Roman" w:eastAsia="Times New Roman"/>
                <w:sz w:val="20"/>
              </w:rPr>
              <w:t xml:space="preserve">Exposição de PII a usuário anônimo </w:t>
            </w:r>
            <w:r>
              <w:rPr>
                <w:rFonts w:ascii="Times New Roman" w:hAnsi="Times New Roman" w:cs="Times New Roman" w:eastAsia="Times New Roman"/>
                <w:b/>
                <w:sz w:val="20"/>
              </w:rPr>
              <w:t>e a usuário autenticado não relacionado</w:t>
            </w:r>
          </w:p>
        </w:tc>
        <w:tc>
          <w:tcPr>
            <w:tcW w:type="dxa" w:w="2268"/>
          </w:tcPr>
          <w:p>
            <w:pPr>
              <w:jc w:val="left"/>
            </w:pPr>
            <w:r>
              <w:rPr>
                <w:rFonts w:ascii="Times New Roman" w:hAnsi="Times New Roman" w:cs="Times New Roman" w:eastAsia="Times New Roman"/>
                <w:sz w:val="20"/>
              </w:rPr>
              <w:t>Campos sensíveis expostos (</w:t>
            </w:r>
            <w:r>
              <w:rPr>
                <w:rFonts w:ascii="Times New Roman" w:hAnsi="Times New Roman" w:cs="Times New Roman" w:eastAsia="Times New Roman"/>
                <w:i/>
                <w:sz w:val="20"/>
              </w:rPr>
              <w:t>email</w:t>
            </w:r>
            <w:r>
              <w:rPr>
                <w:rFonts w:ascii="Times New Roman" w:hAnsi="Times New Roman" w:cs="Times New Roman" w:eastAsia="Times New Roman"/>
                <w:sz w:val="20"/>
              </w:rPr>
              <w:t xml:space="preserve">, </w:t>
            </w:r>
            <w:r>
              <w:rPr>
                <w:rFonts w:ascii="Times New Roman" w:hAnsi="Times New Roman" w:cs="Times New Roman" w:eastAsia="Times New Roman"/>
                <w:i/>
                <w:sz w:val="20"/>
              </w:rPr>
              <w:t>phone</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0 campos expostos a ambos os perfis de acesso</w:t>
            </w:r>
          </w:p>
        </w:tc>
        <w:tc>
          <w:tcPr>
            <w:tcW w:type="dxa" w:w="2268"/>
          </w:tcPr>
          <w:p>
            <w:pPr>
              <w:jc w:val="left"/>
            </w:pPr>
            <w:r>
              <w:rPr>
                <w:rFonts w:ascii="Times New Roman" w:hAnsi="Times New Roman" w:cs="Times New Roman" w:eastAsia="Times New Roman"/>
                <w:sz w:val="20"/>
              </w:rPr>
              <w:t xml:space="preserve">Teste de política RLS e inspeção da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public_profiles</w:t>
            </w:r>
          </w:p>
        </w:tc>
      </w:tr>
      <w:tr>
        <w:tc>
          <w:tcPr>
            <w:tcW w:type="dxa" w:w="2268"/>
          </w:tcPr>
          <w:p>
            <w:pPr>
              <w:jc w:val="left"/>
            </w:pPr>
            <w:r>
              <w:rPr>
                <w:rFonts w:ascii="Times New Roman" w:hAnsi="Times New Roman" w:cs="Times New Roman" w:eastAsia="Times New Roman"/>
                <w:sz w:val="20"/>
              </w:rPr>
              <w:t xml:space="preserve">Conformidade do </w:t>
            </w:r>
            <w:r>
              <w:rPr>
                <w:rFonts w:ascii="Times New Roman" w:hAnsi="Times New Roman" w:cs="Times New Roman" w:eastAsia="Times New Roman"/>
                <w:i/>
                <w:sz w:val="20"/>
              </w:rPr>
              <w:t>schema</w:t>
            </w:r>
            <w:r>
              <w:rPr>
                <w:rFonts w:ascii="Times New Roman" w:hAnsi="Times New Roman" w:cs="Times New Roman" w:eastAsia="Times New Roman"/>
                <w:sz w:val="20"/>
              </w:rPr>
              <w:t xml:space="preserve"> do banco</w:t>
            </w:r>
          </w:p>
        </w:tc>
        <w:tc>
          <w:tcPr>
            <w:tcW w:type="dxa" w:w="2268"/>
          </w:tcPr>
          <w:p>
            <w:pPr>
              <w:jc w:val="left"/>
            </w:pPr>
            <w:r>
              <w:rPr>
                <w:rFonts w:ascii="Times New Roman" w:hAnsi="Times New Roman" w:cs="Times New Roman" w:eastAsia="Times New Roman"/>
                <w:sz w:val="20"/>
              </w:rPr>
              <w:t xml:space="preserve">Nº de erros de </w:t>
            </w:r>
            <w:r>
              <w:rPr>
                <w:rFonts w:ascii="Times New Roman" w:hAnsi="Times New Roman" w:cs="Times New Roman" w:eastAsia="Times New Roman"/>
                <w:i/>
                <w:sz w:val="20"/>
              </w:rPr>
              <w:t>lint</w:t>
            </w:r>
            <w:r>
              <w:rPr>
                <w:rFonts w:ascii="Times New Roman" w:hAnsi="Times New Roman" w:cs="Times New Roman" w:eastAsia="Times New Roman"/>
                <w:sz w:val="20"/>
              </w:rPr>
              <w:t xml:space="preserve"> de </w:t>
            </w:r>
            <w:r>
              <w:rPr>
                <w:rFonts w:ascii="Times New Roman" w:hAnsi="Times New Roman" w:cs="Times New Roman" w:eastAsia="Times New Roman"/>
                <w:i/>
                <w:sz w:val="20"/>
              </w:rPr>
              <w:t>schema</w:t>
            </w:r>
          </w:p>
        </w:tc>
        <w:tc>
          <w:tcPr>
            <w:tcW w:type="dxa" w:w="2268"/>
          </w:tcPr>
          <w:p>
            <w:pPr>
              <w:jc w:val="left"/>
            </w:pPr>
            <w:r>
              <w:rPr>
                <w:rFonts w:ascii="Times New Roman" w:hAnsi="Times New Roman" w:cs="Times New Roman" w:eastAsia="Times New Roman"/>
                <w:sz w:val="20"/>
              </w:rPr>
              <w:t>0 erros</w:t>
            </w:r>
          </w:p>
        </w:tc>
        <w:tc>
          <w:tcPr>
            <w:tcW w:type="dxa" w:w="2268"/>
          </w:tcPr>
          <w:p>
            <w:pPr>
              <w:jc w:val="left"/>
            </w:pPr>
            <w:r>
              <w:rPr>
                <w:rFonts w:ascii="Times New Roman" w:hAnsi="Times New Roman" w:cs="Times New Roman" w:eastAsia="Times New Roman"/>
                <w:i/>
                <w:sz w:val="20"/>
              </w:rPr>
              <w:t>supabase db lint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b/>
          <w:sz w:val="24"/>
        </w:rPr>
        <w:t>Nota de refinamento do cenário de exposição de PII.</w:t>
      </w:r>
      <w:r>
        <w:rPr>
          <w:rFonts w:ascii="Times New Roman" w:hAnsi="Times New Roman" w:cs="Times New Roman" w:eastAsia="Times New Roman"/>
          <w:sz w:val="24"/>
        </w:rPr>
        <w:t xml:space="preserve"> Em sua formulação inicial, este cenário considerava apenas o acesso </w:t>
      </w:r>
      <w:r>
        <w:rPr>
          <w:rFonts w:ascii="Times New Roman" w:hAnsi="Times New Roman" w:cs="Times New Roman" w:eastAsia="Times New Roman"/>
          <w:b/>
          <w:sz w:val="24"/>
        </w:rPr>
        <w:t>anônimo</w:t>
      </w:r>
      <w:r>
        <w:rPr>
          <w:rFonts w:ascii="Times New Roman" w:hAnsi="Times New Roman" w:cs="Times New Roman" w:eastAsia="Times New Roman"/>
          <w:sz w:val="24"/>
        </w:rPr>
        <w:t xml:space="preserve">. A inspeção das políticas vigentes evidenciou que a política de leitura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admitia qualquer usuário autenticado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xml:space="preserve">), de modo que o cenário restrito ao anônimo seria satisfeito sem exercitar o perfil de acesso mais permissivo efetivamente existente. O cenário foi, por isso, ampliado para contemplar também o </w:t>
      </w:r>
      <w:r>
        <w:rPr>
          <w:rFonts w:ascii="Times New Roman" w:hAnsi="Times New Roman" w:cs="Times New Roman" w:eastAsia="Times New Roman"/>
          <w:b/>
          <w:sz w:val="24"/>
        </w:rPr>
        <w:t>usuário autenticado não relacionado ao perfil consultado</w:t>
      </w:r>
      <w:r>
        <w:rPr>
          <w:rFonts w:ascii="Times New Roman" w:hAnsi="Times New Roman" w:cs="Times New Roman" w:eastAsia="Times New Roman"/>
          <w:sz w:val="24"/>
        </w:rPr>
        <w:t>. Registra-se o ajuste por transparência metodológica: a formulação de cenários é atividade sujeita a refinamento à luz da arquitetura concreta sob avaliação, e um cenário incapaz de reprovar o sistema não constitui instrumento de medição.</w:t>
      </w:r>
    </w:p>
    <w:p>
      <w:pPr>
        <w:jc w:val="left"/>
      </w:pPr>
      <w:r>
        <w:rPr>
          <w:rFonts w:ascii="Times New Roman" w:hAnsi="Times New Roman" w:cs="Times New Roman" w:eastAsia="Times New Roman"/>
          <w:b/>
          <w:sz w:val="24"/>
        </w:rPr>
        <w:t>5.2.2 Eficiência de desempenho</w:t>
      </w:r>
    </w:p>
    <w:p>
      <w:pPr>
        <w:jc w:val="left"/>
      </w:pPr>
      <w:r>
        <w:rPr>
          <w:rFonts w:ascii="Times New Roman" w:hAnsi="Times New Roman" w:cs="Times New Roman" w:eastAsia="Times New Roman"/>
          <w:b/>
          <w:sz w:val="24"/>
        </w:rPr>
        <w:t>Tabela 8 — Cenários, métricas e critérios de eficiência de desempenho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Carregamento inicial da SPA</w:t>
            </w:r>
          </w:p>
        </w:tc>
        <w:tc>
          <w:tcPr>
            <w:tcW w:type="dxa" w:w="2268"/>
          </w:tcPr>
          <w:p>
            <w:pPr>
              <w:jc w:val="left"/>
            </w:pPr>
            <w:r>
              <w:rPr>
                <w:rFonts w:ascii="Times New Roman" w:hAnsi="Times New Roman" w:cs="Times New Roman" w:eastAsia="Times New Roman"/>
                <w:i/>
                <w:sz w:val="20"/>
              </w:rPr>
              <w:t>Performance score</w:t>
            </w:r>
            <w:r>
              <w:rPr>
                <w:rFonts w:ascii="Times New Roman" w:hAnsi="Times New Roman" w:cs="Times New Roman" w:eastAsia="Times New Roman"/>
                <w:sz w:val="20"/>
              </w:rPr>
              <w:t>; LCP; TBT; CLS</w:t>
            </w:r>
          </w:p>
        </w:tc>
        <w:tc>
          <w:tcPr>
            <w:tcW w:type="dxa" w:w="2268"/>
          </w:tcPr>
          <w:p>
            <w:pPr>
              <w:jc w:val="left"/>
            </w:pPr>
            <w:r>
              <w:rPr>
                <w:rFonts w:ascii="Times New Roman" w:hAnsi="Times New Roman" w:cs="Times New Roman" w:eastAsia="Times New Roman"/>
                <w:sz w:val="20"/>
              </w:rPr>
              <w:t>Score maior ou igual a 90; LCP menor ou igual a 2,5 s</w:t>
            </w:r>
          </w:p>
        </w:tc>
        <w:tc>
          <w:tcPr>
            <w:tcW w:type="dxa" w:w="2268"/>
          </w:tcPr>
          <w:p>
            <w:pPr>
              <w:jc w:val="left"/>
            </w:pPr>
            <w:r>
              <w:rPr>
                <w:rFonts w:ascii="Times New Roman" w:hAnsi="Times New Roman" w:cs="Times New Roman" w:eastAsia="Times New Roman"/>
                <w:sz w:val="20"/>
              </w:rPr>
              <w:t>Lighthouse</w:t>
            </w:r>
          </w:p>
        </w:tc>
      </w:tr>
      <w:tr>
        <w:tc>
          <w:tcPr>
            <w:tcW w:type="dxa" w:w="2268"/>
          </w:tcPr>
          <w:p>
            <w:pPr>
              <w:jc w:val="left"/>
            </w:pPr>
            <w:r>
              <w:rPr>
                <w:rFonts w:ascii="Times New Roman" w:hAnsi="Times New Roman" w:cs="Times New Roman" w:eastAsia="Times New Roman"/>
                <w:sz w:val="20"/>
              </w:rPr>
              <w:t>Listagem e busca de serviços sob carga</w:t>
            </w:r>
          </w:p>
        </w:tc>
        <w:tc>
          <w:tcPr>
            <w:tcW w:type="dxa" w:w="2268"/>
          </w:tcPr>
          <w:p>
            <w:pPr>
              <w:jc w:val="left"/>
            </w:pPr>
            <w:r>
              <w:rPr>
                <w:rFonts w:ascii="Times New Roman" w:hAnsi="Times New Roman" w:cs="Times New Roman" w:eastAsia="Times New Roman"/>
                <w:sz w:val="20"/>
              </w:rPr>
              <w:t>Tempo de resposta (p95); vazão (req/s); taxa de erro</w:t>
            </w:r>
          </w:p>
        </w:tc>
        <w:tc>
          <w:tcPr>
            <w:tcW w:type="dxa" w:w="2268"/>
          </w:tcPr>
          <w:p>
            <w:pPr>
              <w:jc w:val="left"/>
            </w:pPr>
            <w:r>
              <w:rPr>
                <w:rFonts w:ascii="Times New Roman" w:hAnsi="Times New Roman" w:cs="Times New Roman" w:eastAsia="Times New Roman"/>
                <w:sz w:val="20"/>
              </w:rPr>
              <w:t>p95 menor ou igual a 800 ms; erro abaixo de 1%</w:t>
            </w:r>
          </w:p>
        </w:tc>
        <w:tc>
          <w:tcPr>
            <w:tcW w:type="dxa" w:w="2268"/>
          </w:tcPr>
          <w:p>
            <w:pPr>
              <w:jc w:val="left"/>
            </w:pPr>
            <w:r>
              <w:rPr>
                <w:rFonts w:ascii="Times New Roman" w:hAnsi="Times New Roman" w:cs="Times New Roman" w:eastAsia="Times New Roman"/>
                <w:sz w:val="20"/>
              </w:rPr>
              <w:t>autocannon (em substituição ao k6)</w:t>
            </w:r>
          </w:p>
        </w:tc>
      </w:tr>
      <w:tr>
        <w:tc>
          <w:tcPr>
            <w:tcW w:type="dxa" w:w="2268"/>
          </w:tcPr>
          <w:p>
            <w:pPr>
              <w:jc w:val="left"/>
            </w:pPr>
            <w:r>
              <w:rPr>
                <w:rFonts w:ascii="Times New Roman" w:hAnsi="Times New Roman" w:cs="Times New Roman" w:eastAsia="Times New Roman"/>
                <w:sz w:val="20"/>
              </w:rPr>
              <w:t xml:space="preserve">Operações de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sob carga concorrente</w:t>
            </w:r>
          </w:p>
        </w:tc>
        <w:tc>
          <w:tcPr>
            <w:tcW w:type="dxa" w:w="2268"/>
          </w:tcPr>
          <w:p>
            <w:pPr>
              <w:jc w:val="left"/>
            </w:pPr>
            <w:r>
              <w:rPr>
                <w:rFonts w:ascii="Times New Roman" w:hAnsi="Times New Roman" w:cs="Times New Roman" w:eastAsia="Times New Roman"/>
                <w:sz w:val="20"/>
              </w:rPr>
              <w:t>Latência (p95); taxa de erro</w:t>
            </w:r>
          </w:p>
        </w:tc>
        <w:tc>
          <w:tcPr>
            <w:tcW w:type="dxa" w:w="2268"/>
          </w:tcPr>
          <w:p>
            <w:pPr>
              <w:jc w:val="left"/>
            </w:pPr>
            <w:r>
              <w:rPr>
                <w:rFonts w:ascii="Times New Roman" w:hAnsi="Times New Roman" w:cs="Times New Roman" w:eastAsia="Times New Roman"/>
                <w:sz w:val="20"/>
              </w:rPr>
              <w:t>p95 menor ou igual a 800 ms; erro abaixo de 1%</w:t>
            </w:r>
          </w:p>
        </w:tc>
        <w:tc>
          <w:tcPr>
            <w:tcW w:type="dxa" w:w="2268"/>
          </w:tcPr>
          <w:p>
            <w:pPr>
              <w:jc w:val="left"/>
            </w:pPr>
            <w:r>
              <w:rPr>
                <w:rFonts w:ascii="Times New Roman" w:hAnsi="Times New Roman" w:cs="Times New Roman" w:eastAsia="Times New Roman"/>
                <w:sz w:val="20"/>
              </w:rPr>
              <w:t>autocannon (em substituição ao k6/JMeter)</w:t>
            </w:r>
          </w:p>
        </w:tc>
      </w:tr>
      <w:tr>
        <w:tc>
          <w:tcPr>
            <w:tcW w:type="dxa" w:w="2268"/>
          </w:tcPr>
          <w:p>
            <w:pPr>
              <w:jc w:val="left"/>
            </w:pPr>
            <w:r>
              <w:rPr>
                <w:rFonts w:ascii="Times New Roman" w:hAnsi="Times New Roman" w:cs="Times New Roman" w:eastAsia="Times New Roman"/>
                <w:sz w:val="20"/>
              </w:rPr>
              <w:t>Comportamento sob carga sustentada</w:t>
            </w:r>
          </w:p>
        </w:tc>
        <w:tc>
          <w:tcPr>
            <w:tcW w:type="dxa" w:w="2268"/>
          </w:tcPr>
          <w:p>
            <w:pPr>
              <w:jc w:val="left"/>
            </w:pPr>
            <w:r>
              <w:rPr>
                <w:rFonts w:ascii="Times New Roman" w:hAnsi="Times New Roman" w:cs="Times New Roman" w:eastAsia="Times New Roman"/>
                <w:sz w:val="20"/>
              </w:rPr>
              <w:t>Estabilidade de latência e de erros ao longo do tempo</w:t>
            </w:r>
          </w:p>
        </w:tc>
        <w:tc>
          <w:tcPr>
            <w:tcW w:type="dxa" w:w="2268"/>
          </w:tcPr>
          <w:p>
            <w:pPr>
              <w:jc w:val="left"/>
            </w:pPr>
            <w:r>
              <w:rPr>
                <w:rFonts w:ascii="Times New Roman" w:hAnsi="Times New Roman" w:cs="Times New Roman" w:eastAsia="Times New Roman"/>
                <w:sz w:val="20"/>
              </w:rPr>
              <w:t>Sem degradação progressiva</w:t>
            </w:r>
          </w:p>
        </w:tc>
        <w:tc>
          <w:tcPr>
            <w:tcW w:type="dxa" w:w="2268"/>
          </w:tcPr>
          <w:p>
            <w:pPr>
              <w:jc w:val="left"/>
            </w:pPr>
            <w:r>
              <w:rPr>
                <w:rFonts w:ascii="Times New Roman" w:hAnsi="Times New Roman" w:cs="Times New Roman" w:eastAsia="Times New Roman"/>
                <w:sz w:val="20"/>
              </w:rPr>
              <w:t>autocannon (em substituição ao JMeter)</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O limiar de 800 ms para a latência p95, em aberto no planejamento inicial, foi calibrado antes da coleta definitiva a partir de uma execução exploratória de baixa intensidade (5 conexões por 5 s, latência de cauda aproximada de 57 ms) e da heurística de 1 s para a percepção de fluidez pelo usuário, adotando-se margem conservadora.</w:t>
      </w:r>
    </w:p>
    <w:p>
      <w:pPr>
        <w:ind w:firstLine="700"/>
        <w:jc w:val="both"/>
      </w:pPr>
      <w:r>
        <w:rPr>
          <w:rFonts w:ascii="Times New Roman" w:hAnsi="Times New Roman" w:cs="Times New Roman" w:eastAsia="Times New Roman"/>
          <w:b/>
          <w:sz w:val="24"/>
        </w:rPr>
        <w:t>Percentil efetivamente reportado.</w:t>
      </w:r>
      <w:r>
        <w:rPr>
          <w:rFonts w:ascii="Times New Roman" w:hAnsi="Times New Roman" w:cs="Times New Roman" w:eastAsia="Times New Roman"/>
          <w:sz w:val="24"/>
        </w:rPr>
        <w:t xml:space="preserve"> A ferramenta empregada (autocannon) não expõe o p95 no conjunto padrão de percentis de seu histograma — os valores vizinhos são o p90 e o p97,5. Os resultados de latência sob carga apresentados na Seção 7 são, portanto, de </w:t>
      </w:r>
      <w:r>
        <w:rPr>
          <w:rFonts w:ascii="Times New Roman" w:hAnsi="Times New Roman" w:cs="Times New Roman" w:eastAsia="Times New Roman"/>
          <w:b/>
          <w:sz w:val="24"/>
        </w:rPr>
        <w:t>p97,5</w:t>
      </w:r>
      <w:r>
        <w:rPr>
          <w:rFonts w:ascii="Times New Roman" w:hAnsi="Times New Roman" w:cs="Times New Roman" w:eastAsia="Times New Roman"/>
          <w:sz w:val="24"/>
        </w:rPr>
        <w:t>, percentil mais exigente que o p95 fixado como critério: satisfeito o limiar em p97,5, ele está necessariamente satisfeito em p95. Registra-se a diferença para que o número publicado não prometa precisão superior à que o instrumento entrega.</w:t>
      </w:r>
    </w:p>
    <w:p>
      <w:pPr>
        <w:jc w:val="left"/>
      </w:pPr>
      <w:r>
        <w:rPr>
          <w:rFonts w:ascii="Times New Roman" w:hAnsi="Times New Roman" w:cs="Times New Roman" w:eastAsia="Times New Roman"/>
          <w:b/>
          <w:sz w:val="24"/>
        </w:rPr>
        <w:t>5.2.3 Testabilidade (subcaracterística de manutenibilidade)</w:t>
      </w:r>
    </w:p>
    <w:p>
      <w:pPr>
        <w:jc w:val="left"/>
      </w:pPr>
      <w:r>
        <w:rPr>
          <w:rFonts w:ascii="Times New Roman" w:hAnsi="Times New Roman" w:cs="Times New Roman" w:eastAsia="Times New Roman"/>
          <w:b/>
          <w:sz w:val="24"/>
        </w:rPr>
        <w:t>Tabela 9 — Cenários, métricas e critérios de testabilidade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Cobertura da suíte de testes</w:t>
            </w:r>
          </w:p>
        </w:tc>
        <w:tc>
          <w:tcPr>
            <w:tcW w:type="dxa" w:w="2268"/>
          </w:tcPr>
          <w:p>
            <w:pPr>
              <w:jc w:val="left"/>
            </w:pPr>
            <w:r>
              <w:rPr>
                <w:rFonts w:ascii="Times New Roman" w:hAnsi="Times New Roman" w:cs="Times New Roman" w:eastAsia="Times New Roman"/>
                <w:sz w:val="20"/>
              </w:rPr>
              <w:t>Cobertura de linhas e de ramos (%)</w:t>
            </w:r>
          </w:p>
        </w:tc>
        <w:tc>
          <w:tcPr>
            <w:tcW w:type="dxa" w:w="2268"/>
          </w:tcPr>
          <w:p>
            <w:pPr>
              <w:jc w:val="left"/>
            </w:pPr>
            <w:r>
              <w:rPr>
                <w:rFonts w:ascii="Times New Roman" w:hAnsi="Times New Roman" w:cs="Times New Roman" w:eastAsia="Times New Roman"/>
                <w:sz w:val="20"/>
              </w:rPr>
              <w:t>Piso global anti-regressão de 30% e cobertura maior ou igual a 75% nos módulos críticos (limiar definido na execução — ver 7.3.4)</w:t>
            </w:r>
          </w:p>
        </w:tc>
        <w:tc>
          <w:tcPr>
            <w:tcW w:type="dxa" w:w="2268"/>
          </w:tcPr>
          <w:p>
            <w:pPr>
              <w:jc w:val="left"/>
            </w:pPr>
            <w:r>
              <w:rPr>
                <w:rFonts w:ascii="Times New Roman" w:hAnsi="Times New Roman" w:cs="Times New Roman" w:eastAsia="Times New Roman"/>
                <w:sz w:val="20"/>
              </w:rPr>
              <w:t>Vitest (</w:t>
            </w:r>
            <w:r>
              <w:rPr>
                <w:rFonts w:ascii="Times New Roman" w:hAnsi="Times New Roman" w:cs="Times New Roman" w:eastAsia="Times New Roman"/>
                <w:i/>
                <w:sz w:val="20"/>
              </w:rPr>
              <w:t>coverage</w:t>
            </w:r>
            <w:r>
              <w:rPr>
                <w:rFonts w:ascii="Times New Roman" w:hAnsi="Times New Roman" w:cs="Times New Roman" w:eastAsia="Times New Roman"/>
                <w:sz w:val="20"/>
              </w:rPr>
              <w:t xml:space="preserve"> v8)</w:t>
            </w:r>
          </w:p>
        </w:tc>
      </w:tr>
      <w:tr>
        <w:tc>
          <w:tcPr>
            <w:tcW w:type="dxa" w:w="2268"/>
          </w:tcPr>
          <w:p>
            <w:pPr>
              <w:jc w:val="left"/>
            </w:pPr>
            <w:r>
              <w:rPr>
                <w:rFonts w:ascii="Times New Roman" w:hAnsi="Times New Roman" w:cs="Times New Roman" w:eastAsia="Times New Roman"/>
                <w:sz w:val="20"/>
              </w:rPr>
              <w:t>Isolamento de componentes em teste</w:t>
            </w:r>
          </w:p>
        </w:tc>
        <w:tc>
          <w:tcPr>
            <w:tcW w:type="dxa" w:w="2268"/>
          </w:tcPr>
          <w:p>
            <w:pPr>
              <w:jc w:val="left"/>
            </w:pPr>
            <w:r>
              <w:rPr>
                <w:rFonts w:ascii="Times New Roman" w:hAnsi="Times New Roman" w:cs="Times New Roman" w:eastAsia="Times New Roman"/>
                <w:sz w:val="20"/>
              </w:rPr>
              <w:t xml:space="preserve">Nº de componentes testáveis sem dependências externas reais (uso de </w:t>
            </w:r>
            <w:r>
              <w:rPr>
                <w:rFonts w:ascii="Times New Roman" w:hAnsi="Times New Roman" w:cs="Times New Roman" w:eastAsia="Times New Roman"/>
                <w:i/>
                <w:sz w:val="20"/>
              </w:rPr>
              <w:t>mocks</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Fluxos críticos cobertos por teste isolado</w:t>
            </w:r>
          </w:p>
        </w:tc>
        <w:tc>
          <w:tcPr>
            <w:tcW w:type="dxa" w:w="2268"/>
          </w:tcPr>
          <w:p>
            <w:pPr>
              <w:jc w:val="left"/>
            </w:pPr>
            <w:r>
              <w:rPr>
                <w:rFonts w:ascii="Times New Roman" w:hAnsi="Times New Roman" w:cs="Times New Roman" w:eastAsia="Times New Roman"/>
                <w:sz w:val="20"/>
              </w:rPr>
              <w:t>Vitest e React Testing Library</w:t>
            </w:r>
          </w:p>
        </w:tc>
      </w:tr>
      <w:tr>
        <w:tc>
          <w:tcPr>
            <w:tcW w:type="dxa" w:w="2268"/>
          </w:tcPr>
          <w:p>
            <w:pPr>
              <w:jc w:val="left"/>
            </w:pPr>
            <w:r>
              <w:rPr>
                <w:rFonts w:ascii="Times New Roman" w:hAnsi="Times New Roman" w:cs="Times New Roman" w:eastAsia="Times New Roman"/>
                <w:sz w:val="20"/>
              </w:rPr>
              <w:t>Esforço de criação de teste por fluxo crítico</w:t>
            </w:r>
          </w:p>
        </w:tc>
        <w:tc>
          <w:tcPr>
            <w:tcW w:type="dxa" w:w="2268"/>
          </w:tcPr>
          <w:p>
            <w:pPr>
              <w:jc w:val="left"/>
            </w:pPr>
            <w:r>
              <w:rPr>
                <w:rFonts w:ascii="Times New Roman" w:hAnsi="Times New Roman" w:cs="Times New Roman" w:eastAsia="Times New Roman"/>
                <w:sz w:val="20"/>
              </w:rPr>
              <w:t xml:space="preserve">Existência de teste para cada fluxo crítico (autenticação,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review</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100% dos fluxos críticos com ao menos um teste</w:t>
            </w:r>
          </w:p>
        </w:tc>
        <w:tc>
          <w:tcPr>
            <w:tcW w:type="dxa" w:w="2268"/>
          </w:tcPr>
          <w:p>
            <w:pPr>
              <w:jc w:val="left"/>
            </w:pPr>
            <w:r>
              <w:rPr>
                <w:rFonts w:ascii="Times New Roman" w:hAnsi="Times New Roman" w:cs="Times New Roman" w:eastAsia="Times New Roman"/>
                <w:sz w:val="20"/>
              </w:rPr>
              <w:t>Vitest e React Testing Library</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5.2.4 Manutenibilidade</w:t>
      </w:r>
    </w:p>
    <w:p>
      <w:pPr>
        <w:jc w:val="left"/>
      </w:pPr>
      <w:r>
        <w:rPr>
          <w:rFonts w:ascii="Times New Roman" w:hAnsi="Times New Roman" w:cs="Times New Roman" w:eastAsia="Times New Roman"/>
          <w:b/>
          <w:sz w:val="24"/>
        </w:rPr>
        <w:t>Tabela 10 — Cenários, métricas e critérios de manutenibilidade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Conformidade de estilo e antipadrões</w:t>
            </w:r>
          </w:p>
        </w:tc>
        <w:tc>
          <w:tcPr>
            <w:tcW w:type="dxa" w:w="2268"/>
          </w:tcPr>
          <w:p>
            <w:pPr>
              <w:jc w:val="left"/>
            </w:pPr>
            <w:r>
              <w:rPr>
                <w:rFonts w:ascii="Times New Roman" w:hAnsi="Times New Roman" w:cs="Times New Roman" w:eastAsia="Times New Roman"/>
                <w:sz w:val="20"/>
              </w:rPr>
              <w:t xml:space="preserve">Nº de violações de </w:t>
            </w:r>
            <w:r>
              <w:rPr>
                <w:rFonts w:ascii="Times New Roman" w:hAnsi="Times New Roman" w:cs="Times New Roman" w:eastAsia="Times New Roman"/>
                <w:i/>
                <w:sz w:val="20"/>
              </w:rPr>
              <w:t>lint</w:t>
            </w:r>
          </w:p>
        </w:tc>
        <w:tc>
          <w:tcPr>
            <w:tcW w:type="dxa" w:w="2268"/>
          </w:tcPr>
          <w:p>
            <w:pPr>
              <w:jc w:val="left"/>
            </w:pPr>
            <w:r>
              <w:rPr>
                <w:rFonts w:ascii="Times New Roman" w:hAnsi="Times New Roman" w:cs="Times New Roman" w:eastAsia="Times New Roman"/>
                <w:sz w:val="20"/>
              </w:rPr>
              <w:t>Tendência a 0; sem erros</w:t>
            </w:r>
          </w:p>
        </w:tc>
        <w:tc>
          <w:tcPr>
            <w:tcW w:type="dxa" w:w="2268"/>
          </w:tcPr>
          <w:p>
            <w:pPr>
              <w:jc w:val="left"/>
            </w:pPr>
            <w:r>
              <w:rPr>
                <w:rFonts w:ascii="Times New Roman" w:hAnsi="Times New Roman" w:cs="Times New Roman" w:eastAsia="Times New Roman"/>
                <w:sz w:val="20"/>
              </w:rPr>
              <w:t>ESLint</w:t>
            </w:r>
          </w:p>
        </w:tc>
      </w:tr>
      <w:tr>
        <w:tc>
          <w:tcPr>
            <w:tcW w:type="dxa" w:w="2268"/>
          </w:tcPr>
          <w:p>
            <w:pPr>
              <w:jc w:val="left"/>
            </w:pPr>
            <w:r>
              <w:rPr>
                <w:rFonts w:ascii="Times New Roman" w:hAnsi="Times New Roman" w:cs="Times New Roman" w:eastAsia="Times New Roman"/>
                <w:sz w:val="20"/>
              </w:rPr>
              <w:t xml:space="preserve">Complexidade 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sz w:val="20"/>
              </w:rPr>
              <w:t xml:space="preserve">Complexidade ciclomática; densidade de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sz w:val="20"/>
              </w:rPr>
              <w:t>Dentro dos limiares das regras adotadas</w:t>
            </w:r>
          </w:p>
        </w:tc>
        <w:tc>
          <w:tcPr>
            <w:tcW w:type="dxa" w:w="2268"/>
          </w:tcPr>
          <w:p>
            <w:pPr>
              <w:jc w:val="left"/>
            </w:pPr>
            <w:r>
              <w:rPr>
                <w:rFonts w:ascii="Times New Roman" w:hAnsi="Times New Roman" w:cs="Times New Roman" w:eastAsia="Times New Roman"/>
                <w:i/>
                <w:sz w:val="20"/>
              </w:rPr>
              <w:t>eslint-plugin-sonarjs</w:t>
            </w:r>
            <w:r>
              <w:rPr>
                <w:rFonts w:ascii="Times New Roman" w:hAnsi="Times New Roman" w:cs="Times New Roman" w:eastAsia="Times New Roman"/>
                <w:sz w:val="20"/>
              </w:rPr>
              <w:t xml:space="preserve"> (em substituição ao SonarQube)</w:t>
            </w:r>
          </w:p>
        </w:tc>
      </w:tr>
      <w:tr>
        <w:tc>
          <w:tcPr>
            <w:tcW w:type="dxa" w:w="2268"/>
          </w:tcPr>
          <w:p>
            <w:pPr>
              <w:jc w:val="left"/>
            </w:pPr>
            <w:r>
              <w:rPr>
                <w:rFonts w:ascii="Times New Roman" w:hAnsi="Times New Roman" w:cs="Times New Roman" w:eastAsia="Times New Roman"/>
                <w:sz w:val="20"/>
              </w:rPr>
              <w:t>Duplicação de código</w:t>
            </w:r>
          </w:p>
        </w:tc>
        <w:tc>
          <w:tcPr>
            <w:tcW w:type="dxa" w:w="2268"/>
          </w:tcPr>
          <w:p>
            <w:pPr>
              <w:jc w:val="left"/>
            </w:pPr>
            <w:r>
              <w:rPr>
                <w:rFonts w:ascii="Times New Roman" w:hAnsi="Times New Roman" w:cs="Times New Roman" w:eastAsia="Times New Roman"/>
                <w:sz w:val="20"/>
              </w:rPr>
              <w:t>% de linhas duplicadas</w:t>
            </w:r>
          </w:p>
        </w:tc>
        <w:tc>
          <w:tcPr>
            <w:tcW w:type="dxa" w:w="2268"/>
          </w:tcPr>
          <w:p>
            <w:pPr>
              <w:jc w:val="left"/>
            </w:pPr>
            <w:r>
              <w:rPr>
                <w:rFonts w:ascii="Times New Roman" w:hAnsi="Times New Roman" w:cs="Times New Roman" w:eastAsia="Times New Roman"/>
                <w:sz w:val="20"/>
              </w:rPr>
              <w:t>Menor ou igual a 3%</w:t>
            </w:r>
          </w:p>
        </w:tc>
        <w:tc>
          <w:tcPr>
            <w:tcW w:type="dxa" w:w="2268"/>
          </w:tcPr>
          <w:p>
            <w:pPr>
              <w:jc w:val="left"/>
            </w:pPr>
            <w:r>
              <w:rPr>
                <w:rFonts w:ascii="Times New Roman" w:hAnsi="Times New Roman" w:cs="Times New Roman" w:eastAsia="Times New Roman"/>
                <w:i/>
                <w:sz w:val="20"/>
              </w:rPr>
              <w:t>jscpd</w:t>
            </w:r>
            <w:r>
              <w:rPr>
                <w:rFonts w:ascii="Times New Roman" w:hAnsi="Times New Roman" w:cs="Times New Roman" w:eastAsia="Times New Roman"/>
                <w:sz w:val="20"/>
              </w:rPr>
              <w:t xml:space="preserve"> (em substituição ao SonarQube)</w:t>
            </w:r>
          </w:p>
        </w:tc>
      </w:tr>
      <w:tr>
        <w:tc>
          <w:tcPr>
            <w:tcW w:type="dxa" w:w="2268"/>
          </w:tcPr>
          <w:p>
            <w:pPr>
              <w:jc w:val="left"/>
            </w:pPr>
            <w:r>
              <w:rPr>
                <w:rFonts w:ascii="Times New Roman" w:hAnsi="Times New Roman" w:cs="Times New Roman" w:eastAsia="Times New Roman"/>
                <w:sz w:val="20"/>
              </w:rPr>
              <w:t>Modularização e acoplamento</w:t>
            </w:r>
          </w:p>
        </w:tc>
        <w:tc>
          <w:tcPr>
            <w:tcW w:type="dxa" w:w="2268"/>
          </w:tcPr>
          <w:p>
            <w:pPr>
              <w:jc w:val="left"/>
            </w:pPr>
            <w:r>
              <w:rPr>
                <w:rFonts w:ascii="Times New Roman" w:hAnsi="Times New Roman" w:cs="Times New Roman" w:eastAsia="Times New Roman"/>
                <w:sz w:val="20"/>
              </w:rPr>
              <w:t>Nº de dependências circulares; grafo de dependências</w:t>
            </w:r>
          </w:p>
        </w:tc>
        <w:tc>
          <w:tcPr>
            <w:tcW w:type="dxa" w:w="2268"/>
          </w:tcPr>
          <w:p>
            <w:pPr>
              <w:jc w:val="left"/>
            </w:pPr>
            <w:r>
              <w:rPr>
                <w:rFonts w:ascii="Times New Roman" w:hAnsi="Times New Roman" w:cs="Times New Roman" w:eastAsia="Times New Roman"/>
                <w:sz w:val="20"/>
              </w:rPr>
              <w:t>0 ciclos</w:t>
            </w:r>
          </w:p>
        </w:tc>
        <w:tc>
          <w:tcPr>
            <w:tcW w:type="dxa" w:w="2268"/>
          </w:tcPr>
          <w:p>
            <w:pPr>
              <w:jc w:val="left"/>
            </w:pPr>
            <w:r>
              <w:rPr>
                <w:rFonts w:ascii="Times New Roman" w:hAnsi="Times New Roman" w:cs="Times New Roman" w:eastAsia="Times New Roman"/>
                <w:sz w:val="20"/>
              </w:rPr>
              <w:t>Madge e dependency-cruiser</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5.2.5 Confiabilidade</w:t>
      </w:r>
    </w:p>
    <w:p>
      <w:pPr>
        <w:jc w:val="left"/>
      </w:pPr>
      <w:r>
        <w:rPr>
          <w:rFonts w:ascii="Times New Roman" w:hAnsi="Times New Roman" w:cs="Times New Roman" w:eastAsia="Times New Roman"/>
          <w:b/>
          <w:sz w:val="24"/>
        </w:rPr>
        <w:t>Tabela 11 — Cenários, métricas e critérios de confiabilidade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 xml:space="preserve">Consistência da máquina de estados do </w:t>
            </w:r>
            <w:r>
              <w:rPr>
                <w:rFonts w:ascii="Times New Roman" w:hAnsi="Times New Roman" w:cs="Times New Roman" w:eastAsia="Times New Roman"/>
                <w:i/>
                <w:sz w:val="20"/>
              </w:rPr>
              <w:t>booking</w:t>
            </w:r>
          </w:p>
        </w:tc>
        <w:tc>
          <w:tcPr>
            <w:tcW w:type="dxa" w:w="2268"/>
          </w:tcPr>
          <w:p>
            <w:pPr>
              <w:jc w:val="left"/>
            </w:pPr>
            <w:r>
              <w:rPr>
                <w:rFonts w:ascii="Times New Roman" w:hAnsi="Times New Roman" w:cs="Times New Roman" w:eastAsia="Times New Roman"/>
                <w:sz w:val="20"/>
              </w:rPr>
              <w:t>Nº de transições inválidas aceitas</w:t>
            </w:r>
          </w:p>
        </w:tc>
        <w:tc>
          <w:tcPr>
            <w:tcW w:type="dxa" w:w="2268"/>
          </w:tcPr>
          <w:p>
            <w:pPr>
              <w:jc w:val="left"/>
            </w:pPr>
            <w:r>
              <w:rPr>
                <w:rFonts w:ascii="Times New Roman" w:hAnsi="Times New Roman" w:cs="Times New Roman" w:eastAsia="Times New Roman"/>
                <w:sz w:val="20"/>
              </w:rPr>
              <w:t>0 transições inválidas</w:t>
            </w:r>
          </w:p>
        </w:tc>
        <w:tc>
          <w:tcPr>
            <w:tcW w:type="dxa" w:w="2268"/>
          </w:tcPr>
          <w:p>
            <w:pPr>
              <w:jc w:val="left"/>
            </w:pPr>
            <w:r>
              <w:rPr>
                <w:rFonts w:ascii="Times New Roman" w:hAnsi="Times New Roman" w:cs="Times New Roman" w:eastAsia="Times New Roman"/>
                <w:sz w:val="20"/>
              </w:rPr>
              <w:t xml:space="preserve">Teste de integração do </w:t>
            </w:r>
            <w:r>
              <w:rPr>
                <w:rFonts w:ascii="Times New Roman" w:hAnsi="Times New Roman" w:cs="Times New Roman" w:eastAsia="Times New Roman"/>
                <w:i/>
                <w:sz w:val="20"/>
              </w:rPr>
              <w:t>trigger</w:t>
            </w:r>
          </w:p>
        </w:tc>
      </w:tr>
      <w:tr>
        <w:tc>
          <w:tcPr>
            <w:tcW w:type="dxa" w:w="2268"/>
          </w:tcPr>
          <w:p>
            <w:pPr>
              <w:jc w:val="left"/>
            </w:pPr>
            <w:r>
              <w:rPr>
                <w:rFonts w:ascii="Times New Roman" w:hAnsi="Times New Roman" w:cs="Times New Roman" w:eastAsia="Times New Roman"/>
                <w:sz w:val="20"/>
              </w:rPr>
              <w:t>Integridade referencial em exclusões em cascata</w:t>
            </w:r>
          </w:p>
        </w:tc>
        <w:tc>
          <w:tcPr>
            <w:tcW w:type="dxa" w:w="2268"/>
          </w:tcPr>
          <w:p>
            <w:pPr>
              <w:jc w:val="left"/>
            </w:pPr>
            <w:r>
              <w:rPr>
                <w:rFonts w:ascii="Times New Roman" w:hAnsi="Times New Roman" w:cs="Times New Roman" w:eastAsia="Times New Roman"/>
                <w:sz w:val="20"/>
              </w:rPr>
              <w:t>Nº de registros órfãos após exclusão</w:t>
            </w:r>
          </w:p>
        </w:tc>
        <w:tc>
          <w:tcPr>
            <w:tcW w:type="dxa" w:w="2268"/>
          </w:tcPr>
          <w:p>
            <w:pPr>
              <w:jc w:val="left"/>
            </w:pPr>
            <w:r>
              <w:rPr>
                <w:rFonts w:ascii="Times New Roman" w:hAnsi="Times New Roman" w:cs="Times New Roman" w:eastAsia="Times New Roman"/>
                <w:sz w:val="20"/>
              </w:rPr>
              <w:t>0 órfãos</w:t>
            </w:r>
          </w:p>
        </w:tc>
        <w:tc>
          <w:tcPr>
            <w:tcW w:type="dxa" w:w="2268"/>
          </w:tcPr>
          <w:p>
            <w:pPr>
              <w:jc w:val="left"/>
            </w:pPr>
            <w:r>
              <w:rPr>
                <w:rFonts w:ascii="Times New Roman" w:hAnsi="Times New Roman" w:cs="Times New Roman" w:eastAsia="Times New Roman"/>
                <w:sz w:val="20"/>
              </w:rPr>
              <w:t>Teste de integração</w:t>
            </w:r>
          </w:p>
        </w:tc>
      </w:tr>
      <w:tr>
        <w:tc>
          <w:tcPr>
            <w:tcW w:type="dxa" w:w="2268"/>
          </w:tcPr>
          <w:p>
            <w:pPr>
              <w:jc w:val="left"/>
            </w:pPr>
            <w:r>
              <w:rPr>
                <w:rFonts w:ascii="Times New Roman" w:hAnsi="Times New Roman" w:cs="Times New Roman" w:eastAsia="Times New Roman"/>
                <w:sz w:val="20"/>
              </w:rPr>
              <w:t xml:space="preserve">Fluxos críticos ponta a ponta (autenticação,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review</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Taxa de sucesso dos fluxos</w:t>
            </w:r>
          </w:p>
        </w:tc>
        <w:tc>
          <w:tcPr>
            <w:tcW w:type="dxa" w:w="2268"/>
          </w:tcPr>
          <w:p>
            <w:pPr>
              <w:jc w:val="left"/>
            </w:pPr>
            <w:r>
              <w:rPr>
                <w:rFonts w:ascii="Times New Roman" w:hAnsi="Times New Roman" w:cs="Times New Roman" w:eastAsia="Times New Roman"/>
                <w:sz w:val="20"/>
              </w:rPr>
              <w:t>100% nos casos válidos</w:t>
            </w:r>
          </w:p>
        </w:tc>
        <w:tc>
          <w:tcPr>
            <w:tcW w:type="dxa" w:w="2268"/>
          </w:tcPr>
          <w:p>
            <w:pPr>
              <w:jc w:val="left"/>
            </w:pPr>
            <w:r>
              <w:rPr>
                <w:rFonts w:ascii="Times New Roman" w:hAnsi="Times New Roman" w:cs="Times New Roman" w:eastAsia="Times New Roman"/>
                <w:sz w:val="20"/>
              </w:rPr>
              <w:t>Testes de integração</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5.3 Ferramentas: papel e disponibilidade</w:t>
      </w:r>
    </w:p>
    <w:p>
      <w:pPr>
        <w:ind w:firstLine="700"/>
        <w:jc w:val="both"/>
      </w:pPr>
      <w:r>
        <w:rPr>
          <w:rFonts w:ascii="Times New Roman" w:hAnsi="Times New Roman" w:cs="Times New Roman" w:eastAsia="Times New Roman"/>
          <w:sz w:val="24"/>
        </w:rPr>
        <w:t>A Tabela 12 consolida as ferramentas efetivamente empregadas na execução, registrando as substituições em relação ao plano inicial. Todas as trocas preservaram a classe de ferramenta e as métricas coletadas, conforme a Seção 3.4.</w:t>
      </w:r>
    </w:p>
    <w:p>
      <w:pPr>
        <w:jc w:val="left"/>
      </w:pPr>
      <w:r>
        <w:rPr>
          <w:rFonts w:ascii="Times New Roman" w:hAnsi="Times New Roman" w:cs="Times New Roman" w:eastAsia="Times New Roman"/>
          <w:b/>
          <w:sz w:val="24"/>
        </w:rPr>
        <w:t>Tabela 12 — Ferramentas empregadas e substituições em relação ao plano inicial</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Categoria</w:t>
            </w:r>
          </w:p>
        </w:tc>
        <w:tc>
          <w:tcPr>
            <w:tcW w:type="dxa" w:w="2268"/>
            <w:tcBorders>
              <w:bottom w:val="single" w:sz="8" w:space="0" w:color="auto"/>
            </w:tcBorders>
          </w:tcPr>
          <w:p>
            <w:pPr>
              <w:jc w:val="left"/>
            </w:pPr>
            <w:r>
              <w:rPr>
                <w:rFonts w:ascii="Times New Roman" w:hAnsi="Times New Roman" w:cs="Times New Roman" w:eastAsia="Times New Roman"/>
                <w:b/>
                <w:sz w:val="20"/>
              </w:rPr>
              <w:t>Ferramenta empregada</w:t>
            </w:r>
          </w:p>
        </w:tc>
        <w:tc>
          <w:tcPr>
            <w:tcW w:type="dxa" w:w="2268"/>
            <w:tcBorders>
              <w:bottom w:val="single" w:sz="8" w:space="0" w:color="auto"/>
            </w:tcBorders>
          </w:tcPr>
          <w:p>
            <w:pPr>
              <w:jc w:val="left"/>
            </w:pPr>
            <w:r>
              <w:rPr>
                <w:rFonts w:ascii="Times New Roman" w:hAnsi="Times New Roman" w:cs="Times New Roman" w:eastAsia="Times New Roman"/>
                <w:b/>
                <w:sz w:val="20"/>
              </w:rPr>
              <w:t>Prevista no plano inicial</w:t>
            </w:r>
          </w:p>
        </w:tc>
        <w:tc>
          <w:tcPr>
            <w:tcW w:type="dxa" w:w="2268"/>
            <w:tcBorders>
              <w:bottom w:val="single" w:sz="8" w:space="0" w:color="auto"/>
            </w:tcBorders>
          </w:tcPr>
          <w:p>
            <w:pPr>
              <w:jc w:val="left"/>
            </w:pPr>
            <w:r>
              <w:rPr>
                <w:rFonts w:ascii="Times New Roman" w:hAnsi="Times New Roman" w:cs="Times New Roman" w:eastAsia="Times New Roman"/>
                <w:b/>
                <w:sz w:val="20"/>
              </w:rPr>
              <w:t>Situação</w:t>
            </w:r>
          </w:p>
        </w:tc>
      </w:tr>
      <w:tr>
        <w:tc>
          <w:tcPr>
            <w:tcW w:type="dxa" w:w="2268"/>
          </w:tcPr>
          <w:p>
            <w:pPr>
              <w:jc w:val="left"/>
            </w:pPr>
            <w:r>
              <w:rPr>
                <w:rFonts w:ascii="Times New Roman" w:hAnsi="Times New Roman" w:cs="Times New Roman" w:eastAsia="Times New Roman"/>
                <w:sz w:val="20"/>
              </w:rPr>
              <w:t>Teste automatizado</w:t>
            </w:r>
          </w:p>
        </w:tc>
        <w:tc>
          <w:tcPr>
            <w:tcW w:type="dxa" w:w="2268"/>
          </w:tcPr>
          <w:p>
            <w:pPr>
              <w:jc w:val="left"/>
            </w:pPr>
            <w:r>
              <w:rPr>
                <w:rFonts w:ascii="Times New Roman" w:hAnsi="Times New Roman" w:cs="Times New Roman" w:eastAsia="Times New Roman"/>
                <w:sz w:val="20"/>
              </w:rPr>
              <w:t>Vitest, React Testing Library</w:t>
            </w:r>
          </w:p>
        </w:tc>
        <w:tc>
          <w:tcPr>
            <w:tcW w:type="dxa" w:w="2268"/>
          </w:tcPr>
          <w:p>
            <w:pPr>
              <w:jc w:val="left"/>
            </w:pPr>
            <w:r>
              <w:rPr>
                <w:rFonts w:ascii="Times New Roman" w:hAnsi="Times New Roman" w:cs="Times New Roman" w:eastAsia="Times New Roman"/>
                <w:sz w:val="20"/>
              </w:rPr>
              <w:t>Vitest, React Testing Library</w:t>
            </w:r>
          </w:p>
        </w:tc>
        <w:tc>
          <w:tcPr>
            <w:tcW w:type="dxa" w:w="2268"/>
          </w:tcPr>
          <w:p>
            <w:pPr>
              <w:jc w:val="left"/>
            </w:pPr>
            <w:r>
              <w:rPr>
                <w:rFonts w:ascii="Times New Roman" w:hAnsi="Times New Roman" w:cs="Times New Roman" w:eastAsia="Times New Roman"/>
                <w:sz w:val="20"/>
              </w:rPr>
              <w:t>Utilizada; suíte ampliada na execução</w:t>
            </w:r>
          </w:p>
        </w:tc>
      </w:tr>
      <w:tr>
        <w:tc>
          <w:tcPr>
            <w:tcW w:type="dxa" w:w="2268"/>
          </w:tcPr>
          <w:p>
            <w:pPr>
              <w:jc w:val="left"/>
            </w:pPr>
            <w:r>
              <w:rPr>
                <w:rFonts w:ascii="Times New Roman" w:hAnsi="Times New Roman" w:cs="Times New Roman" w:eastAsia="Times New Roman"/>
                <w:sz w:val="20"/>
              </w:rPr>
              <w:t>Teste de integração</w:t>
            </w:r>
          </w:p>
        </w:tc>
        <w:tc>
          <w:tcPr>
            <w:tcW w:type="dxa" w:w="2268"/>
          </w:tcPr>
          <w:p>
            <w:pPr>
              <w:jc w:val="left"/>
            </w:pPr>
            <w:r>
              <w:rPr>
                <w:rFonts w:ascii="Times New Roman" w:hAnsi="Times New Roman" w:cs="Times New Roman" w:eastAsia="Times New Roman"/>
                <w:sz w:val="20"/>
              </w:rPr>
              <w:t>Vitest contra Supabase local via PostgREST</w:t>
            </w:r>
          </w:p>
        </w:tc>
        <w:tc>
          <w:tcPr>
            <w:tcW w:type="dxa" w:w="2268"/>
          </w:tcPr>
          <w:p>
            <w:pPr>
              <w:jc w:val="left"/>
            </w:pPr>
            <w:r>
              <w:rPr>
                <w:rFonts w:ascii="Times New Roman" w:hAnsi="Times New Roman" w:cs="Times New Roman" w:eastAsia="Times New Roman"/>
                <w:sz w:val="20"/>
              </w:rPr>
              <w:t>Testes contra a API</w:t>
            </w:r>
          </w:p>
        </w:tc>
        <w:tc>
          <w:tcPr>
            <w:tcW w:type="dxa" w:w="2268"/>
          </w:tcPr>
          <w:p>
            <w:pPr>
              <w:jc w:val="left"/>
            </w:pPr>
            <w:r>
              <w:rPr>
                <w:rFonts w:ascii="Times New Roman" w:hAnsi="Times New Roman" w:cs="Times New Roman" w:eastAsia="Times New Roman"/>
                <w:sz w:val="20"/>
              </w:rPr>
              <w:t>Utilizada</w:t>
            </w:r>
          </w:p>
        </w:tc>
      </w:tr>
      <w:tr>
        <w:tc>
          <w:tcPr>
            <w:tcW w:type="dxa" w:w="2268"/>
          </w:tcPr>
          <w:p>
            <w:pPr>
              <w:jc w:val="left"/>
            </w:pPr>
            <w:r>
              <w:rPr>
                <w:rFonts w:ascii="Times New Roman" w:hAnsi="Times New Roman" w:cs="Times New Roman" w:eastAsia="Times New Roman"/>
                <w:sz w:val="20"/>
              </w:rPr>
              <w:t>Análise estática</w:t>
            </w:r>
          </w:p>
        </w:tc>
        <w:tc>
          <w:tcPr>
            <w:tcW w:type="dxa" w:w="2268"/>
          </w:tcPr>
          <w:p>
            <w:pPr>
              <w:jc w:val="left"/>
            </w:pPr>
            <w:r>
              <w:rPr>
                <w:rFonts w:ascii="Times New Roman" w:hAnsi="Times New Roman" w:cs="Times New Roman" w:eastAsia="Times New Roman"/>
                <w:sz w:val="20"/>
              </w:rPr>
              <w:t>ESLint (</w:t>
            </w:r>
            <w:r>
              <w:rPr>
                <w:rFonts w:ascii="Times New Roman" w:hAnsi="Times New Roman" w:cs="Times New Roman" w:eastAsia="Times New Roman"/>
                <w:i/>
                <w:sz w:val="20"/>
              </w:rPr>
              <w:t>flat config</w:t>
            </w:r>
            <w:r>
              <w:rPr>
                <w:rFonts w:ascii="Times New Roman" w:hAnsi="Times New Roman" w:cs="Times New Roman" w:eastAsia="Times New Roman"/>
                <w:sz w:val="20"/>
              </w:rPr>
              <w:t>, ESLint 9)</w:t>
            </w:r>
          </w:p>
        </w:tc>
        <w:tc>
          <w:tcPr>
            <w:tcW w:type="dxa" w:w="2268"/>
          </w:tcPr>
          <w:p>
            <w:pPr>
              <w:jc w:val="left"/>
            </w:pPr>
            <w:r>
              <w:rPr>
                <w:rFonts w:ascii="Times New Roman" w:hAnsi="Times New Roman" w:cs="Times New Roman" w:eastAsia="Times New Roman"/>
                <w:sz w:val="20"/>
              </w:rPr>
              <w:t>ESLint</w:t>
            </w:r>
          </w:p>
        </w:tc>
        <w:tc>
          <w:tcPr>
            <w:tcW w:type="dxa" w:w="2268"/>
          </w:tcPr>
          <w:p>
            <w:pPr>
              <w:jc w:val="left"/>
            </w:pPr>
            <w:r>
              <w:rPr>
                <w:rFonts w:ascii="Times New Roman" w:hAnsi="Times New Roman" w:cs="Times New Roman" w:eastAsia="Times New Roman"/>
                <w:sz w:val="20"/>
              </w:rPr>
              <w:t>Utilizada; complementada com regras de qualidade</w:t>
            </w:r>
          </w:p>
        </w:tc>
      </w:tr>
      <w:tr>
        <w:tc>
          <w:tcPr>
            <w:tcW w:type="dxa" w:w="2268"/>
          </w:tcPr>
          <w:p>
            <w:pPr>
              <w:jc w:val="left"/>
            </w:pPr>
            <w:r>
              <w:rPr>
                <w:rFonts w:ascii="Times New Roman" w:hAnsi="Times New Roman" w:cs="Times New Roman" w:eastAsia="Times New Roman"/>
                <w:sz w:val="20"/>
              </w:rPr>
              <w:t xml:space="preserve">Complexidade 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i/>
                <w:sz w:val="20"/>
              </w:rPr>
              <w:t>eslint-plugin-sonarjs</w:t>
            </w:r>
          </w:p>
        </w:tc>
        <w:tc>
          <w:tcPr>
            <w:tcW w:type="dxa" w:w="2268"/>
          </w:tcPr>
          <w:p>
            <w:pPr>
              <w:jc w:val="left"/>
            </w:pPr>
            <w:r>
              <w:rPr>
                <w:rFonts w:ascii="Times New Roman" w:hAnsi="Times New Roman" w:cs="Times New Roman" w:eastAsia="Times New Roman"/>
                <w:sz w:val="20"/>
              </w:rPr>
              <w:t>SonarQube</w:t>
            </w:r>
          </w:p>
        </w:tc>
        <w:tc>
          <w:tcPr>
            <w:tcW w:type="dxa" w:w="2268"/>
          </w:tcPr>
          <w:p>
            <w:pPr>
              <w:jc w:val="left"/>
            </w:pPr>
            <w:r>
              <w:rPr>
                <w:rFonts w:ascii="Times New Roman" w:hAnsi="Times New Roman" w:cs="Times New Roman" w:eastAsia="Times New Roman"/>
                <w:sz w:val="20"/>
              </w:rPr>
              <w:t>Substituída (SonarQube exige serviço externo)</w:t>
            </w:r>
          </w:p>
        </w:tc>
      </w:tr>
      <w:tr>
        <w:tc>
          <w:tcPr>
            <w:tcW w:type="dxa" w:w="2268"/>
          </w:tcPr>
          <w:p>
            <w:pPr>
              <w:jc w:val="left"/>
            </w:pPr>
            <w:r>
              <w:rPr>
                <w:rFonts w:ascii="Times New Roman" w:hAnsi="Times New Roman" w:cs="Times New Roman" w:eastAsia="Times New Roman"/>
                <w:sz w:val="20"/>
              </w:rPr>
              <w:t>Duplicação</w:t>
            </w:r>
          </w:p>
        </w:tc>
        <w:tc>
          <w:tcPr>
            <w:tcW w:type="dxa" w:w="2268"/>
          </w:tcPr>
          <w:p>
            <w:pPr>
              <w:jc w:val="left"/>
            </w:pPr>
            <w:r>
              <w:rPr>
                <w:rFonts w:ascii="Times New Roman" w:hAnsi="Times New Roman" w:cs="Times New Roman" w:eastAsia="Times New Roman"/>
                <w:i/>
                <w:sz w:val="20"/>
              </w:rPr>
              <w:t>jscpd</w:t>
            </w:r>
          </w:p>
        </w:tc>
        <w:tc>
          <w:tcPr>
            <w:tcW w:type="dxa" w:w="2268"/>
          </w:tcPr>
          <w:p>
            <w:pPr>
              <w:jc w:val="left"/>
            </w:pPr>
            <w:r>
              <w:rPr>
                <w:rFonts w:ascii="Times New Roman" w:hAnsi="Times New Roman" w:cs="Times New Roman" w:eastAsia="Times New Roman"/>
                <w:sz w:val="20"/>
              </w:rPr>
              <w:t>SonarQube</w:t>
            </w:r>
          </w:p>
        </w:tc>
        <w:tc>
          <w:tcPr>
            <w:tcW w:type="dxa" w:w="2268"/>
          </w:tcPr>
          <w:p>
            <w:pPr>
              <w:jc w:val="left"/>
            </w:pPr>
            <w:r>
              <w:rPr>
                <w:rFonts w:ascii="Times New Roman" w:hAnsi="Times New Roman" w:cs="Times New Roman" w:eastAsia="Times New Roman"/>
                <w:sz w:val="20"/>
              </w:rPr>
              <w:t>Substituída</w:t>
            </w:r>
          </w:p>
        </w:tc>
      </w:tr>
      <w:tr>
        <w:tc>
          <w:tcPr>
            <w:tcW w:type="dxa" w:w="2268"/>
          </w:tcPr>
          <w:p>
            <w:pPr>
              <w:jc w:val="left"/>
            </w:pPr>
            <w:r>
              <w:rPr>
                <w:rFonts w:ascii="Times New Roman" w:hAnsi="Times New Roman" w:cs="Times New Roman" w:eastAsia="Times New Roman"/>
                <w:sz w:val="20"/>
              </w:rPr>
              <w:t>Dependências e modularização</w:t>
            </w:r>
          </w:p>
        </w:tc>
        <w:tc>
          <w:tcPr>
            <w:tcW w:type="dxa" w:w="2268"/>
          </w:tcPr>
          <w:p>
            <w:pPr>
              <w:jc w:val="left"/>
            </w:pPr>
            <w:r>
              <w:rPr>
                <w:rFonts w:ascii="Times New Roman" w:hAnsi="Times New Roman" w:cs="Times New Roman" w:eastAsia="Times New Roman"/>
                <w:sz w:val="20"/>
              </w:rPr>
              <w:t>Madge, dependency-cruiser</w:t>
            </w:r>
          </w:p>
        </w:tc>
        <w:tc>
          <w:tcPr>
            <w:tcW w:type="dxa" w:w="2268"/>
          </w:tcPr>
          <w:p>
            <w:pPr>
              <w:jc w:val="left"/>
            </w:pPr>
            <w:r>
              <w:rPr>
                <w:rFonts w:ascii="Times New Roman" w:hAnsi="Times New Roman" w:cs="Times New Roman" w:eastAsia="Times New Roman"/>
                <w:sz w:val="20"/>
              </w:rPr>
              <w:t>Madge, dependency-cruiser</w:t>
            </w:r>
          </w:p>
        </w:tc>
        <w:tc>
          <w:tcPr>
            <w:tcW w:type="dxa" w:w="2268"/>
          </w:tcPr>
          <w:p>
            <w:pPr>
              <w:jc w:val="left"/>
            </w:pPr>
            <w:r>
              <w:rPr>
                <w:rFonts w:ascii="Times New Roman" w:hAnsi="Times New Roman" w:cs="Times New Roman" w:eastAsia="Times New Roman"/>
                <w:sz w:val="20"/>
              </w:rPr>
              <w:t>Utilizadas</w:t>
            </w:r>
          </w:p>
        </w:tc>
      </w:tr>
      <w:tr>
        <w:tc>
          <w:tcPr>
            <w:tcW w:type="dxa" w:w="2268"/>
          </w:tcPr>
          <w:p>
            <w:pPr>
              <w:jc w:val="left"/>
            </w:pPr>
            <w:r>
              <w:rPr>
                <w:rFonts w:ascii="Times New Roman" w:hAnsi="Times New Roman" w:cs="Times New Roman" w:eastAsia="Times New Roman"/>
                <w:sz w:val="20"/>
              </w:rPr>
              <w:t>Desempenho (carregamento)</w:t>
            </w:r>
          </w:p>
        </w:tc>
        <w:tc>
          <w:tcPr>
            <w:tcW w:type="dxa" w:w="2268"/>
          </w:tcPr>
          <w:p>
            <w:pPr>
              <w:jc w:val="left"/>
            </w:pPr>
            <w:r>
              <w:rPr>
                <w:rFonts w:ascii="Times New Roman" w:hAnsi="Times New Roman" w:cs="Times New Roman" w:eastAsia="Times New Roman"/>
                <w:sz w:val="20"/>
              </w:rPr>
              <w:t>Lighthouse</w:t>
            </w:r>
          </w:p>
        </w:tc>
        <w:tc>
          <w:tcPr>
            <w:tcW w:type="dxa" w:w="2268"/>
          </w:tcPr>
          <w:p>
            <w:pPr>
              <w:jc w:val="left"/>
            </w:pPr>
            <w:r>
              <w:rPr>
                <w:rFonts w:ascii="Times New Roman" w:hAnsi="Times New Roman" w:cs="Times New Roman" w:eastAsia="Times New Roman"/>
                <w:sz w:val="20"/>
              </w:rPr>
              <w:t>Lighthouse</w:t>
            </w:r>
          </w:p>
        </w:tc>
        <w:tc>
          <w:tcPr>
            <w:tcW w:type="dxa" w:w="2268"/>
          </w:tcPr>
          <w:p>
            <w:pPr>
              <w:jc w:val="left"/>
            </w:pPr>
            <w:r>
              <w:rPr>
                <w:rFonts w:ascii="Times New Roman" w:hAnsi="Times New Roman" w:cs="Times New Roman" w:eastAsia="Times New Roman"/>
                <w:sz w:val="20"/>
              </w:rPr>
              <w:t xml:space="preserve">Utilizada sobre o </w:t>
            </w:r>
            <w:r>
              <w:rPr>
                <w:rFonts w:ascii="Times New Roman" w:hAnsi="Times New Roman" w:cs="Times New Roman" w:eastAsia="Times New Roman"/>
                <w:i/>
                <w:sz w:val="20"/>
              </w:rPr>
              <w:t>build</w:t>
            </w:r>
            <w:r>
              <w:rPr>
                <w:rFonts w:ascii="Times New Roman" w:hAnsi="Times New Roman" w:cs="Times New Roman" w:eastAsia="Times New Roman"/>
                <w:sz w:val="20"/>
              </w:rPr>
              <w:t xml:space="preserve"> de produção</w:t>
            </w:r>
          </w:p>
        </w:tc>
      </w:tr>
      <w:tr>
        <w:tc>
          <w:tcPr>
            <w:tcW w:type="dxa" w:w="2268"/>
          </w:tcPr>
          <w:p>
            <w:pPr>
              <w:jc w:val="left"/>
            </w:pPr>
            <w:r>
              <w:rPr>
                <w:rFonts w:ascii="Times New Roman" w:hAnsi="Times New Roman" w:cs="Times New Roman" w:eastAsia="Times New Roman"/>
                <w:sz w:val="20"/>
              </w:rPr>
              <w:t>Desempenho (carga)</w:t>
            </w:r>
          </w:p>
        </w:tc>
        <w:tc>
          <w:tcPr>
            <w:tcW w:type="dxa" w:w="2268"/>
          </w:tcPr>
          <w:p>
            <w:pPr>
              <w:jc w:val="left"/>
            </w:pPr>
            <w:r>
              <w:rPr>
                <w:rFonts w:ascii="Times New Roman" w:hAnsi="Times New Roman" w:cs="Times New Roman" w:eastAsia="Times New Roman"/>
                <w:sz w:val="20"/>
              </w:rPr>
              <w:t>autocannon</w:t>
            </w:r>
          </w:p>
        </w:tc>
        <w:tc>
          <w:tcPr>
            <w:tcW w:type="dxa" w:w="2268"/>
          </w:tcPr>
          <w:p>
            <w:pPr>
              <w:jc w:val="left"/>
            </w:pPr>
            <w:r>
              <w:rPr>
                <w:rFonts w:ascii="Times New Roman" w:hAnsi="Times New Roman" w:cs="Times New Roman" w:eastAsia="Times New Roman"/>
                <w:sz w:val="20"/>
              </w:rPr>
              <w:t>k6, JMeter</w:t>
            </w:r>
          </w:p>
        </w:tc>
        <w:tc>
          <w:tcPr>
            <w:tcW w:type="dxa" w:w="2268"/>
          </w:tcPr>
          <w:p>
            <w:pPr>
              <w:jc w:val="left"/>
            </w:pPr>
            <w:r>
              <w:rPr>
                <w:rFonts w:ascii="Times New Roman" w:hAnsi="Times New Roman" w:cs="Times New Roman" w:eastAsia="Times New Roman"/>
                <w:sz w:val="20"/>
              </w:rPr>
              <w:t>Substituída</w:t>
            </w:r>
          </w:p>
        </w:tc>
      </w:tr>
      <w:tr>
        <w:tc>
          <w:tcPr>
            <w:tcW w:type="dxa" w:w="2268"/>
          </w:tcPr>
          <w:p>
            <w:pPr>
              <w:jc w:val="left"/>
            </w:pPr>
            <w:r>
              <w:rPr>
                <w:rFonts w:ascii="Times New Roman" w:hAnsi="Times New Roman" w:cs="Times New Roman" w:eastAsia="Times New Roman"/>
                <w:sz w:val="20"/>
              </w:rPr>
              <w:t>Segurança (SCA)</w:t>
            </w:r>
          </w:p>
        </w:tc>
        <w:tc>
          <w:tcPr>
            <w:tcW w:type="dxa" w:w="2268"/>
          </w:tcPr>
          <w:p>
            <w:pPr>
              <w:jc w:val="left"/>
            </w:pPr>
            <w:r>
              <w:rPr>
                <w:rFonts w:ascii="Times New Roman" w:hAnsi="Times New Roman" w:cs="Times New Roman" w:eastAsia="Times New Roman"/>
                <w:i/>
                <w:sz w:val="20"/>
              </w:rPr>
              <w:t>npm audit</w:t>
            </w:r>
          </w:p>
        </w:tc>
        <w:tc>
          <w:tcPr>
            <w:tcW w:type="dxa" w:w="2268"/>
          </w:tcPr>
          <w:p>
            <w:pPr>
              <w:jc w:val="left"/>
            </w:pPr>
            <w:r>
              <w:rPr>
                <w:rFonts w:ascii="Times New Roman" w:hAnsi="Times New Roman" w:cs="Times New Roman" w:eastAsia="Times New Roman"/>
                <w:sz w:val="20"/>
              </w:rPr>
              <w:t>Snyk</w:t>
            </w:r>
          </w:p>
        </w:tc>
        <w:tc>
          <w:tcPr>
            <w:tcW w:type="dxa" w:w="2268"/>
          </w:tcPr>
          <w:p>
            <w:pPr>
              <w:jc w:val="left"/>
            </w:pPr>
            <w:r>
              <w:rPr>
                <w:rFonts w:ascii="Times New Roman" w:hAnsi="Times New Roman" w:cs="Times New Roman" w:eastAsia="Times New Roman"/>
                <w:sz w:val="20"/>
              </w:rPr>
              <w:t>Substituída (Snyk exige conta)</w:t>
            </w:r>
          </w:p>
        </w:tc>
      </w:tr>
      <w:tr>
        <w:tc>
          <w:tcPr>
            <w:tcW w:type="dxa" w:w="2268"/>
          </w:tcPr>
          <w:p>
            <w:pPr>
              <w:jc w:val="left"/>
            </w:pPr>
            <w:r>
              <w:rPr>
                <w:rFonts w:ascii="Times New Roman" w:hAnsi="Times New Roman" w:cs="Times New Roman" w:eastAsia="Times New Roman"/>
                <w:sz w:val="20"/>
              </w:rPr>
              <w:t>Segurança (</w:t>
            </w:r>
            <w:r>
              <w:rPr>
                <w:rFonts w:ascii="Times New Roman" w:hAnsi="Times New Roman" w:cs="Times New Roman" w:eastAsia="Times New Roman"/>
                <w:i/>
                <w:sz w:val="20"/>
              </w:rPr>
              <w:t>schema</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i/>
                <w:sz w:val="20"/>
              </w:rPr>
              <w:t>supabase db lint</w:t>
            </w:r>
          </w:p>
        </w:tc>
        <w:tc>
          <w:tcPr>
            <w:tcW w:type="dxa" w:w="2268"/>
          </w:tcPr>
          <w:p>
            <w:pPr>
              <w:jc w:val="left"/>
            </w:pP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Acrescentada na execução</w:t>
            </w:r>
          </w:p>
        </w:tc>
      </w:tr>
      <w:tr>
        <w:tc>
          <w:tcPr>
            <w:tcW w:type="dxa" w:w="2268"/>
          </w:tcPr>
          <w:p>
            <w:pPr>
              <w:jc w:val="left"/>
            </w:pPr>
            <w:r>
              <w:rPr>
                <w:rFonts w:ascii="Times New Roman" w:hAnsi="Times New Roman" w:cs="Times New Roman" w:eastAsia="Times New Roman"/>
                <w:sz w:val="20"/>
              </w:rPr>
              <w:t>Segurança (DAST)</w:t>
            </w:r>
          </w:p>
        </w:tc>
        <w:tc>
          <w:tcPr>
            <w:tcW w:type="dxa" w:w="2268"/>
          </w:tcPr>
          <w:p>
            <w:pPr>
              <w:jc w:val="left"/>
            </w:pPr>
            <w:r>
              <w:rPr>
                <w:rFonts w:ascii="Times New Roman" w:hAnsi="Times New Roman" w:cs="Times New Roman" w:eastAsia="Times New Roman"/>
                <w:sz w:val="20"/>
              </w:rPr>
              <w:t>OWASP ZAP</w:t>
            </w:r>
          </w:p>
        </w:tc>
        <w:tc>
          <w:tcPr>
            <w:tcW w:type="dxa" w:w="2268"/>
          </w:tcPr>
          <w:p>
            <w:pPr>
              <w:jc w:val="left"/>
            </w:pPr>
            <w:r>
              <w:rPr>
                <w:rFonts w:ascii="Times New Roman" w:hAnsi="Times New Roman" w:cs="Times New Roman" w:eastAsia="Times New Roman"/>
                <w:sz w:val="20"/>
              </w:rPr>
              <w:t>OWASP ZAP</w:t>
            </w:r>
          </w:p>
        </w:tc>
        <w:tc>
          <w:tcPr>
            <w:tcW w:type="dxa" w:w="2268"/>
          </w:tcPr>
          <w:p>
            <w:pPr>
              <w:jc w:val="left"/>
            </w:pPr>
            <w:r>
              <w:rPr>
                <w:rFonts w:ascii="Times New Roman" w:hAnsi="Times New Roman" w:cs="Times New Roman" w:eastAsia="Times New Roman"/>
                <w:b/>
                <w:sz w:val="20"/>
              </w:rPr>
              <w:t>Pendente</w:t>
            </w:r>
            <w:r>
              <w:rPr>
                <w:rFonts w:ascii="Times New Roman" w:hAnsi="Times New Roman" w:cs="Times New Roman" w:eastAsia="Times New Roman"/>
                <w:sz w:val="20"/>
              </w:rPr>
              <w:t xml:space="preserve"> — depende da URL de produção</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5.4 Ambiente experimental e ameaças à validade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Ambiente:</w:t>
      </w:r>
      <w:r>
        <w:rPr>
          <w:rFonts w:ascii="Times New Roman" w:hAnsi="Times New Roman" w:cs="Times New Roman" w:eastAsia="Times New Roman"/>
          <w:sz w:val="24"/>
        </w:rPr>
        <w:t xml:space="preserve"> os testes de desempenho utilizaram o </w:t>
      </w:r>
      <w:r>
        <w:rPr>
          <w:rFonts w:ascii="Times New Roman" w:hAnsi="Times New Roman" w:cs="Times New Roman" w:eastAsia="Times New Roman"/>
          <w:i/>
          <w:sz w:val="24"/>
        </w:rPr>
        <w:t>build</w:t>
      </w:r>
      <w:r>
        <w:rPr>
          <w:rFonts w:ascii="Times New Roman" w:hAnsi="Times New Roman" w:cs="Times New Roman" w:eastAsia="Times New Roman"/>
          <w:sz w:val="24"/>
        </w:rPr>
        <w:t xml:space="preserve"> de produção (</w:t>
      </w:r>
      <w:r>
        <w:rPr>
          <w:rFonts w:ascii="Times New Roman" w:hAnsi="Times New Roman" w:cs="Times New Roman" w:eastAsia="Times New Roman"/>
          <w:i/>
          <w:sz w:val="24"/>
        </w:rPr>
        <w:t>vite build</w:t>
      </w:r>
      <w:r>
        <w:rPr>
          <w:rFonts w:ascii="Times New Roman" w:hAnsi="Times New Roman" w:cs="Times New Roman" w:eastAsia="Times New Roman"/>
          <w:sz w:val="24"/>
        </w:rPr>
        <w:t>), e as medições de segurança e de RLS ocorreram contra uma instância Supabase local em contêiner, evitando dados reais de produção.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Ameaças à validade:</w:t>
      </w:r>
      <w:r>
        <w:rPr>
          <w:rFonts w:ascii="Times New Roman" w:hAnsi="Times New Roman" w:cs="Times New Roman" w:eastAsia="Times New Roman"/>
          <w:sz w:val="24"/>
        </w:rPr>
        <w:t xml:space="preserve"> variabilidade de rede e do plano de serviço gerenciado (validade externa); dependência da configuração do ambiente de carga (validade de conclusão); representatividade dos cenários frente ao uso real (validade de construção). Tais ameaças foram mitigadas pela repetição das medições (mediana de três execuções, no caso do Lighthouse), pela fixação de parâmetros e pelo registro das condições de cada execução em </w:t>
      </w:r>
      <w:r>
        <w:rPr>
          <w:rFonts w:ascii="Times New Roman" w:hAnsi="Times New Roman" w:cs="Times New Roman" w:eastAsia="Times New Roman"/>
          <w:i/>
          <w:sz w:val="24"/>
        </w:rPr>
        <w:t>docs/tcc/medicoes/evidencias/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6 AVALIAÇÃO ARQUITETURAL COM ATAM</w:t>
      </w:r>
    </w:p>
    <w:p>
      <w:pPr>
        <w:ind w:firstLine="700"/>
        <w:jc w:val="both"/>
      </w:pPr>
      <w:r>
        <w:rPr>
          <w:rFonts w:ascii="Times New Roman" w:hAnsi="Times New Roman" w:cs="Times New Roman" w:eastAsia="Times New Roman"/>
          <w:sz w:val="24"/>
        </w:rPr>
        <w:t xml:space="preserve">Esta seção apresenta a aplicação do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(ATAM) à arquitetura do Hubservi, conforme Clements, Kazman e Klein (2002). O ATAM complementa o plano de métricas (Seção 5): enquanto este coleta evidências quantitativas, o ATAM organiza a análise qualitativa das decisões arquiteturais, evidenciando riscos, pontos de sensibilidade e pontos de compromisso.</w:t>
      </w:r>
    </w:p>
    <w:p>
      <w:pPr>
        <w:jc w:val="left"/>
      </w:pPr>
      <w:r>
        <w:rPr>
          <w:rFonts w:ascii="Times New Roman" w:hAnsi="Times New Roman" w:cs="Times New Roman" w:eastAsia="Times New Roman"/>
          <w:b/>
          <w:sz w:val="24"/>
        </w:rPr>
        <w:t>6.1 Etapas do ATAM aplicadas ao estudo de caso</w:t>
      </w:r>
    </w:p>
    <w:p>
      <w:pPr>
        <w:ind w:firstLine="700"/>
        <w:jc w:val="both"/>
      </w:pPr>
      <w:r>
        <w:rPr>
          <w:rFonts w:ascii="Times New Roman" w:hAnsi="Times New Roman" w:cs="Times New Roman" w:eastAsia="Times New Roman"/>
          <w:sz w:val="24"/>
        </w:rPr>
        <w:t>O método foi conduzido nas etapas a seguir, adaptadas ao contexto de um estudo de caso conduzido pela própria equipe técnica:</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b/>
          <w:sz w:val="24"/>
        </w:rPr>
        <w:t>Apresentação do ATAM</w:t>
      </w:r>
      <w:r>
        <w:rPr>
          <w:rFonts w:ascii="Times New Roman" w:hAnsi="Times New Roman" w:cs="Times New Roman" w:eastAsia="Times New Roman"/>
          <w:sz w:val="24"/>
        </w:rPr>
        <w:t xml:space="preserve"> — alinhamento do método com os envolvidos.</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b/>
          <w:sz w:val="24"/>
        </w:rPr>
        <w:t>Apresentação dos direcionadores de negócio</w:t>
      </w:r>
      <w:r>
        <w:rPr>
          <w:rFonts w:ascii="Times New Roman" w:hAnsi="Times New Roman" w:cs="Times New Roman" w:eastAsia="Times New Roman"/>
          <w:sz w:val="24"/>
        </w:rPr>
        <w:t xml:space="preserve"> — intermediação de serviços, confiança entre partes e proteção de dados pessoais.</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b/>
          <w:sz w:val="24"/>
        </w:rPr>
        <w:t>Apresentação da arquitetura</w:t>
      </w:r>
      <w:r>
        <w:rPr>
          <w:rFonts w:ascii="Times New Roman" w:hAnsi="Times New Roman" w:cs="Times New Roman" w:eastAsia="Times New Roman"/>
          <w:sz w:val="24"/>
        </w:rPr>
        <w:t xml:space="preserve"> — conforme a Seção 4 (SPA + BaaS + Serverless).</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b/>
          <w:sz w:val="24"/>
        </w:rPr>
        <w:t>Identificação das abordagens arquiteturais</w:t>
      </w:r>
      <w:r>
        <w:rPr>
          <w:rFonts w:ascii="Times New Roman" w:hAnsi="Times New Roman" w:cs="Times New Roman" w:eastAsia="Times New Roman"/>
          <w:sz w:val="24"/>
        </w:rPr>
        <w:t xml:space="preserve"> — delegação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ao BaaS; autorização declarativa por RLS; regras de negócio em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 estado de servidor gerenciado por React Query no cliente.</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b/>
          <w:sz w:val="24"/>
        </w:rPr>
        <w:t>Construção da árvore de utilidade</w:t>
      </w:r>
      <w:r>
        <w:rPr>
          <w:rFonts w:ascii="Times New Roman" w:hAnsi="Times New Roman" w:cs="Times New Roman" w:eastAsia="Times New Roman"/>
          <w:sz w:val="24"/>
        </w:rPr>
        <w:t xml:space="preserve"> — Seção 6.2.</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b/>
          <w:sz w:val="24"/>
        </w:rPr>
        <w:t>Análise das abordagens arquiteturais</w:t>
      </w:r>
      <w:r>
        <w:rPr>
          <w:rFonts w:ascii="Times New Roman" w:hAnsi="Times New Roman" w:cs="Times New Roman" w:eastAsia="Times New Roman"/>
          <w:sz w:val="24"/>
        </w:rPr>
        <w:t xml:space="preserve"> — Seção 6.4.</w:t>
      </w:r>
    </w:p>
    <w:p>
      <w:pPr>
        <w:ind w:left="700" w:firstLine="0"/>
        <w:jc w:val="both"/>
      </w:pPr>
      <w:r>
        <w:rPr>
          <w:rFonts w:ascii="Times New Roman" w:hAnsi="Times New Roman" w:cs="Times New Roman" w:eastAsia="Times New Roman"/>
          <w:sz w:val="24"/>
        </w:rPr>
        <w:t xml:space="preserve">7. </w:t>
      </w:r>
      <w:r>
        <w:rPr>
          <w:rFonts w:ascii="Times New Roman" w:hAnsi="Times New Roman" w:cs="Times New Roman" w:eastAsia="Times New Roman"/>
          <w:b/>
          <w:sz w:val="24"/>
        </w:rPr>
        <w:t>Brainstorming e priorização de cenários</w:t>
      </w:r>
      <w:r>
        <w:rPr>
          <w:rFonts w:ascii="Times New Roman" w:hAnsi="Times New Roman" w:cs="Times New Roman" w:eastAsia="Times New Roman"/>
          <w:sz w:val="24"/>
        </w:rPr>
        <w:t xml:space="preserve"> — refinamento dos cenários da árvore de utilidade.</w:t>
      </w:r>
    </w:p>
    <w:p>
      <w:pPr>
        <w:ind w:left="700" w:firstLine="0"/>
        <w:jc w:val="both"/>
      </w:pPr>
      <w:r>
        <w:rPr>
          <w:rFonts w:ascii="Times New Roman" w:hAnsi="Times New Roman" w:cs="Times New Roman" w:eastAsia="Times New Roman"/>
          <w:sz w:val="24"/>
        </w:rPr>
        <w:t xml:space="preserve">8. </w:t>
      </w:r>
      <w:r>
        <w:rPr>
          <w:rFonts w:ascii="Times New Roman" w:hAnsi="Times New Roman" w:cs="Times New Roman" w:eastAsia="Times New Roman"/>
          <w:b/>
          <w:sz w:val="24"/>
        </w:rPr>
        <w:t>Reanálise das abordagens</w:t>
      </w:r>
      <w:r>
        <w:rPr>
          <w:rFonts w:ascii="Times New Roman" w:hAnsi="Times New Roman" w:cs="Times New Roman" w:eastAsia="Times New Roman"/>
          <w:sz w:val="24"/>
        </w:rPr>
        <w:t xml:space="preserve"> — à luz dos cenários priorizados e das métricas coletadas.</w:t>
      </w:r>
    </w:p>
    <w:p>
      <w:pPr>
        <w:ind w:left="700" w:firstLine="0"/>
        <w:jc w:val="both"/>
      </w:pPr>
      <w:r>
        <w:rPr>
          <w:rFonts w:ascii="Times New Roman" w:hAnsi="Times New Roman" w:cs="Times New Roman" w:eastAsia="Times New Roman"/>
          <w:sz w:val="24"/>
        </w:rPr>
        <w:t xml:space="preserve">9. </w:t>
      </w:r>
      <w:r>
        <w:rPr>
          <w:rFonts w:ascii="Times New Roman" w:hAnsi="Times New Roman" w:cs="Times New Roman" w:eastAsia="Times New Roman"/>
          <w:b/>
          <w:sz w:val="24"/>
        </w:rPr>
        <w:t>Apresentação dos resultados</w:t>
      </w:r>
      <w:r>
        <w:rPr>
          <w:rFonts w:ascii="Times New Roman" w:hAnsi="Times New Roman" w:cs="Times New Roman" w:eastAsia="Times New Roman"/>
          <w:sz w:val="24"/>
        </w:rPr>
        <w:t xml:space="preserve"> — riscos, temas de risco e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consolidados, reportados na Seção 6.4 com apoio das medições da Seção 7.</w:t>
      </w:r>
    </w:p>
    <w:p>
      <w:pPr>
        <w:jc w:val="left"/>
      </w:pPr>
      <w:r>
        <w:rPr>
          <w:rFonts w:ascii="Times New Roman" w:hAnsi="Times New Roman" w:cs="Times New Roman" w:eastAsia="Times New Roman"/>
          <w:b/>
          <w:sz w:val="24"/>
        </w:rPr>
        <w:t>6.2 Árvore de utilidade</w:t>
      </w:r>
    </w:p>
    <w:p>
      <w:pPr>
        <w:ind w:firstLine="700"/>
        <w:jc w:val="both"/>
      </w:pPr>
      <w:r>
        <w:rPr>
          <w:rFonts w:ascii="Times New Roman" w:hAnsi="Times New Roman" w:cs="Times New Roman" w:eastAsia="Times New Roman"/>
          <w:sz w:val="24"/>
        </w:rPr>
        <w:t xml:space="preserve">A árvore decompõe a utilidade geral em atributos de qualidade, refinamentos e cenários, cada qual rotulado por um par </w:t>
      </w:r>
      <w:r>
        <w:rPr>
          <w:rFonts w:ascii="Times New Roman" w:hAnsi="Times New Roman" w:cs="Times New Roman" w:eastAsia="Times New Roman"/>
          <w:b/>
          <w:sz w:val="24"/>
        </w:rPr>
        <w:t>(importância para o negócio, risco arquitetural)</w:t>
      </w:r>
      <w:r>
        <w:rPr>
          <w:rFonts w:ascii="Times New Roman" w:hAnsi="Times New Roman" w:cs="Times New Roman" w:eastAsia="Times New Roman"/>
          <w:sz w:val="24"/>
        </w:rPr>
        <w:t xml:space="preserve"> em escala alto, médio e baixo — A, M e B (Figura 3).</w:t>
      </w:r>
    </w:p>
    <w:p>
      <w:pPr>
        <w:jc w:val="center"/>
      </w:pPr>
      <w:r>
        <w:rPr>
          <w:rFonts w:ascii="Times New Roman" w:hAnsi="Times New Roman" w:cs="Times New Roman" w:eastAsia="Times New Roman"/>
          <w:b/>
          <w:sz w:val="24"/>
        </w:rPr>
        <w:t>Figura 3 — Árvore de utilidade dos cenários de atributo de qualidade</w:t>
      </w:r>
    </w:p>
    <w:p>
      <w:pPr>
        <w:jc w:val="center"/>
      </w:pPr>
      <w:r>
        <w:drawing>
          <wp:inline xmlns:a="http://schemas.openxmlformats.org/drawingml/2006/main" xmlns:pic="http://schemas.openxmlformats.org/drawingml/2006/picture">
            <wp:extent cx="4861001" cy="530352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861001"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Os cenários priorizados são: </w:t>
      </w:r>
      <w:r>
        <w:rPr>
          <w:rFonts w:ascii="Times New Roman" w:hAnsi="Times New Roman" w:cs="Times New Roman" w:eastAsia="Times New Roman"/>
          <w:b/>
          <w:sz w:val="24"/>
        </w:rPr>
        <w:t>CS-1</w:t>
      </w:r>
      <w:r>
        <w:rPr>
          <w:rFonts w:ascii="Times New Roman" w:hAnsi="Times New Roman" w:cs="Times New Roman" w:eastAsia="Times New Roman"/>
          <w:sz w:val="24"/>
        </w:rPr>
        <w:t xml:space="preserve"> isolamento de dados por RLS (A, A); </w:t>
      </w:r>
      <w:r>
        <w:rPr>
          <w:rFonts w:ascii="Times New Roman" w:hAnsi="Times New Roman" w:cs="Times New Roman" w:eastAsia="Times New Roman"/>
          <w:b/>
          <w:sz w:val="24"/>
        </w:rPr>
        <w:t>CS-2</w:t>
      </w:r>
      <w:r>
        <w:rPr>
          <w:rFonts w:ascii="Times New Roman" w:hAnsi="Times New Roman" w:cs="Times New Roman" w:eastAsia="Times New Roman"/>
          <w:sz w:val="24"/>
        </w:rPr>
        <w:t xml:space="preserve"> anti-escalonamento de privilégio (A, M); </w:t>
      </w:r>
      <w:r>
        <w:rPr>
          <w:rFonts w:ascii="Times New Roman" w:hAnsi="Times New Roman" w:cs="Times New Roman" w:eastAsia="Times New Roman"/>
          <w:b/>
          <w:sz w:val="24"/>
        </w:rPr>
        <w:t>CS-3</w:t>
      </w:r>
      <w:r>
        <w:rPr>
          <w:rFonts w:ascii="Times New Roman" w:hAnsi="Times New Roman" w:cs="Times New Roman" w:eastAsia="Times New Roman"/>
          <w:sz w:val="24"/>
        </w:rPr>
        <w:t xml:space="preserve"> não exposição de PII a anônimos (A, M); </w:t>
      </w:r>
      <w:r>
        <w:rPr>
          <w:rFonts w:ascii="Times New Roman" w:hAnsi="Times New Roman" w:cs="Times New Roman" w:eastAsia="Times New Roman"/>
          <w:b/>
          <w:sz w:val="24"/>
        </w:rPr>
        <w:t>CD-1</w:t>
      </w:r>
      <w:r>
        <w:rPr>
          <w:rFonts w:ascii="Times New Roman" w:hAnsi="Times New Roman" w:cs="Times New Roman" w:eastAsia="Times New Roman"/>
          <w:sz w:val="24"/>
        </w:rPr>
        <w:t xml:space="preserve"> carregamento inicial da SPA (M, M); </w:t>
      </w:r>
      <w:r>
        <w:rPr>
          <w:rFonts w:ascii="Times New Roman" w:hAnsi="Times New Roman" w:cs="Times New Roman" w:eastAsia="Times New Roman"/>
          <w:b/>
          <w:sz w:val="24"/>
        </w:rPr>
        <w:t>CD-2</w:t>
      </w:r>
      <w:r>
        <w:rPr>
          <w:rFonts w:ascii="Times New Roman" w:hAnsi="Times New Roman" w:cs="Times New Roman" w:eastAsia="Times New Roman"/>
          <w:sz w:val="24"/>
        </w:rPr>
        <w:t xml:space="preserve"> busca de serviços sob carga (A, M); </w:t>
      </w:r>
      <w:r>
        <w:rPr>
          <w:rFonts w:ascii="Times New Roman" w:hAnsi="Times New Roman" w:cs="Times New Roman" w:eastAsia="Times New Roman"/>
          <w:b/>
          <w:sz w:val="24"/>
        </w:rPr>
        <w:t>CM-1</w:t>
      </w:r>
      <w:r>
        <w:rPr>
          <w:rFonts w:ascii="Times New Roman" w:hAnsi="Times New Roman" w:cs="Times New Roman" w:eastAsia="Times New Roman"/>
          <w:sz w:val="24"/>
        </w:rPr>
        <w:t xml:space="preserve"> baixa complexidade e duplicação (M, B); </w:t>
      </w:r>
      <w:r>
        <w:rPr>
          <w:rFonts w:ascii="Times New Roman" w:hAnsi="Times New Roman" w:cs="Times New Roman" w:eastAsia="Times New Roman"/>
          <w:b/>
          <w:sz w:val="24"/>
        </w:rPr>
        <w:t>CM-2</w:t>
      </w:r>
      <w:r>
        <w:rPr>
          <w:rFonts w:ascii="Times New Roman" w:hAnsi="Times New Roman" w:cs="Times New Roman" w:eastAsia="Times New Roman"/>
          <w:sz w:val="24"/>
        </w:rPr>
        <w:t xml:space="preserve"> ausência de dependências circulares (M, B); </w:t>
      </w:r>
      <w:r>
        <w:rPr>
          <w:rFonts w:ascii="Times New Roman" w:hAnsi="Times New Roman" w:cs="Times New Roman" w:eastAsia="Times New Roman"/>
          <w:b/>
          <w:sz w:val="24"/>
        </w:rPr>
        <w:t>CC-1</w:t>
      </w:r>
      <w:r>
        <w:rPr>
          <w:rFonts w:ascii="Times New Roman" w:hAnsi="Times New Roman" w:cs="Times New Roman" w:eastAsia="Times New Roman"/>
          <w:sz w:val="24"/>
        </w:rPr>
        <w:t xml:space="preserve"> máquina de estados do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consistente (A, M); </w:t>
      </w:r>
      <w:r>
        <w:rPr>
          <w:rFonts w:ascii="Times New Roman" w:hAnsi="Times New Roman" w:cs="Times New Roman" w:eastAsia="Times New Roman"/>
          <w:b/>
          <w:sz w:val="24"/>
        </w:rPr>
        <w:t>CC-2</w:t>
      </w:r>
      <w:r>
        <w:rPr>
          <w:rFonts w:ascii="Times New Roman" w:hAnsi="Times New Roman" w:cs="Times New Roman" w:eastAsia="Times New Roman"/>
          <w:sz w:val="24"/>
        </w:rPr>
        <w:t xml:space="preserve"> integridade referencial em cascata (A, B); e </w:t>
      </w:r>
      <w:r>
        <w:rPr>
          <w:rFonts w:ascii="Times New Roman" w:hAnsi="Times New Roman" w:cs="Times New Roman" w:eastAsia="Times New Roman"/>
          <w:b/>
          <w:sz w:val="24"/>
        </w:rPr>
        <w:t>CT-1</w:t>
      </w:r>
      <w:r>
        <w:rPr>
          <w:rFonts w:ascii="Times New Roman" w:hAnsi="Times New Roman" w:cs="Times New Roman" w:eastAsia="Times New Roman"/>
          <w:sz w:val="24"/>
        </w:rPr>
        <w:t xml:space="preserve"> cobertura dos fluxos críticos (M, M).</w:t>
      </w:r>
    </w:p>
    <w:p>
      <w:pPr>
        <w:jc w:val="left"/>
      </w:pPr>
      <w:r>
        <w:rPr>
          <w:rFonts w:ascii="Times New Roman" w:hAnsi="Times New Roman" w:cs="Times New Roman" w:eastAsia="Times New Roman"/>
          <w:b/>
          <w:sz w:val="24"/>
        </w:rPr>
        <w:t>6.3 Cenários de atributo de qualidade (formato de seis partes)</w:t>
      </w:r>
    </w:p>
    <w:p>
      <w:pPr>
        <w:ind w:firstLine="700"/>
        <w:jc w:val="both"/>
      </w:pPr>
      <w:r>
        <w:rPr>
          <w:rFonts w:ascii="Times New Roman" w:hAnsi="Times New Roman" w:cs="Times New Roman" w:eastAsia="Times New Roman"/>
          <w:sz w:val="24"/>
        </w:rPr>
        <w:t>Os cenários prioritários são especificados segundo a estrutura de Bass, Clements e Kazman (2012): fonte, estímulo, artefato, ambiente, resposta e medida.</w:t>
      </w:r>
    </w:p>
    <w:p>
      <w:pPr>
        <w:ind w:firstLine="700"/>
        <w:jc w:val="both"/>
      </w:pPr>
      <w:r>
        <w:rPr>
          <w:rFonts w:ascii="Times New Roman" w:hAnsi="Times New Roman" w:cs="Times New Roman" w:eastAsia="Times New Roman"/>
          <w:b/>
          <w:sz w:val="24"/>
        </w:rPr>
        <w:t>CS-1 — Isolamento de dados por RLS.</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usuário autenticado mal-intencionado.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requisição para ler ou alterar registros de outro usuário.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políticas RLS das tabelas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 requisição é negada pelo banco.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acessos indevidos bem-sucedidos.</w:t>
      </w:r>
    </w:p>
    <w:p>
      <w:pPr>
        <w:ind w:firstLine="700"/>
        <w:jc w:val="both"/>
      </w:pPr>
      <w:r>
        <w:rPr>
          <w:rFonts w:ascii="Times New Roman" w:hAnsi="Times New Roman" w:cs="Times New Roman" w:eastAsia="Times New Roman"/>
          <w:b/>
          <w:sz w:val="24"/>
        </w:rPr>
        <w:t>CS-2 — Anti-escalonamento de privilégio.</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usuário autenticado.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tentativa de alterar o próprio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prevent_user_type_change()</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alteração rejeitada com exceção.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100% das tentativas bloqueadas.</w:t>
      </w:r>
    </w:p>
    <w:p>
      <w:pPr>
        <w:ind w:firstLine="700"/>
        <w:jc w:val="both"/>
      </w:pPr>
      <w:r>
        <w:rPr>
          <w:rFonts w:ascii="Times New Roman" w:hAnsi="Times New Roman" w:cs="Times New Roman" w:eastAsia="Times New Roman"/>
          <w:b/>
          <w:sz w:val="24"/>
        </w:rPr>
        <w:t>CS-3 — Não exposição de PII.</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visitante não autenticado e usuário autenticado não relacionado.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leitura de dados de perfil.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e RLS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apenas campos não sensíveis são retornados.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ocorrências de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phone</w:t>
      </w:r>
      <w:r>
        <w:rPr>
          <w:rFonts w:ascii="Times New Roman" w:hAnsi="Times New Roman" w:cs="Times New Roman" w:eastAsia="Times New Roman"/>
          <w:sz w:val="24"/>
        </w:rPr>
        <w:t xml:space="preserve"> expostos.</w:t>
      </w:r>
    </w:p>
    <w:p>
      <w:pPr>
        <w:ind w:firstLine="700"/>
        <w:jc w:val="both"/>
      </w:pPr>
      <w:r>
        <w:rPr>
          <w:rFonts w:ascii="Times New Roman" w:hAnsi="Times New Roman" w:cs="Times New Roman" w:eastAsia="Times New Roman"/>
          <w:b/>
          <w:sz w:val="24"/>
        </w:rPr>
        <w:t>CD-2 — Busca de serviços sob carga.</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conjunto de usuários concorrentes.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requisições simultâneas de busca e listagem.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API PostgREST e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carga de pico planejada.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respostas corretas dentro do tempo-alvo.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p95 menor ou igual a 800 ms; taxa de erro abaixo de 1%.</w:t>
      </w:r>
    </w:p>
    <w:p>
      <w:pPr>
        <w:ind w:firstLine="700"/>
        <w:jc w:val="both"/>
      </w:pPr>
      <w:r>
        <w:rPr>
          <w:rFonts w:ascii="Times New Roman" w:hAnsi="Times New Roman" w:cs="Times New Roman" w:eastAsia="Times New Roman"/>
          <w:b/>
          <w:sz w:val="24"/>
        </w:rPr>
        <w:t xml:space="preserve">CC-1 — Máquina de estados do </w:t>
      </w:r>
      <w:r>
        <w:rPr>
          <w:rFonts w:ascii="Times New Roman" w:hAnsi="Times New Roman" w:cs="Times New Roman" w:eastAsia="Times New Roman"/>
          <w:b/>
          <w:i/>
          <w:sz w:val="24"/>
        </w:rPr>
        <w:t>booking</w:t>
      </w:r>
      <w:r>
        <w:rPr>
          <w:rFonts w:ascii="Times New Roman" w:hAnsi="Times New Roman" w:cs="Times New Roman" w:eastAsia="Times New Roman"/>
          <w:b/>
          <w:sz w:val="24"/>
        </w:rPr>
        <w:t xml:space="preserve"> consistente.</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cliente ou prestador.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tentativa de transição de status, válida ou inválida.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validate_booking_status_transition()</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transições válidas aplicadas e inválidas rejeitadas.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transições inválidas aceitas.</w:t>
      </w:r>
    </w:p>
    <w:p>
      <w:pPr>
        <w:ind w:firstLine="700"/>
        <w:jc w:val="both"/>
      </w:pPr>
      <w:r>
        <w:rPr>
          <w:rFonts w:ascii="Times New Roman" w:hAnsi="Times New Roman" w:cs="Times New Roman" w:eastAsia="Times New Roman"/>
          <w:sz w:val="24"/>
        </w:rPr>
        <w:t>Os demais cenários (CD-1, CM-1, CM-2, CC-2 e CT-1) seguem a mesma estrutura e estão associados às métricas da Seção 5.</w:t>
      </w:r>
    </w:p>
    <w:p>
      <w:pPr>
        <w:jc w:val="left"/>
      </w:pPr>
      <w:r>
        <w:rPr>
          <w:rFonts w:ascii="Times New Roman" w:hAnsi="Times New Roman" w:cs="Times New Roman" w:eastAsia="Times New Roman"/>
          <w:b/>
          <w:sz w:val="24"/>
        </w:rPr>
        <w:t>6.4 Pontos de sensibilidade, de compromisso e riscos</w:t>
      </w:r>
    </w:p>
    <w:p>
      <w:pPr>
        <w:ind w:firstLine="700"/>
        <w:jc w:val="both"/>
      </w:pPr>
      <w:r>
        <w:rPr>
          <w:rFonts w:ascii="Times New Roman" w:hAnsi="Times New Roman" w:cs="Times New Roman" w:eastAsia="Times New Roman"/>
          <w:sz w:val="24"/>
        </w:rPr>
        <w:t>A análise a seguir derivou da inspeção arquitetural (Seção 4) e foi confirmada pelas medições da Seção 7.</w:t>
      </w:r>
    </w:p>
    <w:p>
      <w:pPr>
        <w:jc w:val="left"/>
      </w:pPr>
      <w:r>
        <w:rPr>
          <w:rFonts w:ascii="Times New Roman" w:hAnsi="Times New Roman" w:cs="Times New Roman" w:eastAsia="Times New Roman"/>
          <w:b/>
          <w:sz w:val="24"/>
        </w:rPr>
        <w:t>Tabela 13 — Pontos de sensibilidade, pontos de compromisso, riscos e não riscos identificados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4535"/>
        <w:gridCol w:w="4535"/>
      </w:tblGrid>
      <w:tr>
        <w:trPr>
          <w:tblHeader w:val="true"/>
        </w:trPr>
        <w:tc>
          <w:tcPr>
            <w:tcW w:type="dxa" w:w="4535"/>
            <w:tcBorders>
              <w:bottom w:val="single" w:sz="8" w:space="0" w:color="auto"/>
            </w:tcBorders>
          </w:tcPr>
          <w:p>
            <w:pPr>
              <w:jc w:val="left"/>
            </w:pPr>
            <w:r>
              <w:rPr>
                <w:rFonts w:ascii="Times New Roman" w:hAnsi="Times New Roman" w:cs="Times New Roman" w:eastAsia="Times New Roman"/>
                <w:b/>
                <w:sz w:val="20"/>
              </w:rPr>
              <w:t>Tipo</w:t>
            </w:r>
          </w:p>
        </w:tc>
        <w:tc>
          <w:tcPr>
            <w:tcW w:type="dxa" w:w="4535"/>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4535"/>
          </w:tcPr>
          <w:p>
            <w:pPr>
              <w:jc w:val="left"/>
            </w:pPr>
            <w:r>
              <w:rPr>
                <w:rFonts w:ascii="Times New Roman" w:hAnsi="Times New Roman" w:cs="Times New Roman" w:eastAsia="Times New Roman"/>
                <w:b/>
                <w:sz w:val="20"/>
              </w:rPr>
              <w:t>Ponto de sensibilidade</w:t>
            </w:r>
          </w:p>
        </w:tc>
        <w:tc>
          <w:tcPr>
            <w:tcW w:type="dxa" w:w="4535"/>
          </w:tcPr>
          <w:p>
            <w:pPr>
              <w:jc w:val="left"/>
            </w:pPr>
            <w:r>
              <w:rPr>
                <w:rFonts w:ascii="Times New Roman" w:hAnsi="Times New Roman" w:cs="Times New Roman" w:eastAsia="Times New Roman"/>
                <w:sz w:val="20"/>
              </w:rPr>
              <w:t xml:space="preserve">A correção da segurança é altamente sensível à completude e exatidão das políticas de RLS e dos </w:t>
            </w:r>
            <w:r>
              <w:rPr>
                <w:rFonts w:ascii="Times New Roman" w:hAnsi="Times New Roman" w:cs="Times New Roman" w:eastAsia="Times New Roman"/>
                <w:i/>
                <w:sz w:val="20"/>
              </w:rPr>
              <w:t>triggers</w:t>
            </w:r>
            <w:r>
              <w:rPr>
                <w:rFonts w:ascii="Times New Roman" w:hAnsi="Times New Roman" w:cs="Times New Roman" w:eastAsia="Times New Roman"/>
                <w:sz w:val="20"/>
              </w:rPr>
              <w:t>: uma política ausente ou mal especificada compromete CS-1 e CS-3 sem gerar erro funcional aparente. Os dois defeitos reportados na Seção 7.3.2 confirmam empiricamente essa sensibilidade.</w:t>
            </w:r>
          </w:p>
        </w:tc>
      </w:tr>
      <w:tr>
        <w:tc>
          <w:tcPr>
            <w:tcW w:type="dxa" w:w="4535"/>
          </w:tcPr>
          <w:p>
            <w:pPr>
              <w:jc w:val="left"/>
            </w:pPr>
            <w:r>
              <w:rPr>
                <w:rFonts w:ascii="Times New Roman" w:hAnsi="Times New Roman" w:cs="Times New Roman" w:eastAsia="Times New Roman"/>
                <w:b/>
                <w:sz w:val="20"/>
              </w:rPr>
              <w:t>Ponto de sensibilidade</w:t>
            </w:r>
          </w:p>
        </w:tc>
        <w:tc>
          <w:tcPr>
            <w:tcW w:type="dxa" w:w="4535"/>
          </w:tcPr>
          <w:p>
            <w:pPr>
              <w:jc w:val="left"/>
            </w:pPr>
            <w:r>
              <w:rPr>
                <w:rFonts w:ascii="Times New Roman" w:hAnsi="Times New Roman" w:cs="Times New Roman" w:eastAsia="Times New Roman"/>
                <w:sz w:val="20"/>
              </w:rPr>
              <w:t xml:space="preserve">O desempenho de CD-2 é sensível à eficiência da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service_stats</w:t>
            </w:r>
            <w:r>
              <w:rPr>
                <w:rFonts w:ascii="Times New Roman" w:hAnsi="Times New Roman" w:cs="Times New Roman" w:eastAsia="Times New Roman"/>
                <w:sz w:val="20"/>
              </w:rPr>
              <w:t xml:space="preserve"> e à indexação das tabelas consultadas.</w:t>
            </w:r>
          </w:p>
        </w:tc>
      </w:tr>
      <w:tr>
        <w:tc>
          <w:tcPr>
            <w:tcW w:type="dxa" w:w="4535"/>
          </w:tcPr>
          <w:p>
            <w:pPr>
              <w:jc w:val="left"/>
            </w:pPr>
            <w:r>
              <w:rPr>
                <w:rFonts w:ascii="Times New Roman" w:hAnsi="Times New Roman" w:cs="Times New Roman" w:eastAsia="Times New Roman"/>
                <w:b/>
                <w:sz w:val="20"/>
              </w:rPr>
              <w:t>Ponto de compromisso</w:t>
            </w:r>
          </w:p>
        </w:tc>
        <w:tc>
          <w:tcPr>
            <w:tcW w:type="dxa" w:w="4535"/>
          </w:tcPr>
          <w:p>
            <w:pPr>
              <w:jc w:val="left"/>
            </w:pPr>
            <w:r>
              <w:rPr>
                <w:rFonts w:ascii="Times New Roman" w:hAnsi="Times New Roman" w:cs="Times New Roman" w:eastAsia="Times New Roman"/>
                <w:sz w:val="20"/>
              </w:rPr>
              <w:t>A delegação total de autorização ao banco (RLS) favorece simplicidade e consistência (positivo para manutenibilidade e segurança), mas concentra o risco em um único mecanismo declarativo e desloca o esforço de teste para a fronteira cliente–banco (impacto em testabilidade).</w:t>
            </w:r>
          </w:p>
        </w:tc>
      </w:tr>
      <w:tr>
        <w:tc>
          <w:tcPr>
            <w:tcW w:type="dxa" w:w="4535"/>
          </w:tcPr>
          <w:p>
            <w:pPr>
              <w:jc w:val="left"/>
            </w:pPr>
            <w:r>
              <w:rPr>
                <w:rFonts w:ascii="Times New Roman" w:hAnsi="Times New Roman" w:cs="Times New Roman" w:eastAsia="Times New Roman"/>
                <w:b/>
                <w:sz w:val="20"/>
              </w:rPr>
              <w:t>Ponto de compromisso</w:t>
            </w:r>
          </w:p>
        </w:tc>
        <w:tc>
          <w:tcPr>
            <w:tcW w:type="dxa" w:w="4535"/>
          </w:tcPr>
          <w:p>
            <w:pPr>
              <w:jc w:val="left"/>
            </w:pPr>
            <w:r>
              <w:rPr>
                <w:rFonts w:ascii="Times New Roman" w:hAnsi="Times New Roman" w:cs="Times New Roman" w:eastAsia="Times New Roman"/>
                <w:sz w:val="20"/>
              </w:rPr>
              <w:t xml:space="preserve">A arquitetura SPA reduz acoplamento de </w:t>
            </w:r>
            <w:r>
              <w:rPr>
                <w:rFonts w:ascii="Times New Roman" w:hAnsi="Times New Roman" w:cs="Times New Roman" w:eastAsia="Times New Roman"/>
                <w:i/>
                <w:sz w:val="20"/>
              </w:rPr>
              <w:t>backend</w:t>
            </w:r>
            <w:r>
              <w:rPr>
                <w:rFonts w:ascii="Times New Roman" w:hAnsi="Times New Roman" w:cs="Times New Roman" w:eastAsia="Times New Roman"/>
                <w:sz w:val="20"/>
              </w:rPr>
              <w:t xml:space="preserve"> e acelera o desenvolvimento, porém transfere carga de processamento e desempenho percebido para o cliente (tensão entre manutenibilidade e agilidade, de um lado, e desempenho — CD-1 — de outro).</w:t>
            </w:r>
          </w:p>
        </w:tc>
      </w:tr>
      <w:tr>
        <w:tc>
          <w:tcPr>
            <w:tcW w:type="dxa" w:w="4535"/>
          </w:tcPr>
          <w:p>
            <w:pPr>
              <w:jc w:val="left"/>
            </w:pPr>
            <w:r>
              <w:rPr>
                <w:rFonts w:ascii="Times New Roman" w:hAnsi="Times New Roman" w:cs="Times New Roman" w:eastAsia="Times New Roman"/>
                <w:b/>
                <w:sz w:val="20"/>
              </w:rPr>
              <w:t>Risco</w:t>
            </w:r>
          </w:p>
        </w:tc>
        <w:tc>
          <w:tcPr>
            <w:tcW w:type="dxa" w:w="4535"/>
          </w:tcPr>
          <w:p>
            <w:pPr>
              <w:jc w:val="left"/>
            </w:pPr>
            <w:r>
              <w:rPr>
                <w:rFonts w:ascii="Times New Roman" w:hAnsi="Times New Roman" w:cs="Times New Roman" w:eastAsia="Times New Roman"/>
                <w:sz w:val="20"/>
              </w:rPr>
              <w:t xml:space="preserve">O desempenho de carregamento inicial do </w:t>
            </w:r>
            <w:r>
              <w:rPr>
                <w:rFonts w:ascii="Times New Roman" w:hAnsi="Times New Roman" w:cs="Times New Roman" w:eastAsia="Times New Roman"/>
                <w:i/>
                <w:sz w:val="20"/>
              </w:rPr>
              <w:t>frontend</w:t>
            </w:r>
            <w:r>
              <w:rPr>
                <w:rFonts w:ascii="Times New Roman" w:hAnsi="Times New Roman" w:cs="Times New Roman" w:eastAsia="Times New Roman"/>
                <w:sz w:val="20"/>
              </w:rPr>
              <w:t xml:space="preserve"> não atinge a meta (LCP de 3,17 s, acima de 2,5 s, mesmo após </w:t>
            </w:r>
            <w:r>
              <w:rPr>
                <w:rFonts w:ascii="Times New Roman" w:hAnsi="Times New Roman" w:cs="Times New Roman" w:eastAsia="Times New Roman"/>
                <w:i/>
                <w:sz w:val="20"/>
              </w:rPr>
              <w:t>code-splitting</w:t>
            </w:r>
            <w:r>
              <w:rPr>
                <w:rFonts w:ascii="Times New Roman" w:hAnsi="Times New Roman" w:cs="Times New Roman" w:eastAsia="Times New Roman"/>
                <w:sz w:val="20"/>
              </w:rPr>
              <w:t>), confirmando quantitativamente o ponto de compromisso CD-1 (Seção 7.3.5).</w:t>
            </w:r>
          </w:p>
        </w:tc>
      </w:tr>
      <w:tr>
        <w:tc>
          <w:tcPr>
            <w:tcW w:type="dxa" w:w="4535"/>
          </w:tcPr>
          <w:p>
            <w:pPr>
              <w:jc w:val="left"/>
            </w:pPr>
            <w:r>
              <w:rPr>
                <w:rFonts w:ascii="Times New Roman" w:hAnsi="Times New Roman" w:cs="Times New Roman" w:eastAsia="Times New Roman"/>
                <w:b/>
                <w:sz w:val="20"/>
              </w:rPr>
              <w:t>Não risco</w:t>
            </w:r>
          </w:p>
        </w:tc>
        <w:tc>
          <w:tcPr>
            <w:tcW w:type="dxa" w:w="4535"/>
          </w:tcPr>
          <w:p>
            <w:pPr>
              <w:jc w:val="left"/>
            </w:pPr>
            <w:r>
              <w:rPr>
                <w:rFonts w:ascii="Times New Roman" w:hAnsi="Times New Roman" w:cs="Times New Roman" w:eastAsia="Times New Roman"/>
                <w:sz w:val="20"/>
              </w:rPr>
              <w:t xml:space="preserve">A imutabilidade do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e a validação de </w:t>
            </w:r>
            <w:r>
              <w:rPr>
                <w:rFonts w:ascii="Times New Roman" w:hAnsi="Times New Roman" w:cs="Times New Roman" w:eastAsia="Times New Roman"/>
                <w:i/>
                <w:sz w:val="20"/>
              </w:rPr>
              <w:t>provider_id</w:t>
            </w:r>
            <w:r>
              <w:rPr>
                <w:rFonts w:ascii="Times New Roman" w:hAnsi="Times New Roman" w:cs="Times New Roman" w:eastAsia="Times New Roman"/>
                <w:sz w:val="20"/>
              </w:rPr>
              <w:t xml:space="preserve"> por </w:t>
            </w: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fornecem defesa em profundidade contra escalonamento e </w:t>
            </w:r>
            <w:r>
              <w:rPr>
                <w:rFonts w:ascii="Times New Roman" w:hAnsi="Times New Roman" w:cs="Times New Roman" w:eastAsia="Times New Roman"/>
                <w:i/>
                <w:sz w:val="20"/>
              </w:rPr>
              <w:t>spoofing</w:t>
            </w:r>
            <w:r>
              <w:rPr>
                <w:rFonts w:ascii="Times New Roman" w:hAnsi="Times New Roman" w:cs="Times New Roman" w:eastAsia="Times New Roman"/>
                <w:sz w:val="20"/>
              </w:rPr>
              <w:t xml:space="preserve"> de prestador, reduzindo o risco de CS-2.</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6.5 Articulação com o plano de métricas</w:t>
      </w:r>
    </w:p>
    <w:p>
      <w:pPr>
        <w:ind w:firstLine="700"/>
        <w:jc w:val="both"/>
      </w:pPr>
      <w:r>
        <w:rPr>
          <w:rFonts w:ascii="Times New Roman" w:hAnsi="Times New Roman" w:cs="Times New Roman" w:eastAsia="Times New Roman"/>
          <w:sz w:val="24"/>
        </w:rPr>
        <w:t>Cada cenário da árvore de utilidade vincula-se a uma ou mais métricas da Seção 5, de modo que a coleta quantitativa forneceu a evidência para confirmar ou refutar a análise qualitativa do ATAM. Essa articulação entre ATAM (qualitativo) e ISO/IEC 25010 (quantitativo) constitui o procedimento de avaliação proposto como contribuição do trabalho.</w:t>
      </w:r>
    </w:p>
    <w:p>
      <w:pPr>
        <w:jc w:val="left"/>
      </w:pPr>
      <w:r>
        <w:rPr>
          <w:rFonts w:ascii="Times New Roman" w:hAnsi="Times New Roman" w:cs="Times New Roman" w:eastAsia="Times New Roman"/>
          <w:b/>
          <w:sz w:val="24"/>
        </w:rPr>
        <w:t>7 RESULTADOS</w:t>
      </w:r>
    </w:p>
    <w:p>
      <w:pPr>
        <w:ind w:firstLine="700"/>
        <w:jc w:val="both"/>
      </w:pPr>
      <w:r>
        <w:rPr>
          <w:rFonts w:ascii="Times New Roman" w:hAnsi="Times New Roman" w:cs="Times New Roman" w:eastAsia="Times New Roman"/>
          <w:sz w:val="24"/>
        </w:rPr>
        <w:t xml:space="preserve">Esta seção consolida os resultados do trabalho. Os objetivos específicos 1 a 4 (delimitação, modelagem, documentação e definição de cenários) foram concluídos e são reportados em 7.1 e 7.2. Os objetivos 5 a 9 (execução de testes automatizados, análise estática, testes de segurança e de desempenho, e análise) foram </w:t>
      </w:r>
      <w:r>
        <w:rPr>
          <w:rFonts w:ascii="Times New Roman" w:hAnsi="Times New Roman" w:cs="Times New Roman" w:eastAsia="Times New Roman"/>
          <w:b/>
          <w:sz w:val="24"/>
        </w:rPr>
        <w:t>executados</w:t>
      </w:r>
      <w:r>
        <w:rPr>
          <w:rFonts w:ascii="Times New Roman" w:hAnsi="Times New Roman" w:cs="Times New Roman" w:eastAsia="Times New Roman"/>
          <w:sz w:val="24"/>
        </w:rPr>
        <w:t>, antecipando o cronograma original (Seção 8): as medições são apresentadas em 7.3, e a síntese por atributo de qualidade em 7.4.</w:t>
      </w:r>
    </w:p>
    <w:p>
      <w:pPr>
        <w:ind w:firstLine="700"/>
        <w:jc w:val="both"/>
      </w:pPr>
      <w:r>
        <w:rPr>
          <w:rFonts w:ascii="Times New Roman" w:hAnsi="Times New Roman" w:cs="Times New Roman" w:eastAsia="Times New Roman"/>
          <w:sz w:val="24"/>
        </w:rPr>
        <w:t xml:space="preserve">Todos os valores quantitativos aqui reportados derivam de execuções registradas de forma reprodutível em </w:t>
      </w:r>
      <w:r>
        <w:rPr>
          <w:rFonts w:ascii="Times New Roman" w:hAnsi="Times New Roman" w:cs="Times New Roman" w:eastAsia="Times New Roman"/>
          <w:i/>
          <w:sz w:val="24"/>
        </w:rPr>
        <w:t>docs/tcc/medicoes/</w:t>
      </w:r>
      <w:r>
        <w:rPr>
          <w:rFonts w:ascii="Times New Roman" w:hAnsi="Times New Roman" w:cs="Times New Roman" w:eastAsia="Times New Roman"/>
          <w:sz w:val="24"/>
        </w:rPr>
        <w:t>, onde cada medição remete a uma ferramenta e versão, ao ambiente, à data e a um arquivo de evidência (conforme a Seção 5.1). Nenhum número é apresentado sem evidência correspondente.</w:t>
      </w:r>
    </w:p>
    <w:p>
      <w:pPr>
        <w:jc w:val="left"/>
      </w:pPr>
      <w:r>
        <w:rPr>
          <w:rFonts w:ascii="Times New Roman" w:hAnsi="Times New Roman" w:cs="Times New Roman" w:eastAsia="Times New Roman"/>
          <w:b/>
          <w:sz w:val="24"/>
        </w:rPr>
        <w:t>7.1 Definição e delimitação do estudo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Foco redefinido:</w:t>
      </w:r>
      <w:r>
        <w:rPr>
          <w:rFonts w:ascii="Times New Roman" w:hAnsi="Times New Roman" w:cs="Times New Roman" w:eastAsia="Times New Roman"/>
          <w:sz w:val="24"/>
        </w:rPr>
        <w:t xml:space="preserve"> o trabalho foi reorientado da temática de recomendação para a </w:t>
      </w:r>
      <w:r>
        <w:rPr>
          <w:rFonts w:ascii="Times New Roman" w:hAnsi="Times New Roman" w:cs="Times New Roman" w:eastAsia="Times New Roman"/>
          <w:b/>
          <w:sz w:val="24"/>
        </w:rPr>
        <w:t>avaliação técnica da arquitetura de software</w:t>
      </w:r>
      <w:r>
        <w:rPr>
          <w:rFonts w:ascii="Times New Roman" w:hAnsi="Times New Roman" w:cs="Times New Roman" w:eastAsia="Times New Roman"/>
          <w:sz w:val="24"/>
        </w:rPr>
        <w:t>, mantendo o Hubservi como objeto de estudo. A recomendação permanece como módulo secundário (ordenação por popularidade e avaliação).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Objeto e instrumento (Seção 1.5):</w:t>
      </w:r>
      <w:r>
        <w:rPr>
          <w:rFonts w:ascii="Times New Roman" w:hAnsi="Times New Roman" w:cs="Times New Roman" w:eastAsia="Times New Roman"/>
          <w:sz w:val="24"/>
        </w:rPr>
        <w:t xml:space="preserve"> o objeto de pesquisa é a avaliação; o Hubservi é o instrumento, desenvolvido pela equipe como pré-requisito metodológico — condição para o acesso irrestrito ao código, ao esquema e ao ambiente que a avaliação exige.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Modelo arquitetural consolidado:</w:t>
      </w:r>
      <w:r>
        <w:rPr>
          <w:rFonts w:ascii="Times New Roman" w:hAnsi="Times New Roman" w:cs="Times New Roman" w:eastAsia="Times New Roman"/>
          <w:sz w:val="24"/>
        </w:rPr>
        <w:t xml:space="preserve">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corrigindo incoerência documental anterior que mencionava microsserviços (inexistentes no sistema real).</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Atributos de qualidade selecionados</w:t>
      </w:r>
      <w:r>
        <w:rPr>
          <w:rFonts w:ascii="Times New Roman" w:hAnsi="Times New Roman" w:cs="Times New Roman" w:eastAsia="Times New Roman"/>
          <w:sz w:val="24"/>
        </w:rPr>
        <w:t xml:space="preserve"> (ISO/IEC 25010): segurança, eficiência de desempenho, manutenibilidade (com ênfase em testabilidade) e confiabilidade.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Metodologia definida:</w:t>
      </w:r>
      <w:r>
        <w:rPr>
          <w:rFonts w:ascii="Times New Roman" w:hAnsi="Times New Roman" w:cs="Times New Roman" w:eastAsia="Times New Roman"/>
          <w:sz w:val="24"/>
        </w:rPr>
        <w:t xml:space="preserve"> pesquisa aplicada, abordagem mista, objetivos exploratório-descritivos, estudo de caso com experimento técnico.</w:t>
      </w:r>
    </w:p>
    <w:p>
      <w:pPr>
        <w:jc w:val="left"/>
      </w:pPr>
      <w:r>
        <w:rPr>
          <w:rFonts w:ascii="Times New Roman" w:hAnsi="Times New Roman" w:cs="Times New Roman" w:eastAsia="Times New Roman"/>
          <w:b/>
          <w:sz w:val="24"/>
        </w:rPr>
        <w:t>7.2 Modelagem e documentação da arquitetura</w:t>
      </w:r>
    </w:p>
    <w:p>
      <w:pPr>
        <w:ind w:firstLine="700"/>
        <w:jc w:val="both"/>
      </w:pPr>
      <w:r>
        <w:rPr>
          <w:rFonts w:ascii="Times New Roman" w:hAnsi="Times New Roman" w:cs="Times New Roman" w:eastAsia="Times New Roman"/>
          <w:sz w:val="24"/>
        </w:rPr>
        <w:t xml:space="preserve">Foram produzidos e estão disponíveis no repositório do trabalho, em </w:t>
      </w:r>
      <w:r>
        <w:rPr>
          <w:rFonts w:ascii="Times New Roman" w:hAnsi="Times New Roman" w:cs="Times New Roman" w:eastAsia="Times New Roman"/>
          <w:i/>
          <w:sz w:val="24"/>
        </w:rPr>
        <w:t>docs/tcc/</w:t>
      </w:r>
      <w:r>
        <w:rPr>
          <w:rFonts w:ascii="Times New Roman" w:hAnsi="Times New Roman" w:cs="Times New Roman" w:eastAsia="Times New Roman"/>
          <w:sz w:val="24"/>
        </w:rPr>
        <w:t>, e reunidos no material suplementar (VIEIRA; COSTA, 2026a):</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descrição técnica completa da arquitetura, componentes, fluxos, persistência e regras de negócio (Seção 4);</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modelos UML — casos de uso, classes, sequência (autenticação, contratação e avaliação), componentes e implantação;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modelo de processos de negócio (BPMN) para contratação e gerenciamento de </w:t>
      </w:r>
      <w:r>
        <w:rPr>
          <w:rFonts w:ascii="Times New Roman" w:hAnsi="Times New Roman" w:cs="Times New Roman" w:eastAsia="Times New Roman"/>
          <w:i/>
          <w:sz w:val="24"/>
        </w:rPr>
        <w:t>booking</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modelo de dados — DER e dicionário de dados, fiéis ao esquema real das </w:t>
      </w:r>
      <w:r>
        <w:rPr>
          <w:rFonts w:ascii="Times New Roman" w:hAnsi="Times New Roman" w:cs="Times New Roman" w:eastAsia="Times New Roman"/>
          <w:i/>
          <w:sz w:val="24"/>
        </w:rPr>
        <w:t>migrations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sz w:val="24"/>
        </w:rPr>
        <w:t>Esses artefatos atendem aos objetivos específicos 2 e 3 e fundamentam a árvore de utilidade e os cenários do ATAM (Seção 6).</w:t>
      </w:r>
    </w:p>
    <w:p>
      <w:pPr>
        <w:jc w:val="left"/>
      </w:pPr>
      <w:r>
        <w:rPr>
          <w:rFonts w:ascii="Times New Roman" w:hAnsi="Times New Roman" w:cs="Times New Roman" w:eastAsia="Times New Roman"/>
          <w:b/>
          <w:sz w:val="24"/>
        </w:rPr>
        <w:t>7.3 Resultados das medições</w:t>
      </w:r>
    </w:p>
    <w:p>
      <w:pPr>
        <w:ind w:firstLine="700"/>
        <w:jc w:val="both"/>
      </w:pPr>
      <w:r>
        <w:rPr>
          <w:rFonts w:ascii="Times New Roman" w:hAnsi="Times New Roman" w:cs="Times New Roman" w:eastAsia="Times New Roman"/>
          <w:sz w:val="24"/>
        </w:rPr>
        <w:t xml:space="preserve">A fase de execução configurou o ambiente reprodutível e coletou as métricas planejadas na Seção 5. O ambiente de teste de banco e de API foi levantado com uma instância </w:t>
      </w:r>
      <w:r>
        <w:rPr>
          <w:rFonts w:ascii="Times New Roman" w:hAnsi="Times New Roman" w:cs="Times New Roman" w:eastAsia="Times New Roman"/>
          <w:b/>
          <w:sz w:val="24"/>
        </w:rPr>
        <w:t>Supabase local</w:t>
      </w:r>
      <w:r>
        <w:rPr>
          <w:rFonts w:ascii="Times New Roman" w:hAnsi="Times New Roman" w:cs="Times New Roman" w:eastAsia="Times New Roman"/>
          <w:sz w:val="24"/>
        </w:rPr>
        <w:t xml:space="preserve"> (contêiner Docker), contra a qual os cenários de autorização e de confiabilidade foram exercitados através da API real (PostgREST) — atendendo à exigência de teste de integração contra a API (Seção 5.2.1). Onde uma ferramenta nomeada no plano não estava disponível no ambiente, adotou-se um substituto da mesma classe, com a troca registrada: </w:t>
      </w:r>
      <w:r>
        <w:rPr>
          <w:rFonts w:ascii="Times New Roman" w:hAnsi="Times New Roman" w:cs="Times New Roman" w:eastAsia="Times New Roman"/>
          <w:b/>
          <w:sz w:val="24"/>
        </w:rPr>
        <w:t>k6 para autocannon</w:t>
      </w:r>
      <w:r>
        <w:rPr>
          <w:rFonts w:ascii="Times New Roman" w:hAnsi="Times New Roman" w:cs="Times New Roman" w:eastAsia="Times New Roman"/>
          <w:sz w:val="24"/>
        </w:rPr>
        <w:t xml:space="preserve"> (teste de carga) e </w:t>
      </w:r>
      <w:r>
        <w:rPr>
          <w:rFonts w:ascii="Times New Roman" w:hAnsi="Times New Roman" w:cs="Times New Roman" w:eastAsia="Times New Roman"/>
          <w:b/>
          <w:sz w:val="24"/>
        </w:rPr>
        <w:t xml:space="preserve">Snyk para </w:t>
      </w:r>
      <w:r>
        <w:rPr>
          <w:rFonts w:ascii="Times New Roman" w:hAnsi="Times New Roman" w:cs="Times New Roman" w:eastAsia="Times New Roman"/>
          <w:b/>
          <w:i/>
          <w:sz w:val="24"/>
        </w:rPr>
        <w:t>npm audit</w:t>
      </w:r>
      <w:r>
        <w:rPr>
          <w:rFonts w:ascii="Times New Roman" w:hAnsi="Times New Roman" w:cs="Times New Roman" w:eastAsia="Times New Roman"/>
          <w:sz w:val="24"/>
        </w:rPr>
        <w:t xml:space="preserve"> (análise de composição de dependências).</w:t>
      </w:r>
    </w:p>
    <w:p>
      <w:pPr>
        <w:jc w:val="left"/>
      </w:pPr>
      <w:r>
        <w:rPr>
          <w:rFonts w:ascii="Times New Roman" w:hAnsi="Times New Roman" w:cs="Times New Roman" w:eastAsia="Times New Roman"/>
          <w:b/>
          <w:sz w:val="24"/>
        </w:rPr>
        <w:t>7.3.1 Achado transversal de reprodutibilidade</w:t>
      </w:r>
    </w:p>
    <w:p>
      <w:pPr>
        <w:ind w:firstLine="700"/>
        <w:jc w:val="both"/>
      </w:pPr>
      <w:r>
        <w:rPr>
          <w:rFonts w:ascii="Times New Roman" w:hAnsi="Times New Roman" w:cs="Times New Roman" w:eastAsia="Times New Roman"/>
          <w:sz w:val="24"/>
        </w:rPr>
        <w:t xml:space="preserve">Ao reconstruir o banco a partir apenas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versionadas, constatou-se que </w:t>
      </w:r>
      <w:r>
        <w:rPr>
          <w:rFonts w:ascii="Times New Roman" w:hAnsi="Times New Roman" w:cs="Times New Roman" w:eastAsia="Times New Roman"/>
          <w:b/>
          <w:sz w:val="24"/>
        </w:rPr>
        <w:t>o histórico não reproduzia um sistema funcional do zero</w:t>
      </w:r>
      <w:r>
        <w:rPr>
          <w:rFonts w:ascii="Times New Roman" w:hAnsi="Times New Roman" w:cs="Times New Roman" w:eastAsia="Times New Roman"/>
          <w:sz w:val="24"/>
        </w:rPr>
        <w:t xml:space="preserve">: faltavam os </w:t>
      </w:r>
      <w:r>
        <w:rPr>
          <w:rFonts w:ascii="Times New Roman" w:hAnsi="Times New Roman" w:cs="Times New Roman" w:eastAsia="Times New Roman"/>
          <w:i/>
          <w:sz w:val="24"/>
        </w:rPr>
        <w:t>grants</w:t>
      </w:r>
      <w:r>
        <w:rPr>
          <w:rFonts w:ascii="Times New Roman" w:hAnsi="Times New Roman" w:cs="Times New Roman" w:eastAsia="Times New Roman"/>
          <w:sz w:val="24"/>
        </w:rPr>
        <w:t xml:space="preserve"> de privilégios de API aos papéis </w:t>
      </w:r>
      <w:r>
        <w:rPr>
          <w:rFonts w:ascii="Times New Roman" w:hAnsi="Times New Roman" w:cs="Times New Roman" w:eastAsia="Times New Roman"/>
          <w:i/>
          <w:sz w:val="24"/>
        </w:rPr>
        <w:t>anon</w:t>
      </w:r>
      <w:r>
        <w:rPr>
          <w:rFonts w:ascii="Times New Roman" w:hAnsi="Times New Roman" w:cs="Times New Roman" w:eastAsia="Times New Roman"/>
          <w:sz w:val="24"/>
        </w:rPr>
        <w:t xml:space="preserve">, </w:t>
      </w:r>
      <w:r>
        <w:rPr>
          <w:rFonts w:ascii="Times New Roman" w:hAnsi="Times New Roman" w:cs="Times New Roman" w:eastAsia="Times New Roman"/>
          <w:i/>
          <w:sz w:val="24"/>
        </w:rPr>
        <w:t>authenticated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service_role</w:t>
      </w:r>
      <w:r>
        <w:rPr>
          <w:rFonts w:ascii="Times New Roman" w:hAnsi="Times New Roman" w:cs="Times New Roman" w:eastAsia="Times New Roman"/>
          <w:sz w:val="24"/>
        </w:rPr>
        <w:t xml:space="preserve"> no </w:t>
      </w:r>
      <w:r>
        <w:rPr>
          <w:rFonts w:ascii="Times New Roman" w:hAnsi="Times New Roman" w:cs="Times New Roman" w:eastAsia="Times New Roman"/>
          <w:i/>
          <w:sz w:val="24"/>
        </w:rPr>
        <w:t>schema</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w:t>
      </w:r>
      <w:r>
        <w:rPr>
          <w:rFonts w:ascii="Times New Roman" w:hAnsi="Times New Roman" w:cs="Times New Roman" w:eastAsia="Times New Roman"/>
          <w:sz w:val="24"/>
        </w:rPr>
        <w:t xml:space="preserve">, provocando </w:t>
      </w:r>
      <w:r>
        <w:rPr>
          <w:rFonts w:ascii="Times New Roman" w:hAnsi="Times New Roman" w:cs="Times New Roman" w:eastAsia="Times New Roman"/>
          <w:i/>
          <w:sz w:val="24"/>
        </w:rPr>
        <w:t>permission denied</w:t>
      </w:r>
      <w:r>
        <w:rPr>
          <w:rFonts w:ascii="Times New Roman" w:hAnsi="Times New Roman" w:cs="Times New Roman" w:eastAsia="Times New Roman"/>
          <w:sz w:val="24"/>
        </w:rPr>
        <w:t xml:space="preserve"> antes mesmo da avaliação de RLS. O sistema funciona em produção porque esses privilégios foram aplicados fora do versionamento. Corrigiu-se com uma </w:t>
      </w:r>
      <w:r>
        <w:rPr>
          <w:rFonts w:ascii="Times New Roman" w:hAnsi="Times New Roman" w:cs="Times New Roman" w:eastAsia="Times New Roman"/>
          <w:i/>
          <w:sz w:val="24"/>
        </w:rPr>
        <w:t>migration</w:t>
      </w:r>
      <w:r>
        <w:rPr>
          <w:rFonts w:ascii="Times New Roman" w:hAnsi="Times New Roman" w:cs="Times New Roman" w:eastAsia="Times New Roman"/>
          <w:sz w:val="24"/>
        </w:rPr>
        <w:t xml:space="preserve"> que torna o histórico auto-suficiente, sem alterar políticas de segurança. É um resultado característico do paradigma BaaS — parte da configuração vive no serviço gerenciado e escapa ao controle de versão — e só se revela sob uma avaliação conduzida em ambiente limpo e reprodutível.</w:t>
      </w:r>
    </w:p>
    <w:p>
      <w:pPr>
        <w:jc w:val="left"/>
      </w:pPr>
      <w:r>
        <w:rPr>
          <w:rFonts w:ascii="Times New Roman" w:hAnsi="Times New Roman" w:cs="Times New Roman" w:eastAsia="Times New Roman"/>
          <w:b/>
          <w:sz w:val="24"/>
        </w:rPr>
        <w:t>7.3.2 Segurança</w:t>
      </w:r>
    </w:p>
    <w:p>
      <w:pPr>
        <w:ind w:firstLine="700"/>
        <w:jc w:val="both"/>
      </w:pPr>
      <w:r>
        <w:rPr>
          <w:rFonts w:ascii="Times New Roman" w:hAnsi="Times New Roman" w:cs="Times New Roman" w:eastAsia="Times New Roman"/>
          <w:sz w:val="24"/>
        </w:rPr>
        <w:t xml:space="preserve">Os cenários de autorização foram automatizados como testes de integração por papel. </w:t>
      </w:r>
      <w:r>
        <w:rPr>
          <w:rFonts w:ascii="Times New Roman" w:hAnsi="Times New Roman" w:cs="Times New Roman" w:eastAsia="Times New Roman"/>
          <w:b/>
          <w:sz w:val="24"/>
        </w:rPr>
        <w:t>Dois defeitos reais de autorização foram detectados, corrigidos e re-medidos</w:t>
      </w:r>
      <w:r>
        <w:rPr>
          <w:rFonts w:ascii="Times New Roman" w:hAnsi="Times New Roman" w:cs="Times New Roman" w:eastAsia="Times New Roman"/>
          <w:sz w:val="24"/>
        </w:rPr>
        <w:t>, seguindo o ciclo medir, detectar, corrigir e re-medir: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Exposição de PII a usuário autenticado:</w:t>
      </w:r>
      <w:r>
        <w:rPr>
          <w:rFonts w:ascii="Times New Roman" w:hAnsi="Times New Roman" w:cs="Times New Roman" w:eastAsia="Times New Roman"/>
          <w:sz w:val="24"/>
        </w:rPr>
        <w:t xml:space="preserve"> a política de leitura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xml:space="preserve">) permitia que qualquer usuário autenticado lesse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phone</w:t>
      </w:r>
      <w:r>
        <w:rPr>
          <w:rFonts w:ascii="Times New Roman" w:hAnsi="Times New Roman" w:cs="Times New Roman" w:eastAsia="Times New Roman"/>
          <w:sz w:val="24"/>
        </w:rPr>
        <w:t xml:space="preserve"> de todos os perfis. Corrigido restringindo a leitura direta ao próprio registro; dados de contraparte seguem pela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sem PII.</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Avaliação atribuída a prestador incorreto:</w:t>
      </w:r>
      <w:r>
        <w:rPr>
          <w:rFonts w:ascii="Times New Roman" w:hAnsi="Times New Roman" w:cs="Times New Roman" w:eastAsia="Times New Roman"/>
          <w:sz w:val="24"/>
        </w:rPr>
        <w:t xml:space="preserve"> a política de inserção de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não validava que </w:t>
      </w:r>
      <w:r>
        <w:rPr>
          <w:rFonts w:ascii="Times New Roman" w:hAnsi="Times New Roman" w:cs="Times New Roman" w:eastAsia="Times New Roman"/>
          <w:i/>
          <w:sz w:val="24"/>
        </w:rPr>
        <w:t>provider_id</w:t>
      </w:r>
      <w:r>
        <w:rPr>
          <w:rFonts w:ascii="Times New Roman" w:hAnsi="Times New Roman" w:cs="Times New Roman" w:eastAsia="Times New Roman"/>
          <w:sz w:val="24"/>
        </w:rPr>
        <w:t xml:space="preserve"> corresponde ao dono do serviço — assimetria em relação aos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que já possuíam esse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Corrigido com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de validação espelhado.</w:t>
      </w:r>
    </w:p>
    <w:p>
      <w:pPr>
        <w:ind w:firstLine="700"/>
        <w:jc w:val="both"/>
      </w:pPr>
      <w:r>
        <w:rPr>
          <w:rFonts w:ascii="Times New Roman" w:hAnsi="Times New Roman" w:cs="Times New Roman" w:eastAsia="Times New Roman"/>
          <w:sz w:val="24"/>
        </w:rPr>
        <w:t xml:space="preserve">Após as correções, a suíte de segurança (isolamento de perfis, serviços 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bloqueio de escalonamento de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regras de </w:t>
      </w:r>
      <w:r>
        <w:rPr>
          <w:rFonts w:ascii="Times New Roman" w:hAnsi="Times New Roman" w:cs="Times New Roman" w:eastAsia="Times New Roman"/>
          <w:i/>
          <w:sz w:val="24"/>
        </w:rPr>
        <w:t>review</w:t>
      </w:r>
      <w:r>
        <w:rPr>
          <w:rFonts w:ascii="Times New Roman" w:hAnsi="Times New Roman" w:cs="Times New Roman" w:eastAsia="Times New Roman"/>
          <w:sz w:val="24"/>
        </w:rPr>
        <w:t xml:space="preserve">) passa integralmente — </w:t>
      </w:r>
      <w:r>
        <w:rPr>
          <w:rFonts w:ascii="Times New Roman" w:hAnsi="Times New Roman" w:cs="Times New Roman" w:eastAsia="Times New Roman"/>
          <w:b/>
          <w:sz w:val="24"/>
        </w:rPr>
        <w:t>0 acessos indevidos nos cenários testados</w:t>
      </w:r>
      <w:r>
        <w:rPr>
          <w:rFonts w:ascii="Times New Roman" w:hAnsi="Times New Roman" w:cs="Times New Roman" w:eastAsia="Times New Roman"/>
          <w:sz w:val="24"/>
        </w:rPr>
        <w:t>, em 30 testes de integração distribuídos por nove arquivos. A análise de composição de dependências (</w:t>
      </w:r>
      <w:r>
        <w:rPr>
          <w:rFonts w:ascii="Times New Roman" w:hAnsi="Times New Roman" w:cs="Times New Roman" w:eastAsia="Times New Roman"/>
          <w:i/>
          <w:sz w:val="24"/>
        </w:rPr>
        <w:t>npm audit</w:t>
      </w:r>
      <w:r>
        <w:rPr>
          <w:rFonts w:ascii="Times New Roman" w:hAnsi="Times New Roman" w:cs="Times New Roman" w:eastAsia="Times New Roman"/>
          <w:sz w:val="24"/>
        </w:rPr>
        <w:t xml:space="preserve">) reportou 12 vulnerabilidades de severidade alta e 8 de severidade moderada, nenhuma crítica; destas, </w:t>
      </w:r>
      <w:r>
        <w:rPr>
          <w:rFonts w:ascii="Times New Roman" w:hAnsi="Times New Roman" w:cs="Times New Roman" w:eastAsia="Times New Roman"/>
          <w:b/>
          <w:sz w:val="24"/>
        </w:rPr>
        <w:t>apenas uma é de produção</w:t>
      </w:r>
      <w:r>
        <w:rPr>
          <w:rFonts w:ascii="Times New Roman" w:hAnsi="Times New Roman" w:cs="Times New Roman" w:eastAsia="Times New Roman"/>
          <w:sz w:val="24"/>
        </w:rPr>
        <w:t xml:space="preserve"> (</w:t>
      </w:r>
      <w:r>
        <w:rPr>
          <w:rFonts w:ascii="Times New Roman" w:hAnsi="Times New Roman" w:cs="Times New Roman" w:eastAsia="Times New Roman"/>
          <w:i/>
          <w:sz w:val="24"/>
        </w:rPr>
        <w:t>react-router-dom</w:t>
      </w:r>
      <w:r>
        <w:rPr>
          <w:rFonts w:ascii="Times New Roman" w:hAnsi="Times New Roman" w:cs="Times New Roman" w:eastAsia="Times New Roman"/>
          <w:sz w:val="24"/>
        </w:rPr>
        <w:t xml:space="preserve">, </w:t>
      </w:r>
      <w:r>
        <w:rPr>
          <w:rFonts w:ascii="Times New Roman" w:hAnsi="Times New Roman" w:cs="Times New Roman" w:eastAsia="Times New Roman"/>
          <w:i/>
          <w:sz w:val="24"/>
        </w:rPr>
        <w:t>XSS via open redirect</w:t>
      </w:r>
      <w:r>
        <w:rPr>
          <w:rFonts w:ascii="Times New Roman" w:hAnsi="Times New Roman" w:cs="Times New Roman" w:eastAsia="Times New Roman"/>
          <w:sz w:val="24"/>
        </w:rPr>
        <w:t xml:space="preserve">, com correção disponível), sendo as demais ferramentas de </w:t>
      </w:r>
      <w:r>
        <w:rPr>
          <w:rFonts w:ascii="Times New Roman" w:hAnsi="Times New Roman" w:cs="Times New Roman" w:eastAsia="Times New Roman"/>
          <w:i/>
          <w:sz w:val="24"/>
        </w:rPr>
        <w:t>build</w:t>
      </w:r>
      <w:r>
        <w:rPr>
          <w:rFonts w:ascii="Times New Roman" w:hAnsi="Times New Roman" w:cs="Times New Roman" w:eastAsia="Times New Roman"/>
          <w:sz w:val="24"/>
        </w:rPr>
        <w:t xml:space="preserve"> e de desenvolvimento, sem superfície de ataque em produção. O </w:t>
      </w:r>
      <w:r>
        <w:rPr>
          <w:rFonts w:ascii="Times New Roman" w:hAnsi="Times New Roman" w:cs="Times New Roman" w:eastAsia="Times New Roman"/>
          <w:i/>
          <w:sz w:val="24"/>
        </w:rPr>
        <w:t>supabase db lint</w:t>
      </w:r>
      <w:r>
        <w:rPr>
          <w:rFonts w:ascii="Times New Roman" w:hAnsi="Times New Roman" w:cs="Times New Roman" w:eastAsia="Times New Roman"/>
          <w:sz w:val="24"/>
        </w:rPr>
        <w:t xml:space="preserve"> não acusou erros de </w:t>
      </w:r>
      <w:r>
        <w:rPr>
          <w:rFonts w:ascii="Times New Roman" w:hAnsi="Times New Roman" w:cs="Times New Roman" w:eastAsia="Times New Roman"/>
          <w:i/>
          <w:sz w:val="24"/>
        </w:rPr>
        <w:t>schema</w:t>
      </w:r>
      <w:r>
        <w:rPr>
          <w:rFonts w:ascii="Times New Roman" w:hAnsi="Times New Roman" w:cs="Times New Roman" w:eastAsia="Times New Roman"/>
          <w:sz w:val="24"/>
        </w:rPr>
        <w:t xml:space="preserve">. A varredura dinâmica (DAST/OWASP ZAP) permanece </w:t>
      </w:r>
      <w:r>
        <w:rPr>
          <w:rFonts w:ascii="Times New Roman" w:hAnsi="Times New Roman" w:cs="Times New Roman" w:eastAsia="Times New Roman"/>
          <w:b/>
          <w:sz w:val="24"/>
        </w:rPr>
        <w:t>pendente</w:t>
      </w:r>
      <w:r>
        <w:rPr>
          <w:rFonts w:ascii="Times New Roman" w:hAnsi="Times New Roman" w:cs="Times New Roman" w:eastAsia="Times New Roman"/>
          <w:sz w:val="24"/>
        </w:rPr>
        <w:t xml:space="preserve"> de execução contra a URL de produção, por depender do ambiente de </w:t>
      </w:r>
      <w:r>
        <w:rPr>
          <w:rFonts w:ascii="Times New Roman" w:hAnsi="Times New Roman" w:cs="Times New Roman" w:eastAsia="Times New Roman"/>
          <w:i/>
          <w:sz w:val="24"/>
        </w:rPr>
        <w:t>hosting</w:t>
      </w:r>
      <w:r>
        <w:rPr>
          <w:rFonts w:ascii="Times New Roman" w:hAnsi="Times New Roman" w:cs="Times New Roman" w:eastAsia="Times New Roman"/>
          <w:sz w:val="24"/>
        </w:rPr>
        <w:t xml:space="preserve"> real.</w:t>
      </w:r>
    </w:p>
    <w:p>
      <w:pPr>
        <w:jc w:val="left"/>
      </w:pPr>
      <w:r>
        <w:rPr>
          <w:rFonts w:ascii="Times New Roman" w:hAnsi="Times New Roman" w:cs="Times New Roman" w:eastAsia="Times New Roman"/>
          <w:b/>
          <w:sz w:val="24"/>
        </w:rPr>
        <w:t>7.3.3 Confiabilidade</w:t>
      </w:r>
    </w:p>
    <w:p>
      <w:pPr>
        <w:ind w:firstLine="700"/>
        <w:jc w:val="both"/>
      </w:pPr>
      <w:r>
        <w:rPr>
          <w:rFonts w:ascii="Times New Roman" w:hAnsi="Times New Roman" w:cs="Times New Roman" w:eastAsia="Times New Roman"/>
          <w:sz w:val="24"/>
        </w:rPr>
        <w:t xml:space="preserve">Verificados por testes de integração: a </w:t>
      </w:r>
      <w:r>
        <w:rPr>
          <w:rFonts w:ascii="Times New Roman" w:hAnsi="Times New Roman" w:cs="Times New Roman" w:eastAsia="Times New Roman"/>
          <w:b/>
          <w:sz w:val="24"/>
        </w:rPr>
        <w:t>máquina de estados do *booking</w:t>
      </w:r>
      <w:r>
        <w:rPr>
          <w:rFonts w:ascii="Times New Roman" w:hAnsi="Times New Roman" w:cs="Times New Roman" w:eastAsia="Times New Roman"/>
          <w:i/>
          <w:sz w:val="24"/>
        </w:rPr>
        <w:t xml:space="preserve"> rejeita transições inválidas (0 transições inválidas aceitas); a </w:t>
      </w:r>
      <w:r>
        <w:rPr>
          <w:rFonts w:ascii="Times New Roman" w:hAnsi="Times New Roman" w:cs="Times New Roman" w:eastAsia="Times New Roman"/>
          <w:i/>
          <w:sz w:val="24"/>
        </w:rPr>
        <w:t>integridade referencial</w:t>
      </w:r>
      <w:r>
        <w:rPr>
          <w:rFonts w:ascii="Times New Roman" w:hAnsi="Times New Roman" w:cs="Times New Roman" w:eastAsia="Times New Roman"/>
          <w:i/>
          <w:sz w:val="24"/>
        </w:rPr>
        <w:t xml:space="preserve"> em exclusão de serviço não deixa registros órfãos (cascata); e o </w:t>
      </w:r>
      <w:r>
        <w:rPr>
          <w:rFonts w:ascii="Times New Roman" w:hAnsi="Times New Roman" w:cs="Times New Roman" w:eastAsia="Times New Roman"/>
          <w:i/>
          <w:sz w:val="24"/>
        </w:rPr>
        <w:t>fluxo crítico ponta a ponta</w:t>
      </w:r>
      <w:r>
        <w:rPr>
          <w:rFonts w:ascii="Times New Roman" w:hAnsi="Times New Roman" w:cs="Times New Roman" w:eastAsia="Times New Roman"/>
          <w:i/>
          <w:sz w:val="24"/>
        </w:rPr>
        <w:t xml:space="preserve"> (autenticação, serviço, </w:t>
      </w:r>
      <w:r>
        <w:rPr>
          <w:rFonts w:ascii="Times New Roman" w:hAnsi="Times New Roman" w:cs="Times New Roman" w:eastAsia="Times New Roman"/>
          <w:sz w:val="24"/>
        </w:rPr>
        <w:t>booking* e avaliação) completa com sucesso no caso válido. Atende aos critérios da Seção 5.2.5.</w:t>
      </w:r>
    </w:p>
    <w:p>
      <w:pPr>
        <w:jc w:val="left"/>
      </w:pPr>
      <w:r>
        <w:rPr>
          <w:rFonts w:ascii="Times New Roman" w:hAnsi="Times New Roman" w:cs="Times New Roman" w:eastAsia="Times New Roman"/>
          <w:b/>
          <w:sz w:val="24"/>
        </w:rPr>
        <w:t>7.3.4 Testabilidade</w:t>
      </w:r>
    </w:p>
    <w:p>
      <w:pPr>
        <w:ind w:firstLine="700"/>
        <w:jc w:val="both"/>
      </w:pPr>
      <w:r>
        <w:rPr>
          <w:rFonts w:ascii="Times New Roman" w:hAnsi="Times New Roman" w:cs="Times New Roman" w:eastAsia="Times New Roman"/>
          <w:sz w:val="24"/>
        </w:rPr>
        <w:t xml:space="preserve">A suíte automatizada foi ampliada de 11 para </w:t>
      </w:r>
      <w:r>
        <w:rPr>
          <w:rFonts w:ascii="Times New Roman" w:hAnsi="Times New Roman" w:cs="Times New Roman" w:eastAsia="Times New Roman"/>
          <w:b/>
          <w:sz w:val="24"/>
        </w:rPr>
        <w:t>44 testes unitários e de componente</w:t>
      </w:r>
      <w:r>
        <w:rPr>
          <w:rFonts w:ascii="Times New Roman" w:hAnsi="Times New Roman" w:cs="Times New Roman" w:eastAsia="Times New Roman"/>
          <w:sz w:val="24"/>
        </w:rPr>
        <w:t xml:space="preserve">, além de 30 testes de integração. A </w:t>
      </w:r>
      <w:r>
        <w:rPr>
          <w:rFonts w:ascii="Times New Roman" w:hAnsi="Times New Roman" w:cs="Times New Roman" w:eastAsia="Times New Roman"/>
          <w:b/>
          <w:sz w:val="24"/>
        </w:rPr>
        <w:t>cobertura de linhas subiu de 18,0% para 32,0%</w:t>
      </w:r>
      <w:r>
        <w:rPr>
          <w:rFonts w:ascii="Times New Roman" w:hAnsi="Times New Roman" w:cs="Times New Roman" w:eastAsia="Times New Roman"/>
          <w:sz w:val="24"/>
        </w:rPr>
        <w:t xml:space="preserve"> no agregado, concentrada nos módulos críticos, que passaram a </w:t>
      </w:r>
      <w:r>
        <w:rPr>
          <w:rFonts w:ascii="Times New Roman" w:hAnsi="Times New Roman" w:cs="Times New Roman" w:eastAsia="Times New Roman"/>
          <w:b/>
          <w:sz w:val="24"/>
        </w:rPr>
        <w:t>82% a 100%</w:t>
      </w:r>
      <w:r>
        <w:rPr>
          <w:rFonts w:ascii="Times New Roman" w:hAnsi="Times New Roman" w:cs="Times New Roman" w:eastAsia="Times New Roman"/>
          <w:sz w:val="24"/>
        </w:rPr>
        <w:t xml:space="preserve"> (contexto de autenticação, formulários, camada de acesso a dados e </w:t>
      </w:r>
      <w:r>
        <w:rPr>
          <w:rFonts w:ascii="Times New Roman" w:hAnsi="Times New Roman" w:cs="Times New Roman" w:eastAsia="Times New Roman"/>
          <w:i/>
          <w:sz w:val="24"/>
        </w:rPr>
        <w:t>schemas</w:t>
      </w:r>
      <w:r>
        <w:rPr>
          <w:rFonts w:ascii="Times New Roman" w:hAnsi="Times New Roman" w:cs="Times New Roman" w:eastAsia="Times New Roman"/>
          <w:sz w:val="24"/>
        </w:rPr>
        <w:t xml:space="preserve"> de validação). Definiu-se o limiar antes em aberto (Seção 5.2.3): piso global anti-regressão de 30% e piso de 75% nos módulos críticos, enumerados nominalmente e verificados automaticamente. Introduziu-se uma </w:t>
      </w:r>
      <w:r>
        <w:rPr>
          <w:rFonts w:ascii="Times New Roman" w:hAnsi="Times New Roman" w:cs="Times New Roman" w:eastAsia="Times New Roman"/>
          <w:i/>
          <w:sz w:val="24"/>
        </w:rPr>
        <w:t>factory</w:t>
      </w:r>
      <w:r>
        <w:rPr>
          <w:rFonts w:ascii="Times New Roman" w:hAnsi="Times New Roman" w:cs="Times New Roman" w:eastAsia="Times New Roman"/>
          <w:sz w:val="24"/>
        </w:rPr>
        <w:t xml:space="preserve"> de </w:t>
      </w:r>
      <w:r>
        <w:rPr>
          <w:rFonts w:ascii="Times New Roman" w:hAnsi="Times New Roman" w:cs="Times New Roman" w:eastAsia="Times New Roman"/>
          <w:i/>
          <w:sz w:val="24"/>
        </w:rPr>
        <w:t>mock</w:t>
      </w:r>
      <w:r>
        <w:rPr>
          <w:rFonts w:ascii="Times New Roman" w:hAnsi="Times New Roman" w:cs="Times New Roman" w:eastAsia="Times New Roman"/>
          <w:sz w:val="24"/>
        </w:rPr>
        <w:t xml:space="preserve"> compartilhada, reduzindo o esforço de escrever novos testes — evidência de que a testabilidade da arquitetura, atributo sob avaliação, melhorou.</w:t>
      </w:r>
    </w:p>
    <w:p>
      <w:pPr>
        <w:jc w:val="left"/>
      </w:pPr>
      <w:r>
        <w:rPr>
          <w:rFonts w:ascii="Times New Roman" w:hAnsi="Times New Roman" w:cs="Times New Roman" w:eastAsia="Times New Roman"/>
          <w:b/>
          <w:sz w:val="24"/>
        </w:rPr>
        <w:t>7.3.5 Eficiência de desempenho</w:t>
      </w:r>
    </w:p>
    <w:p>
      <w:pPr>
        <w:ind w:firstLine="700"/>
        <w:jc w:val="both"/>
      </w:pPr>
      <w:r>
        <w:rPr>
          <w:rFonts w:ascii="Times New Roman" w:hAnsi="Times New Roman" w:cs="Times New Roman" w:eastAsia="Times New Roman"/>
          <w:sz w:val="24"/>
        </w:rPr>
        <w:t>Distinguem-se duas camadas: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Backend sob carga (atende):</w:t>
      </w:r>
      <w:r>
        <w:rPr>
          <w:rFonts w:ascii="Times New Roman" w:hAnsi="Times New Roman" w:cs="Times New Roman" w:eastAsia="Times New Roman"/>
          <w:sz w:val="24"/>
        </w:rPr>
        <w:t xml:space="preserve"> a listagem de serviços respondeu, sob 30 conexões concorrentes por 20 s, com </w:t>
      </w:r>
      <w:r>
        <w:rPr>
          <w:rFonts w:ascii="Times New Roman" w:hAnsi="Times New Roman" w:cs="Times New Roman" w:eastAsia="Times New Roman"/>
          <w:b/>
          <w:sz w:val="24"/>
        </w:rPr>
        <w:t>latência de cauda (p97,5) de 253 ms</w:t>
      </w:r>
      <w:r>
        <w:rPr>
          <w:rFonts w:ascii="Times New Roman" w:hAnsi="Times New Roman" w:cs="Times New Roman" w:eastAsia="Times New Roman"/>
          <w:sz w:val="24"/>
        </w:rPr>
        <w:t xml:space="preserve"> (critério de 800 ms em p95, portanto atendido com folga) e </w:t>
      </w:r>
      <w:r>
        <w:rPr>
          <w:rFonts w:ascii="Times New Roman" w:hAnsi="Times New Roman" w:cs="Times New Roman" w:eastAsia="Times New Roman"/>
          <w:b/>
          <w:sz w:val="24"/>
        </w:rPr>
        <w:t>0% de erro</w:t>
      </w:r>
      <w:r>
        <w:rPr>
          <w:rFonts w:ascii="Times New Roman" w:hAnsi="Times New Roman" w:cs="Times New Roman" w:eastAsia="Times New Roman"/>
          <w:sz w:val="24"/>
        </w:rPr>
        <w:t xml:space="preserve"> em 44.413 requisições, a uma vazão aproximada de 2.221 requisições por segundo.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Frontend e carregamento inicial (não atende):</w:t>
      </w:r>
      <w:r>
        <w:rPr>
          <w:rFonts w:ascii="Times New Roman" w:hAnsi="Times New Roman" w:cs="Times New Roman" w:eastAsia="Times New Roman"/>
          <w:sz w:val="24"/>
        </w:rPr>
        <w:t xml:space="preserve"> o Lighthouse (mediana de três execuções, perfil móvel com limitação de CPU e de rede) registrou </w:t>
      </w:r>
      <w:r>
        <w:rPr>
          <w:rFonts w:ascii="Times New Roman" w:hAnsi="Times New Roman" w:cs="Times New Roman" w:eastAsia="Times New Roman"/>
          <w:i/>
          <w:sz w:val="24"/>
        </w:rPr>
        <w:t>performance score</w:t>
      </w:r>
      <w:r>
        <w:rPr>
          <w:rFonts w:ascii="Times New Roman" w:hAnsi="Times New Roman" w:cs="Times New Roman" w:eastAsia="Times New Roman"/>
          <w:sz w:val="24"/>
        </w:rPr>
        <w:t xml:space="preserve"> de 85 e </w:t>
      </w:r>
      <w:r>
        <w:rPr>
          <w:rFonts w:ascii="Times New Roman" w:hAnsi="Times New Roman" w:cs="Times New Roman" w:eastAsia="Times New Roman"/>
          <w:b/>
          <w:sz w:val="24"/>
        </w:rPr>
        <w:t>LCP de 3,49 s</w:t>
      </w:r>
      <w:r>
        <w:rPr>
          <w:rFonts w:ascii="Times New Roman" w:hAnsi="Times New Roman" w:cs="Times New Roman" w:eastAsia="Times New Roman"/>
          <w:sz w:val="24"/>
        </w:rPr>
        <w:t xml:space="preserve"> (critérios de 90 e de 2,5 s). Diagnosticou-se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único de 679 KB com rotas carregadas de forma </w:t>
      </w:r>
      <w:r>
        <w:rPr>
          <w:rFonts w:ascii="Times New Roman" w:hAnsi="Times New Roman" w:cs="Times New Roman" w:eastAsia="Times New Roman"/>
          <w:i/>
          <w:sz w:val="24"/>
        </w:rPr>
        <w:t>eager</w:t>
      </w:r>
      <w:r>
        <w:rPr>
          <w:rFonts w:ascii="Times New Roman" w:hAnsi="Times New Roman" w:cs="Times New Roman" w:eastAsia="Times New Roman"/>
          <w:sz w:val="24"/>
        </w:rPr>
        <w:t xml:space="preserve">; aplicou-se </w:t>
      </w:r>
      <w:r>
        <w:rPr>
          <w:rFonts w:ascii="Times New Roman" w:hAnsi="Times New Roman" w:cs="Times New Roman" w:eastAsia="Times New Roman"/>
          <w:i/>
          <w:sz w:val="24"/>
        </w:rPr>
        <w:t>code-splitting</w:t>
      </w:r>
      <w:r>
        <w:rPr>
          <w:rFonts w:ascii="Times New Roman" w:hAnsi="Times New Roman" w:cs="Times New Roman" w:eastAsia="Times New Roman"/>
          <w:sz w:val="24"/>
        </w:rPr>
        <w:t xml:space="preserve"> por rota, reduzindo o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inicial em 28% (para 489 KB) e melhorando os índices (score de 88 e LCP de 3,17 s), que </w:t>
      </w:r>
      <w:r>
        <w:rPr>
          <w:rFonts w:ascii="Times New Roman" w:hAnsi="Times New Roman" w:cs="Times New Roman" w:eastAsia="Times New Roman"/>
          <w:b/>
          <w:sz w:val="24"/>
        </w:rPr>
        <w:t>permanecem abaixo da meta</w:t>
      </w:r>
      <w:r>
        <w:rPr>
          <w:rFonts w:ascii="Times New Roman" w:hAnsi="Times New Roman" w:cs="Times New Roman" w:eastAsia="Times New Roman"/>
          <w:sz w:val="24"/>
        </w:rPr>
        <w:t>. O TBT caiu de 11 ms para 0 ms e o CLS manteve-se em 0,000.</w:t>
      </w:r>
    </w:p>
    <w:p>
      <w:pPr>
        <w:ind w:firstLine="700"/>
        <w:jc w:val="both"/>
      </w:pPr>
      <w:r>
        <w:rPr>
          <w:rFonts w:ascii="Times New Roman" w:hAnsi="Times New Roman" w:cs="Times New Roman" w:eastAsia="Times New Roman"/>
          <w:sz w:val="24"/>
        </w:rPr>
        <w:t xml:space="preserve">O contraste entre a API rápida e o carregamento lento localiza o gargalo de desempenho no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(peso do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e não no </w:t>
      </w:r>
      <w:r>
        <w:rPr>
          <w:rFonts w:ascii="Times New Roman" w:hAnsi="Times New Roman" w:cs="Times New Roman" w:eastAsia="Times New Roman"/>
          <w:i/>
          <w:sz w:val="24"/>
        </w:rPr>
        <w:t>backend</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7.3.6 Manutenibilidade</w:t>
      </w:r>
    </w:p>
    <w:p>
      <w:pPr>
        <w:ind w:firstLine="700"/>
        <w:jc w:val="both"/>
      </w:pPr>
      <w:r>
        <w:rPr>
          <w:rFonts w:ascii="Times New Roman" w:hAnsi="Times New Roman" w:cs="Times New Roman" w:eastAsia="Times New Roman"/>
          <w:sz w:val="24"/>
        </w:rPr>
        <w:t xml:space="preserve">A </w:t>
      </w:r>
      <w:r>
        <w:rPr>
          <w:rFonts w:ascii="Times New Roman" w:hAnsi="Times New Roman" w:cs="Times New Roman" w:eastAsia="Times New Roman"/>
          <w:b/>
          <w:sz w:val="24"/>
        </w:rPr>
        <w:t>modularização é sólida</w:t>
      </w:r>
      <w:r>
        <w:rPr>
          <w:rFonts w:ascii="Times New Roman" w:hAnsi="Times New Roman" w:cs="Times New Roman" w:eastAsia="Times New Roman"/>
          <w:sz w:val="24"/>
        </w:rPr>
        <w:t xml:space="preserve">: </w:t>
      </w:r>
      <w:r>
        <w:rPr>
          <w:rFonts w:ascii="Times New Roman" w:hAnsi="Times New Roman" w:cs="Times New Roman" w:eastAsia="Times New Roman"/>
          <w:b/>
          <w:sz w:val="24"/>
        </w:rPr>
        <w:t>0 dependências circulares</w:t>
      </w:r>
      <w:r>
        <w:rPr>
          <w:rFonts w:ascii="Times New Roman" w:hAnsi="Times New Roman" w:cs="Times New Roman" w:eastAsia="Times New Roman"/>
          <w:sz w:val="24"/>
        </w:rPr>
        <w:t xml:space="preserve">, confirmado por duas ferramentas independentes (Madge, sobre 85 arquivos, e dependency-cruiser, sobre 93 módulos), com grafo de acoplamento saudável (núcleo estável e folhas voláteis). A </w:t>
      </w:r>
      <w:r>
        <w:rPr>
          <w:rFonts w:ascii="Times New Roman" w:hAnsi="Times New Roman" w:cs="Times New Roman" w:eastAsia="Times New Roman"/>
          <w:b/>
          <w:sz w:val="24"/>
        </w:rPr>
        <w:t>higiene de código está abaixo do ideal</w:t>
      </w:r>
      <w:r>
        <w:rPr>
          <w:rFonts w:ascii="Times New Roman" w:hAnsi="Times New Roman" w:cs="Times New Roman" w:eastAsia="Times New Roman"/>
          <w:sz w:val="24"/>
        </w:rPr>
        <w:t xml:space="preserve">: o </w:t>
      </w:r>
      <w:r>
        <w:rPr>
          <w:rFonts w:ascii="Times New Roman" w:hAnsi="Times New Roman" w:cs="Times New Roman" w:eastAsia="Times New Roman"/>
          <w:i/>
          <w:sz w:val="24"/>
        </w:rPr>
        <w:t>lint</w:t>
      </w:r>
      <w:r>
        <w:rPr>
          <w:rFonts w:ascii="Times New Roman" w:hAnsi="Times New Roman" w:cs="Times New Roman" w:eastAsia="Times New Roman"/>
          <w:sz w:val="24"/>
        </w:rPr>
        <w:t xml:space="preserve"> não está zerado (19 violações na configuração atual e 25 sob configuração recomendada, incluindo funções com complexidade ciclomática elevada), e a </w:t>
      </w:r>
      <w:r>
        <w:rPr>
          <w:rFonts w:ascii="Times New Roman" w:hAnsi="Times New Roman" w:cs="Times New Roman" w:eastAsia="Times New Roman"/>
          <w:b/>
          <w:sz w:val="24"/>
        </w:rPr>
        <w:t>duplicação na camada de interface é de 4,55%</w:t>
      </w:r>
      <w:r>
        <w:rPr>
          <w:rFonts w:ascii="Times New Roman" w:hAnsi="Times New Roman" w:cs="Times New Roman" w:eastAsia="Times New Roman"/>
          <w:sz w:val="24"/>
        </w:rPr>
        <w:t xml:space="preserve"> (acima da meta de 3%), com causa localizada — os dois painéis, de cliente e de prestador, compartilham 61 linhas quase idênticas.</w:t>
      </w:r>
    </w:p>
    <w:p>
      <w:pPr>
        <w:jc w:val="left"/>
      </w:pPr>
      <w:r>
        <w:rPr>
          <w:rFonts w:ascii="Times New Roman" w:hAnsi="Times New Roman" w:cs="Times New Roman" w:eastAsia="Times New Roman"/>
          <w:b/>
          <w:sz w:val="24"/>
        </w:rPr>
        <w:t>7.4 Síntese dos resultados</w:t>
      </w:r>
    </w:p>
    <w:p>
      <w:pPr>
        <w:ind w:firstLine="700"/>
        <w:jc w:val="both"/>
      </w:pPr>
      <w:r>
        <w:rPr>
          <w:rFonts w:ascii="Times New Roman" w:hAnsi="Times New Roman" w:cs="Times New Roman" w:eastAsia="Times New Roman"/>
          <w:sz w:val="24"/>
        </w:rPr>
        <w:t xml:space="preserve">A avaliação técnica foi conduzida de ponta a ponta sobre um ambiente reprodutível e emite vereditos </w:t>
      </w:r>
      <w:r>
        <w:rPr>
          <w:rFonts w:ascii="Times New Roman" w:hAnsi="Times New Roman" w:cs="Times New Roman" w:eastAsia="Times New Roman"/>
          <w:b/>
          <w:sz w:val="24"/>
        </w:rPr>
        <w:t>por atributo e por camada</w:t>
      </w:r>
      <w:r>
        <w:rPr>
          <w:rFonts w:ascii="Times New Roman" w:hAnsi="Times New Roman" w:cs="Times New Roman" w:eastAsia="Times New Roman"/>
          <w:sz w:val="24"/>
        </w:rPr>
        <w:t>, em vez de um juízo único.</w:t>
      </w:r>
    </w:p>
    <w:p>
      <w:pPr>
        <w:jc w:val="left"/>
      </w:pPr>
      <w:r>
        <w:rPr>
          <w:rFonts w:ascii="Times New Roman" w:hAnsi="Times New Roman" w:cs="Times New Roman" w:eastAsia="Times New Roman"/>
          <w:b/>
          <w:sz w:val="24"/>
        </w:rPr>
        <w:t>Tabela 14 — Síntese dos resultados por atributo de qualidade da ISO/IEC 25010</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4535"/>
        <w:gridCol w:w="4535"/>
      </w:tblGrid>
      <w:tr>
        <w:trPr>
          <w:tblHeader w:val="true"/>
        </w:trPr>
        <w:tc>
          <w:tcPr>
            <w:tcW w:type="dxa" w:w="4535"/>
            <w:tcBorders>
              <w:bottom w:val="single" w:sz="8" w:space="0" w:color="auto"/>
            </w:tcBorders>
          </w:tcPr>
          <w:p>
            <w:pPr>
              <w:jc w:val="left"/>
            </w:pPr>
            <w:r>
              <w:rPr>
                <w:rFonts w:ascii="Times New Roman" w:hAnsi="Times New Roman" w:cs="Times New Roman" w:eastAsia="Times New Roman"/>
                <w:b/>
                <w:sz w:val="20"/>
              </w:rPr>
              <w:t>Atributo (ISO/IEC 25010)</w:t>
            </w:r>
          </w:p>
        </w:tc>
        <w:tc>
          <w:tcPr>
            <w:tcW w:type="dxa" w:w="4535"/>
            <w:tcBorders>
              <w:bottom w:val="single" w:sz="8" w:space="0" w:color="auto"/>
            </w:tcBorders>
          </w:tcPr>
          <w:p>
            <w:pPr>
              <w:jc w:val="left"/>
            </w:pPr>
            <w:r>
              <w:rPr>
                <w:rFonts w:ascii="Times New Roman" w:hAnsi="Times New Roman" w:cs="Times New Roman" w:eastAsia="Times New Roman"/>
                <w:b/>
                <w:sz w:val="20"/>
              </w:rPr>
              <w:t>Resultado</w:t>
            </w:r>
          </w:p>
        </w:tc>
      </w:tr>
      <w:tr>
        <w:tc>
          <w:tcPr>
            <w:tcW w:type="dxa" w:w="4535"/>
          </w:tcPr>
          <w:p>
            <w:pPr>
              <w:jc w:val="left"/>
            </w:pPr>
            <w:r>
              <w:rPr>
                <w:rFonts w:ascii="Times New Roman" w:hAnsi="Times New Roman" w:cs="Times New Roman" w:eastAsia="Times New Roman"/>
                <w:sz w:val="20"/>
              </w:rPr>
              <w:t>Segurança</w:t>
            </w:r>
          </w:p>
        </w:tc>
        <w:tc>
          <w:tcPr>
            <w:tcW w:type="dxa" w:w="4535"/>
          </w:tcPr>
          <w:p>
            <w:pPr>
              <w:jc w:val="left"/>
            </w:pPr>
            <w:r>
              <w:rPr>
                <w:rFonts w:ascii="Times New Roman" w:hAnsi="Times New Roman" w:cs="Times New Roman" w:eastAsia="Times New Roman"/>
                <w:sz w:val="20"/>
              </w:rPr>
              <w:t xml:space="preserve">Autorização declarativa (RLS e </w:t>
            </w:r>
            <w:r>
              <w:rPr>
                <w:rFonts w:ascii="Times New Roman" w:hAnsi="Times New Roman" w:cs="Times New Roman" w:eastAsia="Times New Roman"/>
                <w:i/>
                <w:sz w:val="20"/>
              </w:rPr>
              <w:t>triggers</w:t>
            </w:r>
            <w:r>
              <w:rPr>
                <w:rFonts w:ascii="Times New Roman" w:hAnsi="Times New Roman" w:cs="Times New Roman" w:eastAsia="Times New Roman"/>
                <w:sz w:val="20"/>
              </w:rPr>
              <w:t xml:space="preserve">)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após a correção de dois defeitos reais; 1 CVE de produção a tratar; DAST pendente contra produção</w:t>
            </w:r>
          </w:p>
        </w:tc>
      </w:tr>
      <w:tr>
        <w:tc>
          <w:tcPr>
            <w:tcW w:type="dxa" w:w="4535"/>
          </w:tcPr>
          <w:p>
            <w:pPr>
              <w:jc w:val="left"/>
            </w:pPr>
            <w:r>
              <w:rPr>
                <w:rFonts w:ascii="Times New Roman" w:hAnsi="Times New Roman" w:cs="Times New Roman" w:eastAsia="Times New Roman"/>
                <w:sz w:val="20"/>
              </w:rPr>
              <w:t>Confiabilidade</w:t>
            </w:r>
          </w:p>
        </w:tc>
        <w:tc>
          <w:tcPr>
            <w:tcW w:type="dxa" w:w="4535"/>
          </w:tcPr>
          <w:p>
            <w:pPr>
              <w:jc w:val="left"/>
            </w:pPr>
            <w:r>
              <w:rPr>
                <w:rFonts w:ascii="Times New Roman" w:hAnsi="Times New Roman" w:cs="Times New Roman" w:eastAsia="Times New Roman"/>
                <w:b/>
                <w:sz w:val="20"/>
              </w:rPr>
              <w:t>Atende</w:t>
            </w:r>
            <w:r>
              <w:rPr>
                <w:rFonts w:ascii="Times New Roman" w:hAnsi="Times New Roman" w:cs="Times New Roman" w:eastAsia="Times New Roman"/>
                <w:sz w:val="20"/>
              </w:rPr>
              <w:t xml:space="preserve"> (máquina de estados, integridade referencial e fluxo crítico)</w:t>
            </w:r>
          </w:p>
        </w:tc>
      </w:tr>
      <w:tr>
        <w:tc>
          <w:tcPr>
            <w:tcW w:type="dxa" w:w="4535"/>
          </w:tcPr>
          <w:p>
            <w:pPr>
              <w:jc w:val="left"/>
            </w:pPr>
            <w:r>
              <w:rPr>
                <w:rFonts w:ascii="Times New Roman" w:hAnsi="Times New Roman" w:cs="Times New Roman" w:eastAsia="Times New Roman"/>
                <w:sz w:val="20"/>
              </w:rPr>
              <w:t>Testabilidade</w:t>
            </w:r>
          </w:p>
        </w:tc>
        <w:tc>
          <w:tcPr>
            <w:tcW w:type="dxa" w:w="4535"/>
          </w:tcPr>
          <w:p>
            <w:pPr>
              <w:jc w:val="left"/>
            </w:pPr>
            <w:r>
              <w:rPr>
                <w:rFonts w:ascii="Times New Roman" w:hAnsi="Times New Roman" w:cs="Times New Roman" w:eastAsia="Times New Roman"/>
                <w:b/>
                <w:sz w:val="20"/>
              </w:rPr>
              <w:t>Evoluiu</w:t>
            </w:r>
            <w:r>
              <w:rPr>
                <w:rFonts w:ascii="Times New Roman" w:hAnsi="Times New Roman" w:cs="Times New Roman" w:eastAsia="Times New Roman"/>
                <w:sz w:val="20"/>
              </w:rPr>
              <w:t xml:space="preserve"> (cobertura de 18% para 32%; módulos críticos entre 82% e 100%, com limiar protegido)</w:t>
            </w:r>
          </w:p>
        </w:tc>
      </w:tr>
      <w:tr>
        <w:tc>
          <w:tcPr>
            <w:tcW w:type="dxa" w:w="4535"/>
          </w:tcPr>
          <w:p>
            <w:pPr>
              <w:jc w:val="left"/>
            </w:pPr>
            <w:r>
              <w:rPr>
                <w:rFonts w:ascii="Times New Roman" w:hAnsi="Times New Roman" w:cs="Times New Roman" w:eastAsia="Times New Roman"/>
                <w:sz w:val="20"/>
              </w:rPr>
              <w:t>Eficiência de desempenho</w:t>
            </w:r>
          </w:p>
        </w:tc>
        <w:tc>
          <w:tcPr>
            <w:tcW w:type="dxa" w:w="4535"/>
          </w:tcPr>
          <w:p>
            <w:pPr>
              <w:jc w:val="left"/>
            </w:pPr>
            <w:r>
              <w:rPr>
                <w:rFonts w:ascii="Times New Roman" w:hAnsi="Times New Roman" w:cs="Times New Roman" w:eastAsia="Times New Roman"/>
                <w:i/>
                <w:sz w:val="20"/>
              </w:rPr>
              <w:t>Backend</w:t>
            </w:r>
            <w:r>
              <w:rPr>
                <w:rFonts w:ascii="Times New Roman" w:hAnsi="Times New Roman" w:cs="Times New Roman" w:eastAsia="Times New Roman"/>
                <w:sz w:val="20"/>
              </w:rPr>
              <w:t xml:space="preserve">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(p95 de 253 ms); </w:t>
            </w:r>
            <w:r>
              <w:rPr>
                <w:rFonts w:ascii="Times New Roman" w:hAnsi="Times New Roman" w:cs="Times New Roman" w:eastAsia="Times New Roman"/>
                <w:i/>
                <w:sz w:val="20"/>
              </w:rPr>
              <w:t>frontend</w:t>
            </w:r>
            <w:r>
              <w:rPr>
                <w:rFonts w:ascii="Times New Roman" w:hAnsi="Times New Roman" w:cs="Times New Roman" w:eastAsia="Times New Roman"/>
                <w:sz w:val="20"/>
              </w:rPr>
              <w:t xml:space="preserve"> </w:t>
            </w:r>
            <w:r>
              <w:rPr>
                <w:rFonts w:ascii="Times New Roman" w:hAnsi="Times New Roman" w:cs="Times New Roman" w:eastAsia="Times New Roman"/>
                <w:b/>
                <w:sz w:val="20"/>
              </w:rPr>
              <w:t>não atende</w:t>
            </w:r>
            <w:r>
              <w:rPr>
                <w:rFonts w:ascii="Times New Roman" w:hAnsi="Times New Roman" w:cs="Times New Roman" w:eastAsia="Times New Roman"/>
                <w:sz w:val="20"/>
              </w:rPr>
              <w:t xml:space="preserve"> (LCP de 3,17 s após otimização)</w:t>
            </w:r>
          </w:p>
        </w:tc>
      </w:tr>
      <w:tr>
        <w:tc>
          <w:tcPr>
            <w:tcW w:type="dxa" w:w="4535"/>
          </w:tcPr>
          <w:p>
            <w:pPr>
              <w:jc w:val="left"/>
            </w:pPr>
            <w:r>
              <w:rPr>
                <w:rFonts w:ascii="Times New Roman" w:hAnsi="Times New Roman" w:cs="Times New Roman" w:eastAsia="Times New Roman"/>
                <w:sz w:val="20"/>
              </w:rPr>
              <w:t>Manutenibilidade</w:t>
            </w:r>
          </w:p>
        </w:tc>
        <w:tc>
          <w:tcPr>
            <w:tcW w:type="dxa" w:w="4535"/>
          </w:tcPr>
          <w:p>
            <w:pPr>
              <w:jc w:val="left"/>
            </w:pPr>
            <w:r>
              <w:rPr>
                <w:rFonts w:ascii="Times New Roman" w:hAnsi="Times New Roman" w:cs="Times New Roman" w:eastAsia="Times New Roman"/>
                <w:sz w:val="20"/>
              </w:rPr>
              <w:t xml:space="preserve">Estrutura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(0 ciclos); higiene de código </w:t>
            </w:r>
            <w:r>
              <w:rPr>
                <w:rFonts w:ascii="Times New Roman" w:hAnsi="Times New Roman" w:cs="Times New Roman" w:eastAsia="Times New Roman"/>
                <w:b/>
                <w:sz w:val="20"/>
              </w:rPr>
              <w:t>abaixo do ideal</w:t>
            </w:r>
            <w:r>
              <w:rPr>
                <w:rFonts w:ascii="Times New Roman" w:hAnsi="Times New Roman" w:cs="Times New Roman" w:eastAsia="Times New Roman"/>
                <w:sz w:val="20"/>
              </w:rPr>
              <w:t xml:space="preserve"> (</w:t>
            </w:r>
            <w:r>
              <w:rPr>
                <w:rFonts w:ascii="Times New Roman" w:hAnsi="Times New Roman" w:cs="Times New Roman" w:eastAsia="Times New Roman"/>
                <w:i/>
                <w:sz w:val="20"/>
              </w:rPr>
              <w:t>lint</w:t>
            </w:r>
            <w:r>
              <w:rPr>
                <w:rFonts w:ascii="Times New Roman" w:hAnsi="Times New Roman" w:cs="Times New Roman" w:eastAsia="Times New Roman"/>
                <w:sz w:val="20"/>
              </w:rPr>
              <w:t xml:space="preserve"> e duplicação nos painéis)</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 trabalho responde à questão de pesquisa demonstrando um </w:t>
      </w:r>
      <w:r>
        <w:rPr>
          <w:rFonts w:ascii="Times New Roman" w:hAnsi="Times New Roman" w:cs="Times New Roman" w:eastAsia="Times New Roman"/>
          <w:b/>
          <w:sz w:val="24"/>
        </w:rPr>
        <w:t>procedimento reprodutível de avaliação técnica</w:t>
      </w:r>
      <w:r>
        <w:rPr>
          <w:rFonts w:ascii="Times New Roman" w:hAnsi="Times New Roman" w:cs="Times New Roman" w:eastAsia="Times New Roman"/>
          <w:sz w:val="24"/>
        </w:rPr>
        <w:t xml:space="preserve"> aplicável a arquiteturas BaaS/Serverless: modelagem fiel, cenários derivados dos atributos de qualidade, medição instrumentada com registro de evidências e o ciclo de detecção e correção de defeitos. O resultado não é um atestado de que o sistema é uniformemente bom — três defeitos reais foram encontrados e o desempenho de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não atinge a meta —, e é justamente essa capacidade de </w:t>
      </w:r>
      <w:r>
        <w:rPr>
          <w:rFonts w:ascii="Times New Roman" w:hAnsi="Times New Roman" w:cs="Times New Roman" w:eastAsia="Times New Roman"/>
          <w:b/>
          <w:sz w:val="24"/>
        </w:rPr>
        <w:t>localizar deficiências com precisão</w:t>
      </w:r>
      <w:r>
        <w:rPr>
          <w:rFonts w:ascii="Times New Roman" w:hAnsi="Times New Roman" w:cs="Times New Roman" w:eastAsia="Times New Roman"/>
          <w:sz w:val="24"/>
        </w:rPr>
        <w:t xml:space="preserve"> que evidencia o valor do método. A reprodutibilidade é assegurada pelo registro em </w:t>
      </w:r>
      <w:r>
        <w:rPr>
          <w:rFonts w:ascii="Times New Roman" w:hAnsi="Times New Roman" w:cs="Times New Roman" w:eastAsia="Times New Roman"/>
          <w:i/>
          <w:sz w:val="24"/>
        </w:rPr>
        <w:t>docs/tcc/medicoes/</w:t>
      </w:r>
      <w:r>
        <w:rPr>
          <w:rFonts w:ascii="Times New Roman" w:hAnsi="Times New Roman" w:cs="Times New Roman" w:eastAsia="Times New Roman"/>
          <w:sz w:val="24"/>
        </w:rPr>
        <w:t xml:space="preserve"> e pela integração contínua, que executa os </w:t>
      </w:r>
      <w:r>
        <w:rPr>
          <w:rFonts w:ascii="Times New Roman" w:hAnsi="Times New Roman" w:cs="Times New Roman" w:eastAsia="Times New Roman"/>
          <w:i/>
          <w:sz w:val="24"/>
        </w:rPr>
        <w:t>gates</w:t>
      </w:r>
      <w:r>
        <w:rPr>
          <w:rFonts w:ascii="Times New Roman" w:hAnsi="Times New Roman" w:cs="Times New Roman" w:eastAsia="Times New Roman"/>
          <w:sz w:val="24"/>
        </w:rPr>
        <w:t xml:space="preserve"> automatizados a cada alteração.</w:t>
      </w:r>
    </w:p>
    <w:p>
      <w:pPr>
        <w:jc w:val="left"/>
      </w:pPr>
      <w:r>
        <w:rPr>
          <w:rFonts w:ascii="Times New Roman" w:hAnsi="Times New Roman" w:cs="Times New Roman" w:eastAsia="Times New Roman"/>
          <w:b/>
          <w:sz w:val="24"/>
        </w:rPr>
        <w:t>8 CRONOGRAMA</w:t>
      </w:r>
    </w:p>
    <w:p>
      <w:pPr>
        <w:ind w:firstLine="700"/>
        <w:jc w:val="both"/>
      </w:pPr>
      <w:r>
        <w:rPr>
          <w:rFonts w:ascii="Times New Roman" w:hAnsi="Times New Roman" w:cs="Times New Roman" w:eastAsia="Times New Roman"/>
          <w:sz w:val="24"/>
        </w:rPr>
        <w:t xml:space="preserve">O trabalho está organizado em quatro etapas mensais, com entrega final prevista para </w:t>
      </w:r>
      <w:r>
        <w:rPr>
          <w:rFonts w:ascii="Times New Roman" w:hAnsi="Times New Roman" w:cs="Times New Roman" w:eastAsia="Times New Roman"/>
          <w:b/>
          <w:sz w:val="24"/>
        </w:rPr>
        <w:t>setembro de 2026</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Tabela 15 — Cronograma de execução do trabalho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Mês (2026)</w:t>
            </w:r>
          </w:p>
        </w:tc>
        <w:tc>
          <w:tcPr>
            <w:tcW w:type="dxa" w:w="2268"/>
            <w:tcBorders>
              <w:bottom w:val="single" w:sz="8" w:space="0" w:color="auto"/>
            </w:tcBorders>
          </w:tcPr>
          <w:p>
            <w:pPr>
              <w:jc w:val="left"/>
            </w:pPr>
            <w:r>
              <w:rPr>
                <w:rFonts w:ascii="Times New Roman" w:hAnsi="Times New Roman" w:cs="Times New Roman" w:eastAsia="Times New Roman"/>
                <w:b/>
                <w:sz w:val="20"/>
              </w:rPr>
              <w:t>Atividades</w:t>
            </w:r>
          </w:p>
        </w:tc>
        <w:tc>
          <w:tcPr>
            <w:tcW w:type="dxa" w:w="2268"/>
            <w:tcBorders>
              <w:bottom w:val="single" w:sz="8" w:space="0" w:color="auto"/>
            </w:tcBorders>
          </w:tcPr>
          <w:p>
            <w:pPr>
              <w:jc w:val="left"/>
            </w:pPr>
            <w:r>
              <w:rPr>
                <w:rFonts w:ascii="Times New Roman" w:hAnsi="Times New Roman" w:cs="Times New Roman" w:eastAsia="Times New Roman"/>
                <w:b/>
                <w:sz w:val="20"/>
              </w:rPr>
              <w:t>Objetivos específicos</w:t>
            </w:r>
          </w:p>
        </w:tc>
        <w:tc>
          <w:tcPr>
            <w:tcW w:type="dxa" w:w="2268"/>
            <w:tcBorders>
              <w:bottom w:val="single" w:sz="8" w:space="0" w:color="auto"/>
            </w:tcBorders>
          </w:tcPr>
          <w:p>
            <w:pPr>
              <w:jc w:val="left"/>
            </w:pPr>
            <w:r>
              <w:rPr>
                <w:rFonts w:ascii="Times New Roman" w:hAnsi="Times New Roman" w:cs="Times New Roman" w:eastAsia="Times New Roman"/>
                <w:b/>
                <w:sz w:val="20"/>
              </w:rPr>
              <w:t>Situação</w:t>
            </w:r>
          </w:p>
        </w:tc>
      </w:tr>
      <w:tr>
        <w:tc>
          <w:tcPr>
            <w:tcW w:type="dxa" w:w="2268"/>
          </w:tcPr>
          <w:p>
            <w:pPr>
              <w:jc w:val="left"/>
            </w:pPr>
            <w:r>
              <w:rPr>
                <w:rFonts w:ascii="Times New Roman" w:hAnsi="Times New Roman" w:cs="Times New Roman" w:eastAsia="Times New Roman"/>
                <w:b/>
                <w:sz w:val="20"/>
              </w:rPr>
              <w:t>Junho</w:t>
            </w:r>
          </w:p>
        </w:tc>
        <w:tc>
          <w:tcPr>
            <w:tcW w:type="dxa" w:w="2268"/>
          </w:tcPr>
          <w:p>
            <w:pPr>
              <w:jc w:val="left"/>
            </w:pPr>
            <w:r>
              <w:rPr>
                <w:rFonts w:ascii="Times New Roman" w:hAnsi="Times New Roman" w:cs="Times New Roman" w:eastAsia="Times New Roman"/>
                <w:sz w:val="20"/>
              </w:rPr>
              <w:t>Revisão teórica; modelagem arquitetural; definição de métricas</w:t>
            </w:r>
          </w:p>
        </w:tc>
        <w:tc>
          <w:tcPr>
            <w:tcW w:type="dxa" w:w="2268"/>
          </w:tcPr>
          <w:p>
            <w:pPr>
              <w:jc w:val="left"/>
            </w:pPr>
            <w:r>
              <w:rPr>
                <w:rFonts w:ascii="Times New Roman" w:hAnsi="Times New Roman" w:cs="Times New Roman" w:eastAsia="Times New Roman"/>
                <w:sz w:val="20"/>
              </w:rPr>
              <w:t>OE1, OE2, OE3, OE4</w:t>
            </w:r>
          </w:p>
        </w:tc>
        <w:tc>
          <w:tcPr>
            <w:tcW w:type="dxa" w:w="2268"/>
          </w:tcPr>
          <w:p>
            <w:pPr>
              <w:jc w:val="left"/>
            </w:pPr>
            <w:r>
              <w:rPr>
                <w:rFonts w:ascii="Times New Roman" w:hAnsi="Times New Roman" w:cs="Times New Roman" w:eastAsia="Times New Roman"/>
                <w:sz w:val="20"/>
              </w:rPr>
              <w:t>Concluído</w:t>
            </w:r>
          </w:p>
        </w:tc>
      </w:tr>
      <w:tr>
        <w:tc>
          <w:tcPr>
            <w:tcW w:type="dxa" w:w="2268"/>
          </w:tcPr>
          <w:p>
            <w:pPr>
              <w:jc w:val="left"/>
            </w:pPr>
            <w:r>
              <w:rPr>
                <w:rFonts w:ascii="Times New Roman" w:hAnsi="Times New Roman" w:cs="Times New Roman" w:eastAsia="Times New Roman"/>
                <w:b/>
                <w:sz w:val="20"/>
              </w:rPr>
              <w:t>Julho</w:t>
            </w:r>
          </w:p>
        </w:tc>
        <w:tc>
          <w:tcPr>
            <w:tcW w:type="dxa" w:w="2268"/>
          </w:tcPr>
          <w:p>
            <w:pPr>
              <w:jc w:val="left"/>
            </w:pPr>
            <w:r>
              <w:rPr>
                <w:rFonts w:ascii="Times New Roman" w:hAnsi="Times New Roman" w:cs="Times New Roman" w:eastAsia="Times New Roman"/>
                <w:sz w:val="20"/>
              </w:rPr>
              <w:t>Consolidação dos modelos UML, BPMN e DER; implementação e ajuste dos fluxos; execução antecipada das medições e ciclo de correção de defeitos</w:t>
            </w:r>
          </w:p>
        </w:tc>
        <w:tc>
          <w:tcPr>
            <w:tcW w:type="dxa" w:w="2268"/>
          </w:tcPr>
          <w:p>
            <w:pPr>
              <w:jc w:val="left"/>
            </w:pPr>
            <w:r>
              <w:rPr>
                <w:rFonts w:ascii="Times New Roman" w:hAnsi="Times New Roman" w:cs="Times New Roman" w:eastAsia="Times New Roman"/>
                <w:sz w:val="20"/>
              </w:rPr>
              <w:t>OE2, OE3, OE5, OE6, OE7, OE8</w:t>
            </w:r>
          </w:p>
        </w:tc>
        <w:tc>
          <w:tcPr>
            <w:tcW w:type="dxa" w:w="2268"/>
          </w:tcPr>
          <w:p>
            <w:pPr>
              <w:jc w:val="left"/>
            </w:pPr>
            <w:r>
              <w:rPr>
                <w:rFonts w:ascii="Times New Roman" w:hAnsi="Times New Roman" w:cs="Times New Roman" w:eastAsia="Times New Roman"/>
                <w:sz w:val="20"/>
              </w:rPr>
              <w:t>Concluído</w:t>
            </w:r>
          </w:p>
        </w:tc>
      </w:tr>
      <w:tr>
        <w:tc>
          <w:tcPr>
            <w:tcW w:type="dxa" w:w="2268"/>
          </w:tcPr>
          <w:p>
            <w:pPr>
              <w:jc w:val="left"/>
            </w:pPr>
            <w:r>
              <w:rPr>
                <w:rFonts w:ascii="Times New Roman" w:hAnsi="Times New Roman" w:cs="Times New Roman" w:eastAsia="Times New Roman"/>
                <w:b/>
                <w:sz w:val="20"/>
              </w:rPr>
              <w:t>Agosto</w:t>
            </w:r>
          </w:p>
        </w:tc>
        <w:tc>
          <w:tcPr>
            <w:tcW w:type="dxa" w:w="2268"/>
          </w:tcPr>
          <w:p>
            <w:pPr>
              <w:jc w:val="left"/>
            </w:pPr>
            <w:r>
              <w:rPr>
                <w:rFonts w:ascii="Times New Roman" w:hAnsi="Times New Roman" w:cs="Times New Roman" w:eastAsia="Times New Roman"/>
                <w:sz w:val="20"/>
              </w:rPr>
              <w:t xml:space="preserve">Consolidação e revisão das medições; integração contínua com </w:t>
            </w:r>
            <w:r>
              <w:rPr>
                <w:rFonts w:ascii="Times New Roman" w:hAnsi="Times New Roman" w:cs="Times New Roman" w:eastAsia="Times New Roman"/>
                <w:i/>
                <w:sz w:val="20"/>
              </w:rPr>
              <w:t>gates</w:t>
            </w:r>
            <w:r>
              <w:rPr>
                <w:rFonts w:ascii="Times New Roman" w:hAnsi="Times New Roman" w:cs="Times New Roman" w:eastAsia="Times New Roman"/>
                <w:sz w:val="20"/>
              </w:rPr>
              <w:t xml:space="preserve"> de qualidade; análise dos resultados</w:t>
            </w:r>
          </w:p>
        </w:tc>
        <w:tc>
          <w:tcPr>
            <w:tcW w:type="dxa" w:w="2268"/>
          </w:tcPr>
          <w:p>
            <w:pPr>
              <w:jc w:val="left"/>
            </w:pPr>
            <w:r>
              <w:rPr>
                <w:rFonts w:ascii="Times New Roman" w:hAnsi="Times New Roman" w:cs="Times New Roman" w:eastAsia="Times New Roman"/>
                <w:sz w:val="20"/>
              </w:rPr>
              <w:t>OE5, OE6, OE7, OE8, OE9</w:t>
            </w:r>
          </w:p>
        </w:tc>
        <w:tc>
          <w:tcPr>
            <w:tcW w:type="dxa" w:w="2268"/>
          </w:tcPr>
          <w:p>
            <w:pPr>
              <w:jc w:val="left"/>
            </w:pPr>
            <w:r>
              <w:rPr>
                <w:rFonts w:ascii="Times New Roman" w:hAnsi="Times New Roman" w:cs="Times New Roman" w:eastAsia="Times New Roman"/>
                <w:sz w:val="20"/>
              </w:rPr>
              <w:t>Em andamento</w:t>
            </w:r>
          </w:p>
        </w:tc>
      </w:tr>
      <w:tr>
        <w:tc>
          <w:tcPr>
            <w:tcW w:type="dxa" w:w="2268"/>
          </w:tcPr>
          <w:p>
            <w:pPr>
              <w:jc w:val="left"/>
            </w:pPr>
            <w:r>
              <w:rPr>
                <w:rFonts w:ascii="Times New Roman" w:hAnsi="Times New Roman" w:cs="Times New Roman" w:eastAsia="Times New Roman"/>
                <w:b/>
                <w:sz w:val="20"/>
              </w:rPr>
              <w:t>Setembro</w:t>
            </w:r>
          </w:p>
        </w:tc>
        <w:tc>
          <w:tcPr>
            <w:tcW w:type="dxa" w:w="2268"/>
          </w:tcPr>
          <w:p>
            <w:pPr>
              <w:jc w:val="left"/>
            </w:pPr>
            <w:r>
              <w:rPr>
                <w:rFonts w:ascii="Times New Roman" w:hAnsi="Times New Roman" w:cs="Times New Roman" w:eastAsia="Times New Roman"/>
                <w:sz w:val="20"/>
              </w:rPr>
              <w:t>Redação final; revisão; apresentação; entrega</w:t>
            </w:r>
          </w:p>
        </w:tc>
        <w:tc>
          <w:tcPr>
            <w:tcW w:type="dxa" w:w="2268"/>
          </w:tcPr>
          <w:p>
            <w:pPr>
              <w:jc w:val="left"/>
            </w:pPr>
            <w:r>
              <w:rPr>
                <w:rFonts w:ascii="Times New Roman" w:hAnsi="Times New Roman" w:cs="Times New Roman" w:eastAsia="Times New Roman"/>
                <w:sz w:val="20"/>
              </w:rPr>
              <w:t>OE9</w:t>
            </w:r>
          </w:p>
        </w:tc>
        <w:tc>
          <w:tcPr>
            <w:tcW w:type="dxa" w:w="2268"/>
          </w:tcPr>
          <w:p>
            <w:pPr>
              <w:jc w:val="left"/>
            </w:pPr>
            <w:r>
              <w:rPr>
                <w:rFonts w:ascii="Times New Roman" w:hAnsi="Times New Roman" w:cs="Times New Roman" w:eastAsia="Times New Roman"/>
                <w:sz w:val="20"/>
              </w:rPr>
              <w:t>Planejado</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b/>
          <w:sz w:val="24"/>
        </w:rPr>
        <w:t>Nota sobre a antecipação.</w:t>
      </w:r>
      <w:r>
        <w:rPr>
          <w:rFonts w:ascii="Times New Roman" w:hAnsi="Times New Roman" w:cs="Times New Roman" w:eastAsia="Times New Roman"/>
          <w:sz w:val="24"/>
        </w:rPr>
        <w:t xml:space="preserve"> A coleta de resultados quantitativos, originalmente prevista para agosto de 2026, foi antecipada e executada em julho de 2026; os resultados constam da Seção 7 e o registro reprodutível correspondente, de </w:t>
      </w:r>
      <w:r>
        <w:rPr>
          <w:rFonts w:ascii="Times New Roman" w:hAnsi="Times New Roman" w:cs="Times New Roman" w:eastAsia="Times New Roman"/>
          <w:i/>
          <w:sz w:val="24"/>
        </w:rPr>
        <w:t>docs/tcc/medicoes/</w:t>
      </w:r>
      <w:r>
        <w:rPr>
          <w:rFonts w:ascii="Times New Roman" w:hAnsi="Times New Roman" w:cs="Times New Roman" w:eastAsia="Times New Roman"/>
          <w:sz w:val="24"/>
        </w:rPr>
        <w:t>. A varredura dinâmica de segurança (DAST) permanece a única medição pendente, condicionada à publicação da URL de produção.</w:t>
      </w:r>
    </w:p>
    <w:p>
      <w:pPr>
        <w:jc w:val="left"/>
      </w:pPr>
      <w:r>
        <w:rPr>
          <w:rFonts w:ascii="Times New Roman" w:hAnsi="Times New Roman" w:cs="Times New Roman" w:eastAsia="Times New Roman"/>
          <w:b/>
          <w:sz w:val="24"/>
        </w:rPr>
        <w:t>9 CONCLUSÃO</w:t>
      </w:r>
    </w:p>
    <w:p>
      <w:pPr>
        <w:ind w:firstLine="700"/>
        <w:jc w:val="both"/>
      </w:pPr>
      <w:r>
        <w:rPr>
          <w:rFonts w:ascii="Times New Roman" w:hAnsi="Times New Roman" w:cs="Times New Roman" w:eastAsia="Times New Roman"/>
          <w:sz w:val="24"/>
        </w:rPr>
        <w:t xml:space="preserve">Este trabalho investigou como avaliar tecnicamente uma arquitetura web baseada em BaaS e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por meio de métricas e testes de Engenharia de Software. A resposta oferecida à questão de pesquisa é um </w:t>
      </w:r>
      <w:r>
        <w:rPr>
          <w:rFonts w:ascii="Times New Roman" w:hAnsi="Times New Roman" w:cs="Times New Roman" w:eastAsia="Times New Roman"/>
          <w:b/>
          <w:sz w:val="24"/>
        </w:rPr>
        <w:t>procedimento de avaliação arquitetural</w:t>
      </w:r>
      <w:r>
        <w:rPr>
          <w:rFonts w:ascii="Times New Roman" w:hAnsi="Times New Roman" w:cs="Times New Roman" w:eastAsia="Times New Roman"/>
          <w:sz w:val="24"/>
        </w:rPr>
        <w:t xml:space="preserve"> que articula três elementos: o modelo de qualidade da ISO/IEC 25010 (2011), que fornece a taxonomia dos atributos; o método ATAM (CLEMENTS; KAZMAN; KLEIN, 2002), que organiza a análise qualitativa em cenários, riscos e pontos de compromisso; e um conjunto instrumentado de ferramentas de teste automatizado, análise estática, desempenho e segurança, que produz a evidência quantitativa. O procedimento foi aplicado integralmente à plataforma Hubservi, adotada como instrumento por permitir o acesso irrestrito ao código, ao esquema e ao ambiente que a avaliação exige.</w:t>
      </w:r>
    </w:p>
    <w:p>
      <w:pPr>
        <w:ind w:firstLine="700"/>
        <w:jc w:val="both"/>
      </w:pPr>
      <w:r>
        <w:rPr>
          <w:rFonts w:ascii="Times New Roman" w:hAnsi="Times New Roman" w:cs="Times New Roman" w:eastAsia="Times New Roman"/>
          <w:sz w:val="24"/>
        </w:rPr>
        <w:t xml:space="preserve">Os resultados demonstram que o procedimento é capaz de </w:t>
      </w:r>
      <w:r>
        <w:rPr>
          <w:rFonts w:ascii="Times New Roman" w:hAnsi="Times New Roman" w:cs="Times New Roman" w:eastAsia="Times New Roman"/>
          <w:b/>
          <w:sz w:val="24"/>
        </w:rPr>
        <w:t>localizar deficiências com precisão</w:t>
      </w:r>
      <w:r>
        <w:rPr>
          <w:rFonts w:ascii="Times New Roman" w:hAnsi="Times New Roman" w:cs="Times New Roman" w:eastAsia="Times New Roman"/>
          <w:sz w:val="24"/>
        </w:rPr>
        <w:t xml:space="preserve">, e não apenas de emitir um juízo agregado. Três defeitos reais foram detectados, corrigidos e re-medidos: a exposição de dados pessoais a qualquer usuário autenticado, decorrente de política de RLS excessivamente permissiva; a ausência de validação do prestador na inserção de avaliações; e a incapacidade de o histórico de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reconstruir um sistema funcional do zero, por privilégios aplicados fora do controle de versão. Os três são achados característicos do paradigma BaaS — todos residem em configuração declarativa ou no serviço gerenciado, e nenhum se manifestava como erro funcional aparente na aplicação.</w:t>
      </w:r>
    </w:p>
    <w:p>
      <w:pPr>
        <w:ind w:firstLine="700"/>
        <w:jc w:val="both"/>
      </w:pPr>
      <w:r>
        <w:rPr>
          <w:rFonts w:ascii="Times New Roman" w:hAnsi="Times New Roman" w:cs="Times New Roman" w:eastAsia="Times New Roman"/>
          <w:sz w:val="24"/>
        </w:rPr>
        <w:t xml:space="preserve">A avaliação também evidenciou que vereditos por camada são mais informativos do que um veredito único: enquanto o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atende folgadamente ao critério de desempenho, o carregamento inicial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permanece abaixo da meta mesmo após otimização por </w:t>
      </w:r>
      <w:r>
        <w:rPr>
          <w:rFonts w:ascii="Times New Roman" w:hAnsi="Times New Roman" w:cs="Times New Roman" w:eastAsia="Times New Roman"/>
          <w:i/>
          <w:sz w:val="24"/>
        </w:rPr>
        <w:t>code-splitting</w:t>
      </w:r>
      <w:r>
        <w:rPr>
          <w:rFonts w:ascii="Times New Roman" w:hAnsi="Times New Roman" w:cs="Times New Roman" w:eastAsia="Times New Roman"/>
          <w:sz w:val="24"/>
        </w:rPr>
        <w:t xml:space="preserve">, o que confirma quantitativamente o ponto de compromisso identificado na análise ATAM — a arquitetura SPA transfere ao cliente parte do desempenho percebido. De modo análogo, a manutenibilidade apresenta estrutura sólida, sem dependências circulares, convivendo com higiene de código abaixo do ideal em </w:t>
      </w:r>
      <w:r>
        <w:rPr>
          <w:rFonts w:ascii="Times New Roman" w:hAnsi="Times New Roman" w:cs="Times New Roman" w:eastAsia="Times New Roman"/>
          <w:i/>
          <w:sz w:val="24"/>
        </w:rPr>
        <w:t>lint</w:t>
      </w:r>
      <w:r>
        <w:rPr>
          <w:rFonts w:ascii="Times New Roman" w:hAnsi="Times New Roman" w:cs="Times New Roman" w:eastAsia="Times New Roman"/>
          <w:sz w:val="24"/>
        </w:rPr>
        <w:t xml:space="preserve"> e duplicação.</w:t>
      </w:r>
    </w:p>
    <w:p>
      <w:pPr>
        <w:ind w:firstLine="700"/>
        <w:jc w:val="both"/>
      </w:pPr>
      <w:r>
        <w:rPr>
          <w:rFonts w:ascii="Times New Roman" w:hAnsi="Times New Roman" w:cs="Times New Roman" w:eastAsia="Times New Roman"/>
          <w:sz w:val="24"/>
        </w:rPr>
        <w:t xml:space="preserve">A principal contribuição é metodológica: um roteiro reprodutível, com registro de evidências e critérios fixados antes da coleta, transferível a outras aplicações que adotem o mesmo paradigma. A contribuição prática, para a plataforma avaliada, materializa-se nas correções aplicadas e nos </w:t>
      </w:r>
      <w:r>
        <w:rPr>
          <w:rFonts w:ascii="Times New Roman" w:hAnsi="Times New Roman" w:cs="Times New Roman" w:eastAsia="Times New Roman"/>
          <w:i/>
          <w:sz w:val="24"/>
        </w:rPr>
        <w:t>gates</w:t>
      </w:r>
      <w:r>
        <w:rPr>
          <w:rFonts w:ascii="Times New Roman" w:hAnsi="Times New Roman" w:cs="Times New Roman" w:eastAsia="Times New Roman"/>
          <w:sz w:val="24"/>
        </w:rPr>
        <w:t xml:space="preserve"> automatizados incorporados à integração contínua. Como </w:t>
      </w:r>
      <w:r>
        <w:rPr>
          <w:rFonts w:ascii="Times New Roman" w:hAnsi="Times New Roman" w:cs="Times New Roman" w:eastAsia="Times New Roman"/>
          <w:b/>
          <w:sz w:val="24"/>
        </w:rPr>
        <w:t>limitações</w:t>
      </w:r>
      <w:r>
        <w:rPr>
          <w:rFonts w:ascii="Times New Roman" w:hAnsi="Times New Roman" w:cs="Times New Roman" w:eastAsia="Times New Roman"/>
          <w:sz w:val="24"/>
        </w:rPr>
        <w:t xml:space="preserve">, registram-se a varredura dinâmica de segurança (DAST) ainda pendente de execução contra a URL de produção, a condução da avaliação pela própria equipe desenvolvedora — o que exigiu explicitar critérios previamente para mitigar viés — e a generalização restrita a um único caso. Como </w:t>
      </w:r>
      <w:r>
        <w:rPr>
          <w:rFonts w:ascii="Times New Roman" w:hAnsi="Times New Roman" w:cs="Times New Roman" w:eastAsia="Times New Roman"/>
          <w:b/>
          <w:sz w:val="24"/>
        </w:rPr>
        <w:t>trabalhos futuros</w:t>
      </w:r>
      <w:r>
        <w:rPr>
          <w:rFonts w:ascii="Times New Roman" w:hAnsi="Times New Roman" w:cs="Times New Roman" w:eastAsia="Times New Roman"/>
          <w:sz w:val="24"/>
        </w:rPr>
        <w:t xml:space="preserve">, propõem-se a execução do DAST em ambiente publicado, a aplicação do mesmo procedimento a outras plataformas BaaS para avaliar sua transferibilidade, a redução da duplicação identificada entre os painéis e a continuidade da otimização de carregamento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até o alcance da meta de LCP.</w:t>
      </w:r>
    </w:p>
    <w:p>
      <w:pPr>
        <w:jc w:val="left"/>
      </w:pPr>
      <w:r>
        <w:rPr>
          <w:rFonts w:ascii="Times New Roman" w:hAnsi="Times New Roman" w:cs="Times New Roman" w:eastAsia="Times New Roman"/>
          <w:b/>
          <w:sz w:val="24"/>
        </w:rPr>
        <w:t>REFERÊNCIAS</w:t>
      </w:r>
    </w:p>
    <w:p>
      <w:pPr>
        <w:ind w:firstLine="700"/>
        <w:jc w:val="both"/>
      </w:pPr>
      <w:r>
        <w:rPr>
          <w:rFonts w:ascii="Times New Roman" w:hAnsi="Times New Roman" w:cs="Times New Roman" w:eastAsia="Times New Roman"/>
          <w:sz w:val="24"/>
        </w:rPr>
        <w:t xml:space="preserve">ASSOCIAÇÃO BRASILEIRA DE NORMAS TÉCNICAS. </w:t>
      </w:r>
      <w:r>
        <w:rPr>
          <w:rFonts w:ascii="Times New Roman" w:hAnsi="Times New Roman" w:cs="Times New Roman" w:eastAsia="Times New Roman"/>
          <w:b/>
          <w:sz w:val="24"/>
        </w:rPr>
        <w:t>NBR 6023</w:t>
      </w:r>
      <w:r>
        <w:rPr>
          <w:rFonts w:ascii="Times New Roman" w:hAnsi="Times New Roman" w:cs="Times New Roman" w:eastAsia="Times New Roman"/>
          <w:sz w:val="24"/>
        </w:rPr>
        <w:t>: informação e documentação: referências: elaboração. Rio de Janeiro: ABNT, 2018.</w:t>
      </w:r>
      <w:r>
        <w:br/>
      </w:r>
      <w:r>
        <w:rPr>
          <w:rFonts w:ascii="Times New Roman" w:hAnsi="Times New Roman" w:cs="Times New Roman" w:eastAsia="Times New Roman"/>
          <w:sz w:val="24"/>
        </w:rPr>
        <w:t xml:space="preserve">ASSOCIAÇÃO BRASILEIRA DE NORMAS TÉCNICAS. </w:t>
      </w:r>
      <w:r>
        <w:rPr>
          <w:rFonts w:ascii="Times New Roman" w:hAnsi="Times New Roman" w:cs="Times New Roman" w:eastAsia="Times New Roman"/>
          <w:b/>
          <w:sz w:val="24"/>
        </w:rPr>
        <w:t>NBR 10520</w:t>
      </w:r>
      <w:r>
        <w:rPr>
          <w:rFonts w:ascii="Times New Roman" w:hAnsi="Times New Roman" w:cs="Times New Roman" w:eastAsia="Times New Roman"/>
          <w:sz w:val="24"/>
        </w:rPr>
        <w:t>: informação e documentação: citações em documentos: apresentação. Rio de Janeiro: ABNT, 2023.</w:t>
      </w:r>
      <w:r>
        <w:br/>
      </w:r>
      <w:r>
        <w:rPr>
          <w:rFonts w:ascii="Times New Roman" w:hAnsi="Times New Roman" w:cs="Times New Roman" w:eastAsia="Times New Roman"/>
          <w:sz w:val="24"/>
        </w:rPr>
        <w:t xml:space="preserve">BASS, Len; CLEMENTS, Paul; KAZMAN, Rick. </w:t>
      </w:r>
      <w:r>
        <w:rPr>
          <w:rFonts w:ascii="Times New Roman" w:hAnsi="Times New Roman" w:cs="Times New Roman" w:eastAsia="Times New Roman"/>
          <w:b/>
          <w:sz w:val="24"/>
        </w:rPr>
        <w:t>Software architecture in practice</w:t>
      </w:r>
      <w:r>
        <w:rPr>
          <w:rFonts w:ascii="Times New Roman" w:hAnsi="Times New Roman" w:cs="Times New Roman" w:eastAsia="Times New Roman"/>
          <w:sz w:val="24"/>
        </w:rPr>
        <w:t>. 3rd ed. Upper Saddle River: Addison-Wesley, 2012.</w:t>
      </w:r>
      <w:r>
        <w:br/>
      </w:r>
      <w:r>
        <w:rPr>
          <w:rFonts w:ascii="Times New Roman" w:hAnsi="Times New Roman" w:cs="Times New Roman" w:eastAsia="Times New Roman"/>
          <w:sz w:val="24"/>
        </w:rPr>
        <w:t xml:space="preserve">CLEMENTS, Paul; KAZMAN, Rick; KLEIN, Mark. </w:t>
      </w:r>
      <w:r>
        <w:rPr>
          <w:rFonts w:ascii="Times New Roman" w:hAnsi="Times New Roman" w:cs="Times New Roman" w:eastAsia="Times New Roman"/>
          <w:b/>
          <w:sz w:val="24"/>
        </w:rPr>
        <w:t>Evaluating software architectures</w:t>
      </w:r>
      <w:r>
        <w:rPr>
          <w:rFonts w:ascii="Times New Roman" w:hAnsi="Times New Roman" w:cs="Times New Roman" w:eastAsia="Times New Roman"/>
          <w:sz w:val="24"/>
        </w:rPr>
        <w:t>: methods and case studies. Boston: Addison-Wesley, 2002.</w:t>
      </w:r>
      <w:r>
        <w:br/>
      </w:r>
      <w:r>
        <w:rPr>
          <w:rFonts w:ascii="Times New Roman" w:hAnsi="Times New Roman" w:cs="Times New Roman" w:eastAsia="Times New Roman"/>
          <w:sz w:val="24"/>
        </w:rPr>
        <w:t xml:space="preserve">INTERNATIONAL ORGANIZATION FOR STANDARDIZATION; INTERNATIONAL ELECTROTECHNICAL COMMISSION. </w:t>
      </w:r>
      <w:r>
        <w:rPr>
          <w:rFonts w:ascii="Times New Roman" w:hAnsi="Times New Roman" w:cs="Times New Roman" w:eastAsia="Times New Roman"/>
          <w:b/>
          <w:sz w:val="24"/>
        </w:rPr>
        <w:t>ISO/IEC 25010</w:t>
      </w:r>
      <w:r>
        <w:rPr>
          <w:rFonts w:ascii="Times New Roman" w:hAnsi="Times New Roman" w:cs="Times New Roman" w:eastAsia="Times New Roman"/>
          <w:sz w:val="24"/>
        </w:rPr>
        <w:t>: systems and software engineering — Systems and software Quality Requirements and Evaluation (SQuaRE) — System and software quality models. Geneva: ISO, 2011.</w:t>
      </w:r>
      <w:r>
        <w:br/>
      </w:r>
      <w:r>
        <w:rPr>
          <w:rFonts w:ascii="Times New Roman" w:hAnsi="Times New Roman" w:cs="Times New Roman" w:eastAsia="Times New Roman"/>
          <w:sz w:val="24"/>
        </w:rPr>
        <w:t xml:space="preserve">PRESSMAN, Roger S.; MAXIM, Bruce R. </w:t>
      </w:r>
      <w:r>
        <w:rPr>
          <w:rFonts w:ascii="Times New Roman" w:hAnsi="Times New Roman" w:cs="Times New Roman" w:eastAsia="Times New Roman"/>
          <w:b/>
          <w:sz w:val="24"/>
        </w:rPr>
        <w:t>Engenharia de software</w:t>
      </w:r>
      <w:r>
        <w:rPr>
          <w:rFonts w:ascii="Times New Roman" w:hAnsi="Times New Roman" w:cs="Times New Roman" w:eastAsia="Times New Roman"/>
          <w:sz w:val="24"/>
        </w:rPr>
        <w:t>: uma abordagem profissional. 8. ed. Porto Alegre: AMGH, 2016.</w:t>
      </w:r>
      <w:r>
        <w:br/>
      </w:r>
      <w:r>
        <w:rPr>
          <w:rFonts w:ascii="Times New Roman" w:hAnsi="Times New Roman" w:cs="Times New Roman" w:eastAsia="Times New Roman"/>
          <w:sz w:val="24"/>
        </w:rPr>
        <w:t xml:space="preserve">SOMMERVILLE, Ian. </w:t>
      </w:r>
      <w:r>
        <w:rPr>
          <w:rFonts w:ascii="Times New Roman" w:hAnsi="Times New Roman" w:cs="Times New Roman" w:eastAsia="Times New Roman"/>
          <w:b/>
          <w:sz w:val="24"/>
        </w:rPr>
        <w:t>Engenharia de software</w:t>
      </w:r>
      <w:r>
        <w:rPr>
          <w:rFonts w:ascii="Times New Roman" w:hAnsi="Times New Roman" w:cs="Times New Roman" w:eastAsia="Times New Roman"/>
          <w:sz w:val="24"/>
        </w:rPr>
        <w:t>. 9. ed. São Paulo: Pearson Prentice Hall, 2011.</w:t>
      </w:r>
      <w:r>
        <w:br/>
      </w:r>
      <w:r>
        <w:rPr>
          <w:rFonts w:ascii="Times New Roman" w:hAnsi="Times New Roman" w:cs="Times New Roman" w:eastAsia="Times New Roman"/>
          <w:sz w:val="24"/>
        </w:rPr>
        <w:t xml:space="preserve">VIEIRA, Pedro Conrado Fernandes; COSTA, Richardy Gabriel Rodrigues da. </w:t>
      </w:r>
      <w:r>
        <w:rPr>
          <w:rFonts w:ascii="Times New Roman" w:hAnsi="Times New Roman" w:cs="Times New Roman" w:eastAsia="Times New Roman"/>
          <w:b/>
          <w:sz w:val="24"/>
        </w:rPr>
        <w:t>Apêndice A — Diagramas (UML, BPMN e DER) e dicionário de dados</w:t>
      </w:r>
      <w:r>
        <w:rPr>
          <w:rFonts w:ascii="Times New Roman" w:hAnsi="Times New Roman" w:cs="Times New Roman" w:eastAsia="Times New Roman"/>
          <w:sz w:val="24"/>
        </w:rPr>
        <w:t>: material suplementar. Franca: Uni-FACEF, 2026a. Disponível em: https://github.com/Richardy-Rodrigues/hubservi/blob/tcc-v1/docs/tcc/apendice-a-diagramas.md. Acesso em: 20 ago. 2026.</w:t>
      </w:r>
      <w:r>
        <w:br/>
      </w:r>
      <w:r>
        <w:rPr>
          <w:rFonts w:ascii="Times New Roman" w:hAnsi="Times New Roman" w:cs="Times New Roman" w:eastAsia="Times New Roman"/>
          <w:sz w:val="24"/>
        </w:rPr>
        <w:t xml:space="preserve">VIEIRA, Pedro Conrado Fernandes; COSTA, Richardy Gabriel Rodrigues da. </w:t>
      </w:r>
      <w:r>
        <w:rPr>
          <w:rFonts w:ascii="Times New Roman" w:hAnsi="Times New Roman" w:cs="Times New Roman" w:eastAsia="Times New Roman"/>
          <w:b/>
          <w:sz w:val="24"/>
        </w:rPr>
        <w:t>Apêndice B — Reprodução das medições</w:t>
      </w:r>
      <w:r>
        <w:rPr>
          <w:rFonts w:ascii="Times New Roman" w:hAnsi="Times New Roman" w:cs="Times New Roman" w:eastAsia="Times New Roman"/>
          <w:sz w:val="24"/>
        </w:rPr>
        <w:t>: material suplementar. Franca: Uni-FACEF, 2026b. Disponível em: https://github.com/Richardy-Rodrigues/hubservi/blob/tcc-v1/docs/tcc/apendice-b-reproducao.md. Acesso em: 20 ago. 2026.</w:t>
      </w:r>
    </w:p>
    <w:sectPr w:rsidR="004479EB" w:rsidRPr="004935BD" w:rsidSect="004F3695">
      <w:head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D7E1E" w14:textId="77777777" w:rsidR="005A147A" w:rsidRDefault="005A147A" w:rsidP="00766AE7">
      <w:pPr>
        <w:spacing w:after="0"/>
      </w:pPr>
      <w:r>
        <w:separator/>
      </w:r>
    </w:p>
  </w:endnote>
  <w:endnote w:type="continuationSeparator" w:id="0">
    <w:p w14:paraId="6AB911A1" w14:textId="77777777" w:rsidR="005A147A" w:rsidRDefault="005A147A" w:rsidP="00766A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5E1B" w14:textId="77777777" w:rsidR="005A147A" w:rsidRDefault="005A147A" w:rsidP="00766AE7">
      <w:pPr>
        <w:spacing w:after="0"/>
      </w:pPr>
      <w:r>
        <w:separator/>
      </w:r>
    </w:p>
  </w:footnote>
  <w:footnote w:type="continuationSeparator" w:id="0">
    <w:p w14:paraId="6398601B" w14:textId="77777777" w:rsidR="005A147A" w:rsidRDefault="005A147A" w:rsidP="00766AE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F20B" w14:textId="3F10D8F9" w:rsidR="00737045" w:rsidRDefault="00027CD2">
    <w:pPr>
      <w:pStyle w:val="Header"/>
      <w:jc w:val="right"/>
    </w:pPr>
    <w:r>
      <w:rPr>
        <w:noProof/>
        <w:lang w:eastAsia="pt-BR"/>
      </w:rPr>
      <w:drawing>
        <wp:anchor distT="0" distB="0" distL="114300" distR="114300" simplePos="0" relativeHeight="251685888" behindDoc="1" locked="0" layoutInCell="1" allowOverlap="1" wp14:anchorId="7BDAE2ED" wp14:editId="16C6232B">
          <wp:simplePos x="0" y="0"/>
          <wp:positionH relativeFrom="column">
            <wp:posOffset>2900695</wp:posOffset>
          </wp:positionH>
          <wp:positionV relativeFrom="paragraph">
            <wp:posOffset>-724535</wp:posOffset>
          </wp:positionV>
          <wp:extent cx="2751440" cy="1546860"/>
          <wp:effectExtent l="0" t="0" r="0" b="0"/>
          <wp:wrapNone/>
          <wp:docPr id="824514801" name="Imagem 1"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14801" name="Imagem 1" descr="Logotipo, nome da empresa&#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2754976" cy="1548848"/>
                  </a:xfrm>
                  <a:prstGeom prst="rect">
                    <a:avLst/>
                  </a:prstGeom>
                </pic:spPr>
              </pic:pic>
            </a:graphicData>
          </a:graphic>
          <wp14:sizeRelH relativeFrom="page">
            <wp14:pctWidth>0</wp14:pctWidth>
          </wp14:sizeRelH>
          <wp14:sizeRelV relativeFrom="page">
            <wp14:pctHeight>0</wp14:pctHeight>
          </wp14:sizeRelV>
        </wp:anchor>
      </w:drawing>
    </w:r>
    <w:sdt>
      <w:sdtPr>
        <w:id w:val="-714735487"/>
        <w:docPartObj>
          <w:docPartGallery w:val="Page Numbers (Top of Page)"/>
          <w:docPartUnique/>
        </w:docPartObj>
      </w:sdtPr>
      <w:sdtContent>
        <w:r w:rsidR="00A15BE6">
          <w:rPr>
            <w:noProof/>
            <w:lang w:eastAsia="pt-BR"/>
          </w:rPr>
          <w:drawing>
            <wp:anchor distT="0" distB="0" distL="114300" distR="114300" simplePos="0" relativeHeight="251684864" behindDoc="0" locked="0" layoutInCell="1" allowOverlap="1" wp14:anchorId="3030C5C7" wp14:editId="28235AD0">
              <wp:simplePos x="0" y="0"/>
              <wp:positionH relativeFrom="column">
                <wp:posOffset>-641985</wp:posOffset>
              </wp:positionH>
              <wp:positionV relativeFrom="paragraph">
                <wp:posOffset>-259715</wp:posOffset>
              </wp:positionV>
              <wp:extent cx="1895475" cy="676910"/>
              <wp:effectExtent l="0" t="0" r="0" b="0"/>
              <wp:wrapThrough wrapText="bothSides">
                <wp:wrapPolygon edited="0">
                  <wp:start x="0" y="0"/>
                  <wp:lineTo x="0" y="21276"/>
                  <wp:lineTo x="21491" y="21276"/>
                  <wp:lineTo x="21491" y="0"/>
                  <wp:lineTo x="0" y="0"/>
                </wp:wrapPolygon>
              </wp:wrapThrough>
              <wp:docPr id="1" name="Imagem 1" descr="Uma imagem contendo desenh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ntendo desenho&#10;&#10;Descrição gerada automaticamente"/>
                      <pic:cNvPicPr/>
                    </pic:nvPicPr>
                    <pic:blipFill>
                      <a:blip r:embed="rId2">
                        <a:extLst>
                          <a:ext uri="{28A0092B-C50C-407E-A947-70E740481C1C}">
                            <a14:useLocalDpi xmlns:a14="http://schemas.microsoft.com/office/drawing/2010/main" val="0"/>
                          </a:ext>
                        </a:extLst>
                      </a:blip>
                      <a:stretch>
                        <a:fillRect/>
                      </a:stretch>
                    </pic:blipFill>
                    <pic:spPr>
                      <a:xfrm>
                        <a:off x="0" y="0"/>
                        <a:ext cx="1895475" cy="676910"/>
                      </a:xfrm>
                      <a:prstGeom prst="rect">
                        <a:avLst/>
                      </a:prstGeom>
                    </pic:spPr>
                  </pic:pic>
                </a:graphicData>
              </a:graphic>
              <wp14:sizeRelH relativeFrom="page">
                <wp14:pctWidth>0</wp14:pctWidth>
              </wp14:sizeRelH>
              <wp14:sizeRelV relativeFrom="page">
                <wp14:pctHeight>0</wp14:pctHeight>
              </wp14:sizeRelV>
            </wp:anchor>
          </w:drawing>
        </w:r>
        <w:r w:rsidR="00D47D75">
          <w:fldChar w:fldCharType="begin"/>
        </w:r>
        <w:r w:rsidR="00737045">
          <w:instrText>PAGE   \* MERGEFORMAT</w:instrText>
        </w:r>
        <w:r w:rsidR="00D47D75">
          <w:fldChar w:fldCharType="separate"/>
        </w:r>
        <w:r w:rsidR="003B0727">
          <w:rPr>
            <w:noProof/>
          </w:rPr>
          <w:t>3</w:t>
        </w:r>
        <w:r w:rsidR="00D47D75">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E69D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8C857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2BA62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47082FD8"/>
    <w:multiLevelType w:val="multilevel"/>
    <w:tmpl w:val="C58AC76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568270794">
    <w:abstractNumId w:val="3"/>
  </w:num>
  <w:num w:numId="2" w16cid:durableId="300692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69183765">
    <w:abstractNumId w:val="1"/>
  </w:num>
  <w:num w:numId="4" w16cid:durableId="136343393">
    <w:abstractNumId w:val="0"/>
  </w:num>
  <w:num w:numId="5" w16cid:durableId="409892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36798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4AA"/>
    <w:rsid w:val="00027CD2"/>
    <w:rsid w:val="000C483C"/>
    <w:rsid w:val="000F1005"/>
    <w:rsid w:val="0013752B"/>
    <w:rsid w:val="001B251E"/>
    <w:rsid w:val="00204396"/>
    <w:rsid w:val="00210AB5"/>
    <w:rsid w:val="00211925"/>
    <w:rsid w:val="00211CB6"/>
    <w:rsid w:val="0025649A"/>
    <w:rsid w:val="003B0727"/>
    <w:rsid w:val="004479EB"/>
    <w:rsid w:val="004935BD"/>
    <w:rsid w:val="00494EB0"/>
    <w:rsid w:val="004F3695"/>
    <w:rsid w:val="005A147A"/>
    <w:rsid w:val="005E778E"/>
    <w:rsid w:val="0065106C"/>
    <w:rsid w:val="006E399E"/>
    <w:rsid w:val="006E56A4"/>
    <w:rsid w:val="00733991"/>
    <w:rsid w:val="00737045"/>
    <w:rsid w:val="00766AE7"/>
    <w:rsid w:val="00813CF3"/>
    <w:rsid w:val="0086244A"/>
    <w:rsid w:val="008733E1"/>
    <w:rsid w:val="008905F6"/>
    <w:rsid w:val="008D102E"/>
    <w:rsid w:val="008E479E"/>
    <w:rsid w:val="009263E9"/>
    <w:rsid w:val="009325ED"/>
    <w:rsid w:val="009369C9"/>
    <w:rsid w:val="00973390"/>
    <w:rsid w:val="009D0DB3"/>
    <w:rsid w:val="00A15BE6"/>
    <w:rsid w:val="00A448AF"/>
    <w:rsid w:val="00B12CAF"/>
    <w:rsid w:val="00B36313"/>
    <w:rsid w:val="00BB6319"/>
    <w:rsid w:val="00BD7FE6"/>
    <w:rsid w:val="00C40ED4"/>
    <w:rsid w:val="00C51C75"/>
    <w:rsid w:val="00C65C77"/>
    <w:rsid w:val="00CC513C"/>
    <w:rsid w:val="00CE103C"/>
    <w:rsid w:val="00D434AA"/>
    <w:rsid w:val="00D47D75"/>
    <w:rsid w:val="00DB131B"/>
    <w:rsid w:val="00DF694C"/>
    <w:rsid w:val="00DF6A78"/>
    <w:rsid w:val="00E60F5B"/>
    <w:rsid w:val="00E83E2E"/>
    <w:rsid w:val="00EC6016"/>
    <w:rsid w:val="00FD0466"/>
    <w:rsid w:val="00FD0FA7"/>
    <w:rsid w:val="00FF04B6"/>
    <w:rsid w:val="01B4D632"/>
    <w:rsid w:val="14145F70"/>
    <w:rsid w:val="3C048857"/>
    <w:rsid w:val="481DCCB7"/>
    <w:rsid w:val="488A0BD0"/>
    <w:rsid w:val="51FB1FBB"/>
    <w:rsid w:val="5B243BCD"/>
    <w:rsid w:val="63D273D5"/>
    <w:rsid w:val="731E4017"/>
    <w:rsid w:val="77A33C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0DD02"/>
  <w15:docId w15:val="{DE6AB76A-4D8B-4643-B307-95A9470BA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EB0"/>
    <w:pPr>
      <w:spacing w:after="12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20439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BodyText"/>
    <w:link w:val="Heading2Char"/>
    <w:uiPriority w:val="9"/>
    <w:unhideWhenUsed/>
    <w:qFormat/>
    <w:rsid w:val="00BB6319"/>
    <w:pPr>
      <w:keepNext/>
      <w:keepLines/>
      <w:spacing w:before="200" w:after="0"/>
      <w:jc w:val="left"/>
      <w:outlineLvl w:val="1"/>
    </w:pPr>
    <w:rPr>
      <w:rFonts w:asciiTheme="majorHAnsi" w:eastAsiaTheme="majorEastAsia" w:hAnsiTheme="majorHAnsi" w:cstheme="majorBidi"/>
      <w:b/>
      <w:bCs/>
      <w:color w:val="4F81BD" w:themeColor="accent1"/>
      <w:sz w:val="28"/>
      <w:szCs w:val="28"/>
      <w:lang w:val="en-US"/>
    </w:rPr>
  </w:style>
  <w:style w:type="paragraph" w:styleId="Heading3">
    <w:name w:val="heading 3"/>
    <w:basedOn w:val="Normal"/>
    <w:next w:val="BodyText"/>
    <w:link w:val="Heading3Char"/>
    <w:uiPriority w:val="9"/>
    <w:unhideWhenUsed/>
    <w:qFormat/>
    <w:rsid w:val="00BB6319"/>
    <w:pPr>
      <w:keepNext/>
      <w:keepLines/>
      <w:spacing w:before="200" w:after="0"/>
      <w:jc w:val="left"/>
      <w:outlineLvl w:val="2"/>
    </w:pPr>
    <w:rPr>
      <w:rFonts w:asciiTheme="majorHAnsi" w:eastAsiaTheme="majorEastAsia" w:hAnsiTheme="majorHAnsi" w:cstheme="majorBidi"/>
      <w:b/>
      <w:bCs/>
      <w:color w:val="4F81BD" w:themeColor="accent1"/>
      <w:szCs w:val="24"/>
      <w:lang w:val="en-US"/>
    </w:rPr>
  </w:style>
  <w:style w:type="paragraph" w:styleId="Heading4">
    <w:name w:val="heading 4"/>
    <w:basedOn w:val="Normal"/>
    <w:next w:val="BodyText"/>
    <w:link w:val="Heading4Char"/>
    <w:uiPriority w:val="9"/>
    <w:unhideWhenUsed/>
    <w:qFormat/>
    <w:rsid w:val="00204396"/>
    <w:pPr>
      <w:keepNext/>
      <w:keepLines/>
      <w:spacing w:before="200" w:after="0"/>
      <w:jc w:val="left"/>
      <w:outlineLvl w:val="3"/>
    </w:pPr>
    <w:rPr>
      <w:rFonts w:asciiTheme="majorHAnsi" w:eastAsiaTheme="majorEastAsia" w:hAnsiTheme="majorHAnsi" w:cstheme="majorBidi"/>
      <w:bCs/>
      <w:i/>
      <w:color w:val="4F81BD" w:themeColor="accent1"/>
      <w:szCs w:val="24"/>
      <w:lang w:val="en-US"/>
    </w:rPr>
  </w:style>
  <w:style w:type="paragraph" w:styleId="Heading5">
    <w:name w:val="heading 5"/>
    <w:basedOn w:val="Normal"/>
    <w:next w:val="BodyText"/>
    <w:link w:val="Heading5Char"/>
    <w:uiPriority w:val="9"/>
    <w:unhideWhenUsed/>
    <w:qFormat/>
    <w:rsid w:val="00204396"/>
    <w:pPr>
      <w:keepNext/>
      <w:keepLines/>
      <w:spacing w:before="200" w:after="0"/>
      <w:jc w:val="left"/>
      <w:outlineLvl w:val="4"/>
    </w:pPr>
    <w:rPr>
      <w:rFonts w:asciiTheme="majorHAnsi" w:eastAsiaTheme="majorEastAsia" w:hAnsiTheme="majorHAnsi" w:cstheme="majorBidi"/>
      <w:iCs/>
      <w:color w:val="4F81BD" w:themeColor="accent1"/>
      <w:szCs w:val="24"/>
      <w:lang w:val="en-US"/>
    </w:rPr>
  </w:style>
  <w:style w:type="paragraph" w:styleId="Heading6">
    <w:name w:val="heading 6"/>
    <w:basedOn w:val="Normal"/>
    <w:next w:val="BodyText"/>
    <w:link w:val="Heading6Char"/>
    <w:uiPriority w:val="9"/>
    <w:unhideWhenUsed/>
    <w:qFormat/>
    <w:rsid w:val="00204396"/>
    <w:pPr>
      <w:keepNext/>
      <w:keepLines/>
      <w:spacing w:before="200" w:after="0"/>
      <w:jc w:val="left"/>
      <w:outlineLvl w:val="5"/>
    </w:pPr>
    <w:rPr>
      <w:rFonts w:asciiTheme="majorHAnsi" w:eastAsiaTheme="majorEastAsia" w:hAnsiTheme="majorHAnsi" w:cstheme="majorBidi"/>
      <w:color w:val="4F81BD" w:themeColor="accent1"/>
      <w:szCs w:val="24"/>
      <w:lang w:val="en-US"/>
    </w:rPr>
  </w:style>
  <w:style w:type="paragraph" w:styleId="Heading7">
    <w:name w:val="heading 7"/>
    <w:basedOn w:val="Normal"/>
    <w:next w:val="BodyText"/>
    <w:link w:val="Heading7Char"/>
    <w:uiPriority w:val="9"/>
    <w:unhideWhenUsed/>
    <w:qFormat/>
    <w:rsid w:val="00204396"/>
    <w:pPr>
      <w:keepNext/>
      <w:keepLines/>
      <w:spacing w:before="200" w:after="0"/>
      <w:jc w:val="left"/>
      <w:outlineLvl w:val="6"/>
    </w:pPr>
    <w:rPr>
      <w:rFonts w:asciiTheme="majorHAnsi" w:eastAsiaTheme="majorEastAsia" w:hAnsiTheme="majorHAnsi" w:cstheme="majorBidi"/>
      <w:color w:val="4F81BD" w:themeColor="accent1"/>
      <w:szCs w:val="24"/>
      <w:lang w:val="en-US"/>
    </w:rPr>
  </w:style>
  <w:style w:type="paragraph" w:styleId="Heading8">
    <w:name w:val="heading 8"/>
    <w:basedOn w:val="Normal"/>
    <w:next w:val="BodyText"/>
    <w:link w:val="Heading8Char"/>
    <w:uiPriority w:val="9"/>
    <w:unhideWhenUsed/>
    <w:qFormat/>
    <w:rsid w:val="00204396"/>
    <w:pPr>
      <w:keepNext/>
      <w:keepLines/>
      <w:spacing w:before="200" w:after="0"/>
      <w:jc w:val="left"/>
      <w:outlineLvl w:val="7"/>
    </w:pPr>
    <w:rPr>
      <w:rFonts w:asciiTheme="majorHAnsi" w:eastAsiaTheme="majorEastAsia" w:hAnsiTheme="majorHAnsi" w:cstheme="majorBidi"/>
      <w:color w:val="4F81BD" w:themeColor="accent1"/>
      <w:szCs w:val="24"/>
      <w:lang w:val="en-US"/>
    </w:rPr>
  </w:style>
  <w:style w:type="paragraph" w:styleId="Heading9">
    <w:name w:val="heading 9"/>
    <w:basedOn w:val="Normal"/>
    <w:next w:val="BodyText"/>
    <w:link w:val="Heading9Char"/>
    <w:uiPriority w:val="9"/>
    <w:unhideWhenUsed/>
    <w:qFormat/>
    <w:rsid w:val="00204396"/>
    <w:pPr>
      <w:keepNext/>
      <w:keepLines/>
      <w:spacing w:before="200" w:after="0"/>
      <w:jc w:val="left"/>
      <w:outlineLvl w:val="8"/>
    </w:pPr>
    <w:rPr>
      <w:rFonts w:asciiTheme="majorHAnsi" w:eastAsiaTheme="majorEastAsia" w:hAnsiTheme="majorHAnsi" w:cstheme="majorBidi"/>
      <w:color w:val="4F81BD" w:themeColor="accent1"/>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
    <w:unhideWhenUsed/>
    <w:qFormat/>
    <w:rsid w:val="00766AE7"/>
    <w:pPr>
      <w:spacing w:after="0"/>
    </w:pPr>
    <w:rPr>
      <w:sz w:val="20"/>
      <w:szCs w:val="20"/>
    </w:rPr>
  </w:style>
  <w:style w:type="character" w:customStyle="1" w:styleId="FootnoteTextChar">
    <w:name w:val="Footnote Text Char"/>
    <w:basedOn w:val="DefaultParagraphFont"/>
    <w:link w:val="FootnoteText"/>
    <w:uiPriority w:val="9"/>
    <w:rsid w:val="00766AE7"/>
    <w:rPr>
      <w:rFonts w:ascii="Times New Roman" w:hAnsi="Times New Roman"/>
      <w:sz w:val="20"/>
      <w:szCs w:val="20"/>
    </w:rPr>
  </w:style>
  <w:style w:type="character" w:styleId="FootnoteReference">
    <w:name w:val="footnote reference"/>
    <w:basedOn w:val="DefaultParagraphFont"/>
    <w:unhideWhenUsed/>
    <w:rsid w:val="00766AE7"/>
    <w:rPr>
      <w:vertAlign w:val="superscript"/>
    </w:rPr>
  </w:style>
  <w:style w:type="paragraph" w:styleId="ListParagraph">
    <w:name w:val="List Paragraph"/>
    <w:basedOn w:val="Normal"/>
    <w:uiPriority w:val="34"/>
    <w:qFormat/>
    <w:rsid w:val="00973390"/>
    <w:pPr>
      <w:ind w:left="720"/>
      <w:contextualSpacing/>
    </w:pPr>
  </w:style>
  <w:style w:type="paragraph" w:styleId="Header">
    <w:name w:val="header"/>
    <w:basedOn w:val="Normal"/>
    <w:link w:val="HeaderChar"/>
    <w:uiPriority w:val="99"/>
    <w:unhideWhenUsed/>
    <w:rsid w:val="00737045"/>
    <w:pPr>
      <w:tabs>
        <w:tab w:val="center" w:pos="4252"/>
        <w:tab w:val="right" w:pos="8504"/>
      </w:tabs>
      <w:spacing w:after="0"/>
    </w:pPr>
  </w:style>
  <w:style w:type="character" w:customStyle="1" w:styleId="HeaderChar">
    <w:name w:val="Header Char"/>
    <w:basedOn w:val="DefaultParagraphFont"/>
    <w:link w:val="Header"/>
    <w:uiPriority w:val="99"/>
    <w:rsid w:val="00737045"/>
    <w:rPr>
      <w:rFonts w:ascii="Times New Roman" w:hAnsi="Times New Roman"/>
      <w:sz w:val="24"/>
    </w:rPr>
  </w:style>
  <w:style w:type="paragraph" w:styleId="Footer">
    <w:name w:val="footer"/>
    <w:basedOn w:val="Normal"/>
    <w:link w:val="FooterChar"/>
    <w:uiPriority w:val="99"/>
    <w:unhideWhenUsed/>
    <w:rsid w:val="00737045"/>
    <w:pPr>
      <w:tabs>
        <w:tab w:val="center" w:pos="4252"/>
        <w:tab w:val="right" w:pos="8504"/>
      </w:tabs>
      <w:spacing w:after="0"/>
    </w:pPr>
  </w:style>
  <w:style w:type="character" w:customStyle="1" w:styleId="FooterChar">
    <w:name w:val="Footer Char"/>
    <w:basedOn w:val="DefaultParagraphFont"/>
    <w:link w:val="Footer"/>
    <w:uiPriority w:val="99"/>
    <w:rsid w:val="00737045"/>
    <w:rPr>
      <w:rFonts w:ascii="Times New Roman" w:hAnsi="Times New Roman"/>
      <w:sz w:val="24"/>
    </w:rPr>
  </w:style>
  <w:style w:type="paragraph" w:styleId="BalloonText">
    <w:name w:val="Balloon Text"/>
    <w:basedOn w:val="Normal"/>
    <w:link w:val="BalloonTextChar"/>
    <w:uiPriority w:val="99"/>
    <w:semiHidden/>
    <w:unhideWhenUsed/>
    <w:rsid w:val="0073704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045"/>
    <w:rPr>
      <w:rFonts w:ascii="Tahoma" w:hAnsi="Tahoma" w:cs="Tahoma"/>
      <w:sz w:val="16"/>
      <w:szCs w:val="16"/>
    </w:rPr>
  </w:style>
  <w:style w:type="character" w:styleId="Hyperlink">
    <w:name w:val="Hyperlink"/>
    <w:basedOn w:val="DefaultParagraphFont"/>
    <w:unhideWhenUsed/>
    <w:rsid w:val="004935BD"/>
    <w:rPr>
      <w:color w:val="0000FF" w:themeColor="hyperlink"/>
      <w:u w:val="single"/>
    </w:rPr>
  </w:style>
  <w:style w:type="character" w:customStyle="1" w:styleId="UnresolvedMention1">
    <w:name w:val="Unresolved Mention1"/>
    <w:basedOn w:val="DefaultParagraphFont"/>
    <w:uiPriority w:val="99"/>
    <w:semiHidden/>
    <w:unhideWhenUsed/>
    <w:rsid w:val="00494EB0"/>
    <w:rPr>
      <w:color w:val="605E5C"/>
      <w:shd w:val="clear" w:color="auto" w:fill="E1DFDD"/>
    </w:rPr>
  </w:style>
  <w:style w:type="paragraph" w:styleId="BodyText">
    <w:name w:val="Body Text"/>
    <w:basedOn w:val="Normal"/>
    <w:link w:val="BodyTextChar"/>
    <w:qFormat/>
    <w:rsid w:val="00BB6319"/>
    <w:pPr>
      <w:spacing w:before="180" w:after="180"/>
      <w:jc w:val="left"/>
    </w:pPr>
    <w:rPr>
      <w:szCs w:val="24"/>
      <w:lang w:val="en-US"/>
    </w:rPr>
  </w:style>
  <w:style w:type="character" w:customStyle="1" w:styleId="BodyTextChar">
    <w:name w:val="Body Text Char"/>
    <w:basedOn w:val="DefaultParagraphFont"/>
    <w:link w:val="BodyText"/>
    <w:rsid w:val="00BB6319"/>
    <w:rPr>
      <w:rFonts w:ascii="Times New Roman" w:hAnsi="Times New Roman"/>
      <w:sz w:val="24"/>
      <w:szCs w:val="24"/>
      <w:lang w:val="en-US"/>
    </w:rPr>
  </w:style>
  <w:style w:type="paragraph" w:customStyle="1" w:styleId="FirstParagraph">
    <w:name w:val="First Paragraph"/>
    <w:basedOn w:val="BodyText"/>
    <w:next w:val="BodyText"/>
    <w:qFormat/>
    <w:rsid w:val="00BB6319"/>
  </w:style>
  <w:style w:type="character" w:customStyle="1" w:styleId="Heading2Char">
    <w:name w:val="Heading 2 Char"/>
    <w:basedOn w:val="DefaultParagraphFont"/>
    <w:link w:val="Heading2"/>
    <w:uiPriority w:val="9"/>
    <w:rsid w:val="00BB6319"/>
    <w:rPr>
      <w:rFonts w:asciiTheme="majorHAnsi" w:eastAsiaTheme="majorEastAsia" w:hAnsiTheme="majorHAnsi" w:cstheme="majorBidi"/>
      <w:b/>
      <w:bCs/>
      <w:color w:val="4F81BD" w:themeColor="accent1"/>
      <w:sz w:val="28"/>
      <w:szCs w:val="28"/>
      <w:lang w:val="en-US"/>
    </w:rPr>
  </w:style>
  <w:style w:type="character" w:customStyle="1" w:styleId="Heading3Char">
    <w:name w:val="Heading 3 Char"/>
    <w:basedOn w:val="DefaultParagraphFont"/>
    <w:link w:val="Heading3"/>
    <w:uiPriority w:val="9"/>
    <w:rsid w:val="00BB6319"/>
    <w:rPr>
      <w:rFonts w:asciiTheme="majorHAnsi" w:eastAsiaTheme="majorEastAsia" w:hAnsiTheme="majorHAnsi" w:cstheme="majorBidi"/>
      <w:b/>
      <w:bCs/>
      <w:color w:val="4F81BD" w:themeColor="accent1"/>
      <w:sz w:val="24"/>
      <w:szCs w:val="24"/>
      <w:lang w:val="en-US"/>
    </w:rPr>
  </w:style>
  <w:style w:type="paragraph" w:customStyle="1" w:styleId="Compact">
    <w:name w:val="Compact"/>
    <w:basedOn w:val="BodyText"/>
    <w:qFormat/>
    <w:rsid w:val="00BB6319"/>
    <w:pPr>
      <w:spacing w:before="36" w:after="36"/>
    </w:pPr>
  </w:style>
  <w:style w:type="paragraph" w:styleId="BlockText">
    <w:name w:val="Block Text"/>
    <w:basedOn w:val="BodyText"/>
    <w:next w:val="BodyText"/>
    <w:uiPriority w:val="9"/>
    <w:unhideWhenUsed/>
    <w:qFormat/>
    <w:rsid w:val="00BB6319"/>
    <w:pPr>
      <w:spacing w:before="100" w:after="100"/>
      <w:ind w:left="480" w:right="480"/>
    </w:pPr>
  </w:style>
  <w:style w:type="character" w:styleId="UnresolvedMention">
    <w:name w:val="Unresolved Mention"/>
    <w:basedOn w:val="DefaultParagraphFont"/>
    <w:uiPriority w:val="99"/>
    <w:semiHidden/>
    <w:unhideWhenUsed/>
    <w:rsid w:val="00204396"/>
    <w:rPr>
      <w:color w:val="605E5C"/>
      <w:shd w:val="clear" w:color="auto" w:fill="E1DFDD"/>
    </w:rPr>
  </w:style>
  <w:style w:type="character" w:customStyle="1" w:styleId="Heading1Char">
    <w:name w:val="Heading 1 Char"/>
    <w:basedOn w:val="DefaultParagraphFont"/>
    <w:link w:val="Heading1"/>
    <w:uiPriority w:val="9"/>
    <w:rsid w:val="00204396"/>
    <w:rPr>
      <w:rFonts w:asciiTheme="majorHAnsi" w:eastAsiaTheme="majorEastAsia" w:hAnsiTheme="majorHAnsi" w:cstheme="majorBidi"/>
      <w:color w:val="365F91" w:themeColor="accent1" w:themeShade="BF"/>
      <w:sz w:val="32"/>
      <w:szCs w:val="32"/>
    </w:rPr>
  </w:style>
  <w:style w:type="character" w:customStyle="1" w:styleId="Heading4Char">
    <w:name w:val="Heading 4 Char"/>
    <w:basedOn w:val="DefaultParagraphFont"/>
    <w:link w:val="Heading4"/>
    <w:uiPriority w:val="9"/>
    <w:rsid w:val="00204396"/>
    <w:rPr>
      <w:rFonts w:asciiTheme="majorHAnsi" w:eastAsiaTheme="majorEastAsia" w:hAnsiTheme="majorHAnsi" w:cstheme="majorBidi"/>
      <w:bCs/>
      <w:i/>
      <w:color w:val="4F81BD" w:themeColor="accent1"/>
      <w:sz w:val="24"/>
      <w:szCs w:val="24"/>
      <w:lang w:val="en-US"/>
    </w:rPr>
  </w:style>
  <w:style w:type="character" w:customStyle="1" w:styleId="Heading5Char">
    <w:name w:val="Heading 5 Char"/>
    <w:basedOn w:val="DefaultParagraphFont"/>
    <w:link w:val="Heading5"/>
    <w:uiPriority w:val="9"/>
    <w:rsid w:val="00204396"/>
    <w:rPr>
      <w:rFonts w:asciiTheme="majorHAnsi" w:eastAsiaTheme="majorEastAsia" w:hAnsiTheme="majorHAnsi" w:cstheme="majorBidi"/>
      <w:iCs/>
      <w:color w:val="4F81BD" w:themeColor="accent1"/>
      <w:sz w:val="24"/>
      <w:szCs w:val="24"/>
      <w:lang w:val="en-US"/>
    </w:rPr>
  </w:style>
  <w:style w:type="character" w:customStyle="1" w:styleId="Heading6Char">
    <w:name w:val="Heading 6 Char"/>
    <w:basedOn w:val="DefaultParagraphFont"/>
    <w:link w:val="Heading6"/>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7Char">
    <w:name w:val="Heading 7 Char"/>
    <w:basedOn w:val="DefaultParagraphFont"/>
    <w:link w:val="Heading7"/>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8Char">
    <w:name w:val="Heading 8 Char"/>
    <w:basedOn w:val="DefaultParagraphFont"/>
    <w:link w:val="Heading8"/>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9Char">
    <w:name w:val="Heading 9 Char"/>
    <w:basedOn w:val="DefaultParagraphFont"/>
    <w:link w:val="Heading9"/>
    <w:uiPriority w:val="9"/>
    <w:rsid w:val="00204396"/>
    <w:rPr>
      <w:rFonts w:asciiTheme="majorHAnsi" w:eastAsiaTheme="majorEastAsia" w:hAnsiTheme="majorHAnsi" w:cstheme="majorBidi"/>
      <w:color w:val="4F81BD" w:themeColor="accent1"/>
      <w:sz w:val="24"/>
      <w:szCs w:val="24"/>
      <w:lang w:val="en-US"/>
    </w:rPr>
  </w:style>
  <w:style w:type="paragraph" w:styleId="Title">
    <w:name w:val="Title"/>
    <w:basedOn w:val="Normal"/>
    <w:next w:val="BodyText"/>
    <w:link w:val="TitleChar"/>
    <w:qFormat/>
    <w:rsid w:val="00204396"/>
    <w:pPr>
      <w:keepNext/>
      <w:keepLines/>
      <w:spacing w:before="480" w:after="240"/>
      <w:jc w:val="center"/>
    </w:pPr>
    <w:rPr>
      <w:rFonts w:asciiTheme="majorHAnsi" w:eastAsiaTheme="majorEastAsia" w:hAnsiTheme="majorHAnsi" w:cstheme="majorBidi"/>
      <w:b/>
      <w:bCs/>
      <w:color w:val="345A8A" w:themeColor="accent1" w:themeShade="B5"/>
      <w:sz w:val="36"/>
      <w:szCs w:val="36"/>
      <w:lang w:val="en-US"/>
    </w:rPr>
  </w:style>
  <w:style w:type="character" w:customStyle="1" w:styleId="TitleChar">
    <w:name w:val="Title Char"/>
    <w:basedOn w:val="DefaultParagraphFont"/>
    <w:link w:val="Title"/>
    <w:rsid w:val="00204396"/>
    <w:rPr>
      <w:rFonts w:asciiTheme="majorHAnsi" w:eastAsiaTheme="majorEastAsia" w:hAnsiTheme="majorHAnsi" w:cstheme="majorBidi"/>
      <w:b/>
      <w:bCs/>
      <w:color w:val="345A8A" w:themeColor="accent1" w:themeShade="B5"/>
      <w:sz w:val="36"/>
      <w:szCs w:val="36"/>
      <w:lang w:val="en-US"/>
    </w:rPr>
  </w:style>
  <w:style w:type="paragraph" w:styleId="Subtitle">
    <w:name w:val="Subtitle"/>
    <w:basedOn w:val="Title"/>
    <w:next w:val="BodyText"/>
    <w:link w:val="SubtitleChar"/>
    <w:qFormat/>
    <w:rsid w:val="00204396"/>
    <w:pPr>
      <w:spacing w:before="240"/>
    </w:pPr>
    <w:rPr>
      <w:sz w:val="30"/>
      <w:szCs w:val="30"/>
    </w:rPr>
  </w:style>
  <w:style w:type="character" w:customStyle="1" w:styleId="SubtitleChar">
    <w:name w:val="Subtitle Char"/>
    <w:basedOn w:val="DefaultParagraphFont"/>
    <w:link w:val="Subtitle"/>
    <w:rsid w:val="00204396"/>
    <w:rPr>
      <w:rFonts w:asciiTheme="majorHAnsi" w:eastAsiaTheme="majorEastAsia" w:hAnsiTheme="majorHAnsi" w:cstheme="majorBidi"/>
      <w:b/>
      <w:bCs/>
      <w:color w:val="345A8A" w:themeColor="accent1" w:themeShade="B5"/>
      <w:sz w:val="30"/>
      <w:szCs w:val="30"/>
      <w:lang w:val="en-US"/>
    </w:rPr>
  </w:style>
  <w:style w:type="paragraph" w:customStyle="1" w:styleId="Author">
    <w:name w:val="Author"/>
    <w:next w:val="BodyText"/>
    <w:qFormat/>
    <w:rsid w:val="00204396"/>
    <w:pPr>
      <w:keepNext/>
      <w:keepLines/>
      <w:spacing w:line="240" w:lineRule="auto"/>
      <w:jc w:val="center"/>
    </w:pPr>
    <w:rPr>
      <w:sz w:val="24"/>
      <w:szCs w:val="24"/>
      <w:lang w:val="en-US"/>
    </w:rPr>
  </w:style>
  <w:style w:type="paragraph" w:styleId="Date">
    <w:name w:val="Date"/>
    <w:next w:val="BodyText"/>
    <w:link w:val="DateChar"/>
    <w:qFormat/>
    <w:rsid w:val="00204396"/>
    <w:pPr>
      <w:keepNext/>
      <w:keepLines/>
      <w:spacing w:line="240" w:lineRule="auto"/>
      <w:jc w:val="center"/>
    </w:pPr>
    <w:rPr>
      <w:sz w:val="24"/>
      <w:szCs w:val="24"/>
      <w:lang w:val="en-US"/>
    </w:rPr>
  </w:style>
  <w:style w:type="character" w:customStyle="1" w:styleId="DateChar">
    <w:name w:val="Date Char"/>
    <w:basedOn w:val="DefaultParagraphFont"/>
    <w:link w:val="Date"/>
    <w:rsid w:val="00204396"/>
    <w:rPr>
      <w:sz w:val="24"/>
      <w:szCs w:val="24"/>
      <w:lang w:val="en-US"/>
    </w:rPr>
  </w:style>
  <w:style w:type="paragraph" w:customStyle="1" w:styleId="AbstractTitle">
    <w:name w:val="Abstract Title"/>
    <w:basedOn w:val="Normal"/>
    <w:next w:val="Abstract"/>
    <w:qFormat/>
    <w:rsid w:val="00204396"/>
    <w:pPr>
      <w:keepNext/>
      <w:keepLines/>
      <w:spacing w:before="300" w:after="0"/>
      <w:jc w:val="center"/>
    </w:pPr>
    <w:rPr>
      <w:b/>
      <w:color w:val="345A8A"/>
      <w:sz w:val="20"/>
      <w:szCs w:val="20"/>
      <w:lang w:val="en-US"/>
    </w:rPr>
  </w:style>
  <w:style w:type="paragraph" w:customStyle="1" w:styleId="Abstract">
    <w:name w:val="Abstract"/>
    <w:basedOn w:val="Normal"/>
    <w:next w:val="BodyText"/>
    <w:qFormat/>
    <w:rsid w:val="00204396"/>
    <w:pPr>
      <w:keepNext/>
      <w:keepLines/>
      <w:spacing w:before="100" w:after="300"/>
      <w:jc w:val="left"/>
    </w:pPr>
    <w:rPr>
      <w:sz w:val="20"/>
      <w:szCs w:val="20"/>
      <w:lang w:val="en-US"/>
    </w:rPr>
  </w:style>
  <w:style w:type="paragraph" w:styleId="Bibliography">
    <w:name w:val="Bibliography"/>
    <w:basedOn w:val="Normal"/>
    <w:qFormat/>
    <w:rsid w:val="00204396"/>
    <w:pPr>
      <w:spacing w:after="200"/>
      <w:jc w:val="left"/>
    </w:pPr>
    <w:rPr>
      <w:szCs w:val="24"/>
      <w:lang w:val="en-US"/>
    </w:rPr>
  </w:style>
  <w:style w:type="paragraph" w:customStyle="1" w:styleId="FootnoteBlockText">
    <w:name w:val="Footnote Block Text"/>
    <w:uiPriority w:val="9"/>
    <w:unhideWhenUsed/>
    <w:qFormat/>
    <w:rsid w:val="00204396"/>
    <w:pPr>
      <w:spacing w:before="100" w:after="100" w:line="240" w:lineRule="auto"/>
      <w:ind w:left="480" w:right="480"/>
    </w:pPr>
    <w:rPr>
      <w:sz w:val="24"/>
      <w:szCs w:val="24"/>
      <w:lang w:val="en-US"/>
    </w:rPr>
  </w:style>
  <w:style w:type="table" w:customStyle="1" w:styleId="Table">
    <w:name w:val="Table"/>
    <w:semiHidden/>
    <w:unhideWhenUsed/>
    <w:qFormat/>
    <w:rsid w:val="00204396"/>
    <w:pPr>
      <w:spacing w:line="240" w:lineRule="auto"/>
    </w:pPr>
    <w:rPr>
      <w:sz w:val="24"/>
      <w:szCs w:val="24"/>
      <w:lang w:val="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204396"/>
    <w:pPr>
      <w:keepNext/>
      <w:keepLines/>
      <w:spacing w:after="0"/>
      <w:jc w:val="left"/>
    </w:pPr>
    <w:rPr>
      <w:b/>
      <w:szCs w:val="24"/>
      <w:lang w:val="en-US"/>
    </w:rPr>
  </w:style>
  <w:style w:type="paragraph" w:customStyle="1" w:styleId="Definition">
    <w:name w:val="Definition"/>
    <w:basedOn w:val="Normal"/>
    <w:rsid w:val="00204396"/>
    <w:pPr>
      <w:spacing w:after="200"/>
      <w:jc w:val="left"/>
    </w:pPr>
    <w:rPr>
      <w:szCs w:val="24"/>
      <w:lang w:val="en-US"/>
    </w:rPr>
  </w:style>
  <w:style w:type="paragraph" w:styleId="Caption">
    <w:name w:val="caption"/>
    <w:basedOn w:val="Normal"/>
    <w:link w:val="CaptionChar"/>
    <w:rsid w:val="00204396"/>
    <w:pPr>
      <w:jc w:val="left"/>
    </w:pPr>
    <w:rPr>
      <w:i/>
      <w:szCs w:val="24"/>
      <w:lang w:val="en-US"/>
    </w:rPr>
  </w:style>
  <w:style w:type="paragraph" w:customStyle="1" w:styleId="TableCaption">
    <w:name w:val="Table Caption"/>
    <w:basedOn w:val="Caption"/>
    <w:rsid w:val="00204396"/>
    <w:pPr>
      <w:keepNext/>
    </w:pPr>
  </w:style>
  <w:style w:type="paragraph" w:customStyle="1" w:styleId="ImageCaption">
    <w:name w:val="Image Caption"/>
    <w:basedOn w:val="Caption"/>
    <w:rsid w:val="00204396"/>
  </w:style>
  <w:style w:type="paragraph" w:customStyle="1" w:styleId="Figure">
    <w:name w:val="Figure"/>
    <w:basedOn w:val="Normal"/>
    <w:rsid w:val="00204396"/>
    <w:pPr>
      <w:spacing w:after="200"/>
      <w:jc w:val="left"/>
    </w:pPr>
    <w:rPr>
      <w:szCs w:val="24"/>
      <w:lang w:val="en-US"/>
    </w:rPr>
  </w:style>
  <w:style w:type="paragraph" w:customStyle="1" w:styleId="CaptionedFigure">
    <w:name w:val="Captioned Figure"/>
    <w:basedOn w:val="Figure"/>
    <w:rsid w:val="00204396"/>
    <w:pPr>
      <w:keepNext/>
    </w:pPr>
  </w:style>
  <w:style w:type="character" w:customStyle="1" w:styleId="CaptionChar">
    <w:name w:val="Caption Char"/>
    <w:basedOn w:val="DefaultParagraphFont"/>
    <w:link w:val="Caption"/>
    <w:rsid w:val="00204396"/>
    <w:rPr>
      <w:rFonts w:ascii="Times New Roman" w:hAnsi="Times New Roman"/>
      <w:i/>
      <w:sz w:val="24"/>
      <w:szCs w:val="24"/>
      <w:lang w:val="en-US"/>
    </w:rPr>
  </w:style>
  <w:style w:type="character" w:customStyle="1" w:styleId="VerbatimChar">
    <w:name w:val="Verbatim Char"/>
    <w:basedOn w:val="CaptionChar"/>
    <w:link w:val="SourceCode"/>
    <w:rsid w:val="00204396"/>
    <w:rPr>
      <w:rFonts w:ascii="Consolas" w:hAnsi="Consolas"/>
      <w:i/>
      <w:sz w:val="24"/>
      <w:szCs w:val="24"/>
      <w:lang w:val="en-US"/>
    </w:rPr>
  </w:style>
  <w:style w:type="character" w:customStyle="1" w:styleId="SectionNumber">
    <w:name w:val="Section Number"/>
    <w:basedOn w:val="CaptionChar"/>
    <w:rsid w:val="00204396"/>
    <w:rPr>
      <w:rFonts w:ascii="Times New Roman" w:hAnsi="Times New Roman"/>
      <w:i/>
      <w:sz w:val="24"/>
      <w:szCs w:val="24"/>
      <w:lang w:val="en-US"/>
    </w:rPr>
  </w:style>
  <w:style w:type="paragraph" w:styleId="TOCHeading">
    <w:name w:val="TOC Heading"/>
    <w:basedOn w:val="Heading1"/>
    <w:next w:val="BodyText"/>
    <w:uiPriority w:val="39"/>
    <w:unhideWhenUsed/>
    <w:qFormat/>
    <w:rsid w:val="00204396"/>
    <w:pPr>
      <w:spacing w:line="259" w:lineRule="auto"/>
      <w:jc w:val="left"/>
      <w:outlineLvl w:val="9"/>
    </w:pPr>
    <w:rPr>
      <w:lang w:val="en-US"/>
    </w:rPr>
  </w:style>
  <w:style w:type="paragraph" w:customStyle="1" w:styleId="SourceCode">
    <w:name w:val="Source Code"/>
    <w:basedOn w:val="Normal"/>
    <w:link w:val="VerbatimChar"/>
    <w:rsid w:val="00204396"/>
    <w:pPr>
      <w:wordWrap w:val="0"/>
      <w:spacing w:after="200"/>
      <w:jc w:val="left"/>
    </w:pPr>
    <w:rPr>
      <w:rFonts w:ascii="Consolas" w:hAnsi="Consolas"/>
      <w:i/>
      <w:sz w:val="22"/>
      <w:szCs w:val="24"/>
      <w:lang w:val="en-US"/>
    </w:rPr>
  </w:style>
  <w:style w:type="character" w:customStyle="1" w:styleId="KeywordTok">
    <w:name w:val="KeywordTok"/>
    <w:basedOn w:val="VerbatimChar"/>
    <w:rsid w:val="00204396"/>
    <w:rPr>
      <w:rFonts w:ascii="Consolas" w:hAnsi="Consolas"/>
      <w:b/>
      <w:i/>
      <w:color w:val="007020"/>
      <w:sz w:val="24"/>
      <w:szCs w:val="24"/>
      <w:lang w:val="en-US"/>
    </w:rPr>
  </w:style>
  <w:style w:type="character" w:customStyle="1" w:styleId="DataTypeTok">
    <w:name w:val="DataTypeTok"/>
    <w:basedOn w:val="VerbatimChar"/>
    <w:rsid w:val="00204396"/>
    <w:rPr>
      <w:rFonts w:ascii="Consolas" w:hAnsi="Consolas"/>
      <w:i/>
      <w:color w:val="902000"/>
      <w:sz w:val="24"/>
      <w:szCs w:val="24"/>
      <w:lang w:val="en-US"/>
    </w:rPr>
  </w:style>
  <w:style w:type="character" w:customStyle="1" w:styleId="DecValTok">
    <w:name w:val="DecValTok"/>
    <w:basedOn w:val="VerbatimChar"/>
    <w:rsid w:val="00204396"/>
    <w:rPr>
      <w:rFonts w:ascii="Consolas" w:hAnsi="Consolas"/>
      <w:i/>
      <w:color w:val="40A070"/>
      <w:sz w:val="24"/>
      <w:szCs w:val="24"/>
      <w:lang w:val="en-US"/>
    </w:rPr>
  </w:style>
  <w:style w:type="character" w:customStyle="1" w:styleId="BaseNTok">
    <w:name w:val="BaseNTok"/>
    <w:basedOn w:val="VerbatimChar"/>
    <w:rsid w:val="00204396"/>
    <w:rPr>
      <w:rFonts w:ascii="Consolas" w:hAnsi="Consolas"/>
      <w:i/>
      <w:color w:val="40A070"/>
      <w:sz w:val="24"/>
      <w:szCs w:val="24"/>
      <w:lang w:val="en-US"/>
    </w:rPr>
  </w:style>
  <w:style w:type="character" w:customStyle="1" w:styleId="FloatTok">
    <w:name w:val="FloatTok"/>
    <w:basedOn w:val="VerbatimChar"/>
    <w:rsid w:val="00204396"/>
    <w:rPr>
      <w:rFonts w:ascii="Consolas" w:hAnsi="Consolas"/>
      <w:i/>
      <w:color w:val="40A070"/>
      <w:sz w:val="24"/>
      <w:szCs w:val="24"/>
      <w:lang w:val="en-US"/>
    </w:rPr>
  </w:style>
  <w:style w:type="character" w:customStyle="1" w:styleId="ConstantTok">
    <w:name w:val="ConstantTok"/>
    <w:basedOn w:val="VerbatimChar"/>
    <w:rsid w:val="00204396"/>
    <w:rPr>
      <w:rFonts w:ascii="Consolas" w:hAnsi="Consolas"/>
      <w:i/>
      <w:color w:val="880000"/>
      <w:sz w:val="24"/>
      <w:szCs w:val="24"/>
      <w:lang w:val="en-US"/>
    </w:rPr>
  </w:style>
  <w:style w:type="character" w:customStyle="1" w:styleId="CharTok">
    <w:name w:val="CharTok"/>
    <w:basedOn w:val="VerbatimChar"/>
    <w:rsid w:val="00204396"/>
    <w:rPr>
      <w:rFonts w:ascii="Consolas" w:hAnsi="Consolas"/>
      <w:i/>
      <w:color w:val="4070A0"/>
      <w:sz w:val="24"/>
      <w:szCs w:val="24"/>
      <w:lang w:val="en-US"/>
    </w:rPr>
  </w:style>
  <w:style w:type="character" w:customStyle="1" w:styleId="SpecialCharTok">
    <w:name w:val="SpecialCharTok"/>
    <w:basedOn w:val="VerbatimChar"/>
    <w:rsid w:val="00204396"/>
    <w:rPr>
      <w:rFonts w:ascii="Consolas" w:hAnsi="Consolas"/>
      <w:i/>
      <w:color w:val="4070A0"/>
      <w:sz w:val="24"/>
      <w:szCs w:val="24"/>
      <w:lang w:val="en-US"/>
    </w:rPr>
  </w:style>
  <w:style w:type="character" w:customStyle="1" w:styleId="StringTok">
    <w:name w:val="StringTok"/>
    <w:basedOn w:val="VerbatimChar"/>
    <w:rsid w:val="00204396"/>
    <w:rPr>
      <w:rFonts w:ascii="Consolas" w:hAnsi="Consolas"/>
      <w:i/>
      <w:color w:val="4070A0"/>
      <w:sz w:val="24"/>
      <w:szCs w:val="24"/>
      <w:lang w:val="en-US"/>
    </w:rPr>
  </w:style>
  <w:style w:type="character" w:customStyle="1" w:styleId="VerbatimStringTok">
    <w:name w:val="VerbatimStringTok"/>
    <w:basedOn w:val="VerbatimChar"/>
    <w:rsid w:val="00204396"/>
    <w:rPr>
      <w:rFonts w:ascii="Consolas" w:hAnsi="Consolas"/>
      <w:i/>
      <w:color w:val="4070A0"/>
      <w:sz w:val="24"/>
      <w:szCs w:val="24"/>
      <w:lang w:val="en-US"/>
    </w:rPr>
  </w:style>
  <w:style w:type="character" w:customStyle="1" w:styleId="SpecialStringTok">
    <w:name w:val="SpecialStringTok"/>
    <w:basedOn w:val="VerbatimChar"/>
    <w:rsid w:val="00204396"/>
    <w:rPr>
      <w:rFonts w:ascii="Consolas" w:hAnsi="Consolas"/>
      <w:i/>
      <w:color w:val="BB6688"/>
      <w:sz w:val="24"/>
      <w:szCs w:val="24"/>
      <w:lang w:val="en-US"/>
    </w:rPr>
  </w:style>
  <w:style w:type="character" w:customStyle="1" w:styleId="ImportTok">
    <w:name w:val="ImportTok"/>
    <w:basedOn w:val="VerbatimChar"/>
    <w:rsid w:val="00204396"/>
    <w:rPr>
      <w:rFonts w:ascii="Consolas" w:hAnsi="Consolas"/>
      <w:b/>
      <w:i/>
      <w:color w:val="008000"/>
      <w:sz w:val="24"/>
      <w:szCs w:val="24"/>
      <w:lang w:val="en-US"/>
    </w:rPr>
  </w:style>
  <w:style w:type="character" w:customStyle="1" w:styleId="CommentTok">
    <w:name w:val="CommentTok"/>
    <w:basedOn w:val="VerbatimChar"/>
    <w:rsid w:val="00204396"/>
    <w:rPr>
      <w:rFonts w:ascii="Consolas" w:hAnsi="Consolas"/>
      <w:i w:val="0"/>
      <w:color w:val="60A0B0"/>
      <w:sz w:val="24"/>
      <w:szCs w:val="24"/>
      <w:lang w:val="en-US"/>
    </w:rPr>
  </w:style>
  <w:style w:type="character" w:customStyle="1" w:styleId="DocumentationTok">
    <w:name w:val="DocumentationTok"/>
    <w:basedOn w:val="VerbatimChar"/>
    <w:rsid w:val="00204396"/>
    <w:rPr>
      <w:rFonts w:ascii="Consolas" w:hAnsi="Consolas"/>
      <w:i w:val="0"/>
      <w:color w:val="BA2121"/>
      <w:sz w:val="24"/>
      <w:szCs w:val="24"/>
      <w:lang w:val="en-US"/>
    </w:rPr>
  </w:style>
  <w:style w:type="character" w:customStyle="1" w:styleId="AnnotationTok">
    <w:name w:val="AnnotationTok"/>
    <w:basedOn w:val="VerbatimChar"/>
    <w:rsid w:val="00204396"/>
    <w:rPr>
      <w:rFonts w:ascii="Consolas" w:hAnsi="Consolas"/>
      <w:b/>
      <w:i w:val="0"/>
      <w:color w:val="60A0B0"/>
      <w:sz w:val="24"/>
      <w:szCs w:val="24"/>
      <w:lang w:val="en-US"/>
    </w:rPr>
  </w:style>
  <w:style w:type="character" w:customStyle="1" w:styleId="CommentVarTok">
    <w:name w:val="CommentVarTok"/>
    <w:basedOn w:val="VerbatimChar"/>
    <w:rsid w:val="00204396"/>
    <w:rPr>
      <w:rFonts w:ascii="Consolas" w:hAnsi="Consolas"/>
      <w:b/>
      <w:i w:val="0"/>
      <w:color w:val="60A0B0"/>
      <w:sz w:val="24"/>
      <w:szCs w:val="24"/>
      <w:lang w:val="en-US"/>
    </w:rPr>
  </w:style>
  <w:style w:type="character" w:customStyle="1" w:styleId="OtherTok">
    <w:name w:val="OtherTok"/>
    <w:basedOn w:val="VerbatimChar"/>
    <w:rsid w:val="00204396"/>
    <w:rPr>
      <w:rFonts w:ascii="Consolas" w:hAnsi="Consolas"/>
      <w:i/>
      <w:color w:val="007020"/>
      <w:sz w:val="24"/>
      <w:szCs w:val="24"/>
      <w:lang w:val="en-US"/>
    </w:rPr>
  </w:style>
  <w:style w:type="character" w:customStyle="1" w:styleId="FunctionTok">
    <w:name w:val="FunctionTok"/>
    <w:basedOn w:val="VerbatimChar"/>
    <w:rsid w:val="00204396"/>
    <w:rPr>
      <w:rFonts w:ascii="Consolas" w:hAnsi="Consolas"/>
      <w:i/>
      <w:color w:val="06287E"/>
      <w:sz w:val="24"/>
      <w:szCs w:val="24"/>
      <w:lang w:val="en-US"/>
    </w:rPr>
  </w:style>
  <w:style w:type="character" w:customStyle="1" w:styleId="VariableTok">
    <w:name w:val="VariableTok"/>
    <w:basedOn w:val="VerbatimChar"/>
    <w:rsid w:val="00204396"/>
    <w:rPr>
      <w:rFonts w:ascii="Consolas" w:hAnsi="Consolas"/>
      <w:i/>
      <w:color w:val="19177C"/>
      <w:sz w:val="24"/>
      <w:szCs w:val="24"/>
      <w:lang w:val="en-US"/>
    </w:rPr>
  </w:style>
  <w:style w:type="character" w:customStyle="1" w:styleId="ControlFlowTok">
    <w:name w:val="ControlFlowTok"/>
    <w:basedOn w:val="VerbatimChar"/>
    <w:rsid w:val="00204396"/>
    <w:rPr>
      <w:rFonts w:ascii="Consolas" w:hAnsi="Consolas"/>
      <w:b/>
      <w:i/>
      <w:color w:val="007020"/>
      <w:sz w:val="24"/>
      <w:szCs w:val="24"/>
      <w:lang w:val="en-US"/>
    </w:rPr>
  </w:style>
  <w:style w:type="character" w:customStyle="1" w:styleId="OperatorTok">
    <w:name w:val="OperatorTok"/>
    <w:basedOn w:val="VerbatimChar"/>
    <w:rsid w:val="00204396"/>
    <w:rPr>
      <w:rFonts w:ascii="Consolas" w:hAnsi="Consolas"/>
      <w:i/>
      <w:color w:val="666666"/>
      <w:sz w:val="24"/>
      <w:szCs w:val="24"/>
      <w:lang w:val="en-US"/>
    </w:rPr>
  </w:style>
  <w:style w:type="character" w:customStyle="1" w:styleId="BuiltInTok">
    <w:name w:val="BuiltInTok"/>
    <w:basedOn w:val="VerbatimChar"/>
    <w:rsid w:val="00204396"/>
    <w:rPr>
      <w:rFonts w:ascii="Consolas" w:hAnsi="Consolas"/>
      <w:i/>
      <w:color w:val="008000"/>
      <w:sz w:val="24"/>
      <w:szCs w:val="24"/>
      <w:lang w:val="en-US"/>
    </w:rPr>
  </w:style>
  <w:style w:type="character" w:customStyle="1" w:styleId="ExtensionTok">
    <w:name w:val="ExtensionTok"/>
    <w:basedOn w:val="VerbatimChar"/>
    <w:rsid w:val="00204396"/>
    <w:rPr>
      <w:rFonts w:ascii="Consolas" w:hAnsi="Consolas"/>
      <w:i/>
      <w:sz w:val="24"/>
      <w:szCs w:val="24"/>
      <w:lang w:val="en-US"/>
    </w:rPr>
  </w:style>
  <w:style w:type="character" w:customStyle="1" w:styleId="PreprocessorTok">
    <w:name w:val="PreprocessorTok"/>
    <w:basedOn w:val="VerbatimChar"/>
    <w:rsid w:val="00204396"/>
    <w:rPr>
      <w:rFonts w:ascii="Consolas" w:hAnsi="Consolas"/>
      <w:i/>
      <w:color w:val="BC7A00"/>
      <w:sz w:val="24"/>
      <w:szCs w:val="24"/>
      <w:lang w:val="en-US"/>
    </w:rPr>
  </w:style>
  <w:style w:type="character" w:customStyle="1" w:styleId="AttributeTok">
    <w:name w:val="AttributeTok"/>
    <w:basedOn w:val="VerbatimChar"/>
    <w:rsid w:val="00204396"/>
    <w:rPr>
      <w:rFonts w:ascii="Consolas" w:hAnsi="Consolas"/>
      <w:i/>
      <w:color w:val="7D9029"/>
      <w:sz w:val="24"/>
      <w:szCs w:val="24"/>
      <w:lang w:val="en-US"/>
    </w:rPr>
  </w:style>
  <w:style w:type="character" w:customStyle="1" w:styleId="RegionMarkerTok">
    <w:name w:val="RegionMarkerTok"/>
    <w:basedOn w:val="VerbatimChar"/>
    <w:rsid w:val="00204396"/>
    <w:rPr>
      <w:rFonts w:ascii="Consolas" w:hAnsi="Consolas"/>
      <w:i/>
      <w:sz w:val="24"/>
      <w:szCs w:val="24"/>
      <w:lang w:val="en-US"/>
    </w:rPr>
  </w:style>
  <w:style w:type="character" w:customStyle="1" w:styleId="InformationTok">
    <w:name w:val="InformationTok"/>
    <w:basedOn w:val="VerbatimChar"/>
    <w:rsid w:val="00204396"/>
    <w:rPr>
      <w:rFonts w:ascii="Consolas" w:hAnsi="Consolas"/>
      <w:b/>
      <w:i w:val="0"/>
      <w:color w:val="60A0B0"/>
      <w:sz w:val="24"/>
      <w:szCs w:val="24"/>
      <w:lang w:val="en-US"/>
    </w:rPr>
  </w:style>
  <w:style w:type="character" w:customStyle="1" w:styleId="WarningTok">
    <w:name w:val="WarningTok"/>
    <w:basedOn w:val="VerbatimChar"/>
    <w:rsid w:val="00204396"/>
    <w:rPr>
      <w:rFonts w:ascii="Consolas" w:hAnsi="Consolas"/>
      <w:b/>
      <w:i w:val="0"/>
      <w:color w:val="60A0B0"/>
      <w:sz w:val="24"/>
      <w:szCs w:val="24"/>
      <w:lang w:val="en-US"/>
    </w:rPr>
  </w:style>
  <w:style w:type="character" w:customStyle="1" w:styleId="AlertTok">
    <w:name w:val="AlertTok"/>
    <w:basedOn w:val="VerbatimChar"/>
    <w:rsid w:val="00204396"/>
    <w:rPr>
      <w:rFonts w:ascii="Consolas" w:hAnsi="Consolas"/>
      <w:b/>
      <w:i/>
      <w:color w:val="FF0000"/>
      <w:sz w:val="24"/>
      <w:szCs w:val="24"/>
      <w:lang w:val="en-US"/>
    </w:rPr>
  </w:style>
  <w:style w:type="character" w:customStyle="1" w:styleId="ErrorTok">
    <w:name w:val="ErrorTok"/>
    <w:basedOn w:val="VerbatimChar"/>
    <w:rsid w:val="00204396"/>
    <w:rPr>
      <w:rFonts w:ascii="Consolas" w:hAnsi="Consolas"/>
      <w:b/>
      <w:i/>
      <w:color w:val="FF0000"/>
      <w:sz w:val="24"/>
      <w:szCs w:val="24"/>
      <w:lang w:val="en-US"/>
    </w:rPr>
  </w:style>
  <w:style w:type="character" w:customStyle="1" w:styleId="NormalTok">
    <w:name w:val="NormalTok"/>
    <w:basedOn w:val="VerbatimChar"/>
    <w:rsid w:val="00204396"/>
    <w:rPr>
      <w:rFonts w:ascii="Consolas" w:hAnsi="Consolas"/>
      <w:i/>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jpg"/><Relationship Id="rId1" Type="http://schemas.openxmlformats.org/officeDocument/2006/relationships/image" Target="media/image14.jp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file>

<file path=customXml/itemProps1.xml><?xml version="1.0" encoding="utf-8"?>
<ds:datastoreItem xmlns:ds="http://schemas.openxmlformats.org/officeDocument/2006/customXml" ds:itemID="{E99DE9C9-E6A3-4221-A257-562E68C5C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35</Pages>
  <Words>8723</Words>
  <Characters>47109</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55721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Conrado</cp:lastModifiedBy>
  <cp:revision>7</cp:revision>
  <dcterms:created xsi:type="dcterms:W3CDTF">2024-04-04T20:08:00Z</dcterms:created>
  <dcterms:modified xsi:type="dcterms:W3CDTF">2026-06-20T19:30:00Z</dcterms:modified>
</cp:coreProperties>
</file>