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v5.0.9.59 (2026-09-12) - 🛡️ **企业级文件IO安全加固** - FileManager原子写入框架+read_json容错+全项目16处直接写入统一走FileManager</w:t>
      </w:r>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pStyle w:val="Heading3"/>
      </w:pPr>
      <w:r>
        <w:t>v5.0.9.58 (2026-09-11) - 🔧 **安全审计+稳定性全面加固** - security_audit多线程重构+Playwright事件循环阻塞修复+版本Commit hash全量回填</w:t>
      </w: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