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A5C" w:val="clear"/>
            <w:tcMar>
              <w:top w:type="dxa" w:w="280"/>
              <w:left w:type="dxa" w:w="360"/>
              <w:bottom w:type="dxa" w:w="200"/>
              <w:right w:type="dxa" w:w="360"/>
            </w:tcMar>
          </w:tcPr>
          <w:p>
            <w:pPr>
              <w:spacing w:after="60" w:before="0"/>
              <w:jc w:val="center"/>
            </w:pPr>
            <w:r>
              <w:rPr>
                <w:rFonts w:ascii="Calibri" w:cs="Calibri" w:eastAsia="Calibri" w:hAnsi="Calibri"/>
                <w:b/>
                <w:bCs/>
                <w:color w:val="FFFFFF"/>
                <w:sz w:val="40"/>
                <w:szCs w:val="40"/>
              </w:rPr>
              <w:t xml:space="preserve">AERODYNAMIC PERFORMANCE ANALYSIS OF HELICOPTER ROTOR SYSTEMS</w:t>
            </w:r>
          </w:p>
          <w:p>
            <w:pPr>
              <w:spacing w:after="60" w:before="0"/>
              <w:jc w:val="center"/>
            </w:pPr>
            <w:r>
              <w:rPr>
                <w:rFonts w:ascii="Calibri" w:cs="Calibri" w:eastAsia="Calibri" w:hAnsi="Calibri"/>
                <w:i/>
                <w:iCs/>
                <w:color w:val="B0C8E8"/>
                <w:sz w:val="26"/>
                <w:szCs w:val="26"/>
              </w:rPr>
              <w:t xml:space="preserve">A Comparative Study: Bell 206B JetRanger &amp; AgustaWestland AW139</w:t>
            </w:r>
          </w:p>
          <w:p>
            <w:pPr>
              <w:spacing w:after="0" w:before="0"/>
              <w:jc w:val="center"/>
            </w:pPr>
            <w:r>
              <w:rPr>
                <w:rFonts w:ascii="Calibri" w:cs="Calibri" w:eastAsia="Calibri" w:hAnsi="Calibri"/>
                <w:color w:val="8BB8D8"/>
                <w:sz w:val="22"/>
                <w:szCs w:val="22"/>
              </w:rPr>
              <w:t xml:space="preserve">Using Blade Element Theory and Actuator Disc Analysis in MATLAB</w:t>
            </w:r>
          </w:p>
        </w:tc>
      </w:tr>
    </w:tbl>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Calibri" w:cs="Calibri" w:eastAsia="Calibri" w:hAnsi="Calibri"/>
                <w:b/>
                <w:bCs/>
                <w:color w:val="1A3A5C"/>
                <w:sz w:val="20"/>
                <w:szCs w:val="20"/>
              </w:rPr>
              <w:t xml:space="preserve">Author</w:t>
            </w:r>
          </w:p>
        </w:tc>
        <w:tc>
          <w:tcPr>
            <w:tcW w:type="dxa" w:w="67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Calibri" w:cs="Calibri" w:eastAsia="Calibri" w:hAnsi="Calibri"/>
                <w:color w:val="222222"/>
                <w:sz w:val="20"/>
                <w:szCs w:val="20"/>
              </w:rPr>
              <w:t xml:space="preserve">Henry Oghenekeno Richard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A3A5C"/>
                <w:sz w:val="20"/>
                <w:szCs w:val="20"/>
              </w:rPr>
              <w:t xml:space="preserve">Institution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Lagos State University, Ojo, Lagos</w:t>
            </w:r>
          </w:p>
        </w:tc>
      </w:tr>
      <w:tr>
        <w:tc>
          <w:tcPr>
            <w:tcW w:type="dxa" w:w="26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Calibri" w:cs="Calibri" w:eastAsia="Calibri" w:hAnsi="Calibri"/>
                <w:b/>
                <w:bCs/>
                <w:color w:val="1A3A5C"/>
                <w:sz w:val="20"/>
                <w:szCs w:val="20"/>
              </w:rPr>
              <w:t xml:space="preserve">Department</w:t>
            </w:r>
          </w:p>
        </w:tc>
        <w:tc>
          <w:tcPr>
            <w:tcW w:type="dxa" w:w="67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Calibri" w:cs="Calibri" w:eastAsia="Calibri" w:hAnsi="Calibri"/>
                <w:color w:val="222222"/>
                <w:sz w:val="20"/>
                <w:szCs w:val="20"/>
              </w:rPr>
              <w:t xml:space="preserve">Aerospace Engineering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A3A5C"/>
                <w:sz w:val="20"/>
                <w:szCs w:val="20"/>
              </w:rPr>
              <w:t xml:space="preserve">Level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300 Level — B.Eng Aerospace Engineering</w:t>
            </w:r>
          </w:p>
        </w:tc>
      </w:tr>
      <w:tr>
        <w:tc>
          <w:tcPr>
            <w:tcW w:type="dxa" w:w="26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Calibri" w:cs="Calibri" w:eastAsia="Calibri" w:hAnsi="Calibri"/>
                <w:b/>
                <w:bCs/>
                <w:color w:val="1A3A5C"/>
                <w:sz w:val="20"/>
                <w:szCs w:val="20"/>
              </w:rPr>
              <w:t xml:space="preserve">Date</w:t>
            </w:r>
          </w:p>
        </w:tc>
        <w:tc>
          <w:tcPr>
            <w:tcW w:type="dxa" w:w="67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Calibri" w:cs="Calibri" w:eastAsia="Calibri" w:hAnsi="Calibri"/>
                <w:color w:val="222222"/>
                <w:sz w:val="20"/>
                <w:szCs w:val="20"/>
              </w:rPr>
              <w:t xml:space="preserve">July 2026</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A3A5C"/>
                <w:sz w:val="20"/>
                <w:szCs w:val="20"/>
              </w:rPr>
              <w:t xml:space="preserve">Software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MATLAB R2024b (Online)</w:t>
            </w:r>
          </w:p>
        </w:tc>
      </w:tr>
      <w:tr>
        <w:tc>
          <w:tcPr>
            <w:tcW w:type="dxa" w:w="26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Calibri" w:cs="Calibri" w:eastAsia="Calibri" w:hAnsi="Calibri"/>
                <w:b/>
                <w:bCs/>
                <w:color w:val="1A3A5C"/>
                <w:sz w:val="20"/>
                <w:szCs w:val="20"/>
              </w:rPr>
              <w:t xml:space="preserve">Contact</w:t>
            </w:r>
          </w:p>
        </w:tc>
        <w:tc>
          <w:tcPr>
            <w:tcW w:type="dxa" w:w="67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Calibri" w:cs="Calibri" w:eastAsia="Calibri" w:hAnsi="Calibri"/>
                <w:color w:val="222222"/>
                <w:sz w:val="20"/>
                <w:szCs w:val="20"/>
              </w:rPr>
              <w:t xml:space="preserve">kenorichard072@gmail.com  |  +234 708 2182 934</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3A5C" w:sz="18"/>
              <w:bottom w:val="none" w:color="FFFFFF" w:sz="0"/>
              <w:right w:val="none" w:color="FFFFFF" w:sz="0"/>
            </w:tcBorders>
            <w:shd w:fill="EEF3F8" w:val="clear"/>
            <w:tcMar>
              <w:top w:type="dxa" w:w="100"/>
              <w:left w:type="dxa" w:w="200"/>
              <w:bottom w:type="dxa" w:w="100"/>
              <w:right w:type="dxa" w:w="160"/>
            </w:tcMar>
          </w:tcPr>
          <w:p>
            <w:pPr>
              <w:spacing w:after="40" w:before="0"/>
            </w:pPr>
            <w:r>
              <w:rPr>
                <w:rFonts w:ascii="Calibri" w:cs="Calibri" w:eastAsia="Calibri" w:hAnsi="Calibri"/>
                <w:b/>
                <w:bCs/>
                <w:color w:val="1A3A5C"/>
                <w:sz w:val="20"/>
                <w:szCs w:val="20"/>
              </w:rPr>
              <w:t xml:space="preserve">Project Summary</w:t>
            </w:r>
          </w:p>
          <w:p>
            <w:pPr>
              <w:spacing w:after="0" w:before="0"/>
            </w:pPr>
            <w:r>
              <w:rPr>
                <w:rFonts w:ascii="Calibri" w:cs="Calibri" w:eastAsia="Calibri" w:hAnsi="Calibri"/>
                <w:i/>
                <w:iCs/>
                <w:color w:val="222222"/>
                <w:sz w:val="21"/>
                <w:szCs w:val="21"/>
              </w:rPr>
              <w:t xml:space="preserve">This report presents a four-phase computational aerodynamic analysis of helicopter rotor systems using Blade Element Theory (BET) and Actuator Disc Theory, implemented in MATLAB. The study models rotor lift generation, blade stall behaviour, and engine power requirements for two real-world aircraft — the Bell 206B JetRanger and the AgustaWestland AW139 — producing 14 performance plots and a validated comparative dataset.</w:t>
            </w:r>
          </w:p>
        </w:tc>
      </w:tr>
    </w:tbl>
    <w:p>
      <w:r>
        <w:br w:type="page"/>
      </w:r>
    </w:p>
    <w:p>
      <w:pPr>
        <w:pStyle w:val="Heading1"/>
        <w:pBdr>
          <w:bottom w:val="single" w:color="1A3A5C" w:sz="6"/>
        </w:pBdr>
        <w:spacing w:after="120" w:before="320"/>
      </w:pPr>
      <w:r>
        <w:rPr>
          <w:rFonts w:ascii="Calibri" w:cs="Calibri" w:eastAsia="Calibri" w:hAnsi="Calibri"/>
          <w:b/>
          <w:bCs/>
          <w:color w:val="1A3A5C"/>
          <w:sz w:val="32"/>
          <w:szCs w:val="32"/>
        </w:rPr>
        <w:t xml:space="preserve">1. Introduction</w:t>
      </w:r>
    </w:p>
    <w:p>
      <w:pPr>
        <w:spacing w:after="140" w:before="0"/>
        <w:jc w:val="both"/>
      </w:pPr>
      <w:r>
        <w:rPr>
          <w:rFonts w:ascii="Calibri" w:cs="Calibri" w:eastAsia="Calibri" w:hAnsi="Calibri"/>
          <w:b w:val="false"/>
          <w:bCs w:val="false"/>
          <w:color w:val="222222"/>
          <w:sz w:val="22"/>
          <w:szCs w:val="22"/>
        </w:rPr>
        <w:t xml:space="preserve">Helicopter rotor systems represent one of the most complex aerodynamic challenges in aerospace engineering. Unlike fixed-wing aircraft, which rely on forward velocity for lift, helicopters generate lift through the rotation of their main rotor blades — a system that must simultaneously provide lift, thrust, and directional control. Understanding the aerodynamic performance of rotor blades is therefore fundamental to the design, maintenance, and airworthiness certification of rotary-wing aircraft.</w:t>
      </w:r>
    </w:p>
    <w:p>
      <w:pPr>
        <w:spacing w:after="140" w:before="0"/>
        <w:jc w:val="both"/>
      </w:pPr>
      <w:r>
        <w:rPr>
          <w:rFonts w:ascii="Calibri" w:cs="Calibri" w:eastAsia="Calibri" w:hAnsi="Calibri"/>
          <w:b w:val="false"/>
          <w:bCs w:val="false"/>
          <w:color w:val="222222"/>
          <w:sz w:val="22"/>
          <w:szCs w:val="22"/>
        </w:rPr>
        <w:t xml:space="preserve">This project was motivated by a career objective in Aircraft Maintenance Engineering (AME), with particular focus on rotary-wing platforms operated in Nigeria's offshore oil and gas sector. Companies such as Caverton Helicopters operate both light utility helicopters (Bell 206B JetRanger) and heavy offshore platforms (AgustaWestland AW139), making a comparative aerodynamic analysis of these two aircraft directly relevant to the professional context in which this analysis will ultimately be applied.</w:t>
      </w:r>
    </w:p>
    <w:p>
      <w:pPr>
        <w:spacing w:after="140" w:before="0"/>
        <w:jc w:val="both"/>
      </w:pPr>
      <w:r>
        <w:rPr>
          <w:rFonts w:ascii="Calibri" w:cs="Calibri" w:eastAsia="Calibri" w:hAnsi="Calibri"/>
          <w:b w:val="false"/>
          <w:bCs w:val="false"/>
          <w:color w:val="222222"/>
          <w:sz w:val="22"/>
          <w:szCs w:val="22"/>
        </w:rPr>
        <w:t xml:space="preserve">The analysis was conducted across four progressive phases, each building on the previous, using MATLAB as the computational platform. The methodology proceeds from a simplified linear lift model through to a complete power-required analysis incorporating rotor efficiency metrics.</w:t>
      </w:r>
    </w:p>
    <w:p>
      <w:pPr>
        <w:pStyle w:val="Heading2"/>
        <w:spacing w:after="80" w:before="240"/>
      </w:pPr>
      <w:r>
        <w:rPr>
          <w:rFonts w:ascii="Calibri" w:cs="Calibri" w:eastAsia="Calibri" w:hAnsi="Calibri"/>
          <w:b/>
          <w:bCs/>
          <w:color w:val="0B5E6E"/>
          <w:sz w:val="26"/>
          <w:szCs w:val="26"/>
        </w:rPr>
        <w:t xml:space="preserve">1.1 Objectives</w:t>
      </w:r>
    </w:p>
    <w:p>
      <w:pPr>
        <w:spacing w:after="140" w:before="0"/>
        <w:jc w:val="both"/>
      </w:pPr>
      <w:r>
        <w:rPr>
          <w:rFonts w:ascii="Calibri" w:cs="Calibri" w:eastAsia="Calibri" w:hAnsi="Calibri"/>
          <w:b w:val="false"/>
          <w:bCs w:val="false"/>
          <w:color w:val="222222"/>
          <w:sz w:val="22"/>
          <w:szCs w:val="22"/>
        </w:rPr>
        <w:t xml:space="preserve">The specific objectives of this study are:</w:t>
      </w:r>
    </w:p>
    <w:p>
      <w:pPr>
        <w:pStyle w:val="ListParagraph"/>
        <w:numPr>
          <w:ilvl w:val="0"/>
          <w:numId w:val="2"/>
        </w:numPr>
        <w:spacing w:after="40" w:before="40"/>
      </w:pPr>
      <w:r>
        <w:rPr>
          <w:rFonts w:ascii="Calibri" w:cs="Calibri" w:eastAsia="Calibri" w:hAnsi="Calibri"/>
          <w:color w:val="222222"/>
          <w:sz w:val="22"/>
          <w:szCs w:val="22"/>
        </w:rPr>
        <w:t xml:space="preserve">To develop a Blade Element Theory model for computing helicopter rotor lift as a function of RPM, blade pitch angle, and radial position.</w:t>
      </w:r>
    </w:p>
    <w:p>
      <w:pPr>
        <w:pStyle w:val="ListParagraph"/>
        <w:numPr>
          <w:ilvl w:val="0"/>
          <w:numId w:val="2"/>
        </w:numPr>
        <w:spacing w:after="40" w:before="40"/>
      </w:pPr>
      <w:r>
        <w:rPr>
          <w:rFonts w:ascii="Calibri" w:cs="Calibri" w:eastAsia="Calibri" w:hAnsi="Calibri"/>
          <w:color w:val="222222"/>
          <w:sz w:val="22"/>
          <w:szCs w:val="22"/>
        </w:rPr>
        <w:t xml:space="preserve">To extend the baseline model to incorporate non-linear blade stall behaviour using a piecewise lift coefficient function.</w:t>
      </w:r>
    </w:p>
    <w:p>
      <w:pPr>
        <w:pStyle w:val="ListParagraph"/>
        <w:numPr>
          <w:ilvl w:val="0"/>
          <w:numId w:val="2"/>
        </w:numPr>
        <w:spacing w:after="40" w:before="40"/>
      </w:pPr>
      <w:r>
        <w:rPr>
          <w:rFonts w:ascii="Calibri" w:cs="Calibri" w:eastAsia="Calibri" w:hAnsi="Calibri"/>
          <w:color w:val="222222"/>
          <w:sz w:val="22"/>
          <w:szCs w:val="22"/>
        </w:rPr>
        <w:t xml:space="preserve">To apply the model to two real aircraft — the Bell 206B JetRanger and AgustaWestland AW139 — and compare their aerodynamic performance across key parameters.</w:t>
      </w:r>
    </w:p>
    <w:p>
      <w:pPr>
        <w:pStyle w:val="ListParagraph"/>
        <w:numPr>
          <w:ilvl w:val="0"/>
          <w:numId w:val="2"/>
        </w:numPr>
        <w:spacing w:after="40" w:before="40"/>
      </w:pPr>
      <w:r>
        <w:rPr>
          <w:rFonts w:ascii="Calibri" w:cs="Calibri" w:eastAsia="Calibri" w:hAnsi="Calibri"/>
          <w:color w:val="222222"/>
          <w:sz w:val="22"/>
          <w:szCs w:val="22"/>
        </w:rPr>
        <w:t xml:space="preserve">To calculate engine power requirements using Actuator Disc Theory and determine the Figure of Merit (FM) for each aircraft's rotor system.</w:t>
      </w:r>
    </w:p>
    <w:p>
      <w:pPr>
        <w:pStyle w:val="ListParagraph"/>
        <w:numPr>
          <w:ilvl w:val="0"/>
          <w:numId w:val="2"/>
        </w:numPr>
        <w:spacing w:after="40" w:before="40"/>
      </w:pPr>
      <w:r>
        <w:rPr>
          <w:rFonts w:ascii="Calibri" w:cs="Calibri" w:eastAsia="Calibri" w:hAnsi="Calibri"/>
          <w:color w:val="222222"/>
          <w:sz w:val="22"/>
          <w:szCs w:val="22"/>
        </w:rPr>
        <w:t xml:space="preserve">To produce a validated, reproducible MATLAB simulation suitable for inclusion in a professional engineering portfolio.</w:t>
      </w:r>
    </w:p>
    <w:p>
      <w:pPr>
        <w:pStyle w:val="Heading2"/>
        <w:spacing w:after="80" w:before="240"/>
      </w:pPr>
      <w:r>
        <w:rPr>
          <w:rFonts w:ascii="Calibri" w:cs="Calibri" w:eastAsia="Calibri" w:hAnsi="Calibri"/>
          <w:b/>
          <w:bCs/>
          <w:color w:val="0B5E6E"/>
          <w:sz w:val="26"/>
          <w:szCs w:val="26"/>
        </w:rPr>
        <w:t xml:space="preserve">1.2 Significance</w:t>
      </w:r>
    </w:p>
    <w:p>
      <w:pPr>
        <w:spacing w:after="140" w:before="0"/>
        <w:jc w:val="both"/>
      </w:pPr>
      <w:r>
        <w:rPr>
          <w:rFonts w:ascii="Calibri" w:cs="Calibri" w:eastAsia="Calibri" w:hAnsi="Calibri"/>
          <w:b w:val="false"/>
          <w:bCs w:val="false"/>
          <w:color w:val="222222"/>
          <w:sz w:val="22"/>
          <w:szCs w:val="22"/>
        </w:rPr>
        <w:t xml:space="preserve">The significance of this work extends beyond academic exercise. In the context of MRO (Maintenance, Repair and Overhaul) engineering, understanding rotor aerodynamics enables maintenance engineers to interpret performance deviations, diagnose vibration signatures detected by Health and Usage Monitoring Systems (HUMS), and make informed airworthiness decisions. The Figure of Merit analysis in Phase 2C is particularly relevant to this context, as it provides a quantitative measure of rotor efficiency that deteriorates with blade wear, contamination, or damage.</w:t>
      </w:r>
    </w:p>
    <w:p>
      <w:r>
        <w:br w:type="page"/>
      </w:r>
    </w:p>
    <w:p>
      <w:pPr>
        <w:pStyle w:val="Heading1"/>
        <w:pBdr>
          <w:bottom w:val="single" w:color="1A3A5C" w:sz="6"/>
        </w:pBdr>
        <w:spacing w:after="120" w:before="320"/>
      </w:pPr>
      <w:r>
        <w:rPr>
          <w:rFonts w:ascii="Calibri" w:cs="Calibri" w:eastAsia="Calibri" w:hAnsi="Calibri"/>
          <w:b/>
          <w:bCs/>
          <w:color w:val="1A3A5C"/>
          <w:sz w:val="32"/>
          <w:szCs w:val="32"/>
        </w:rPr>
        <w:t xml:space="preserve">2. Theoretical Background</w:t>
      </w:r>
    </w:p>
    <w:p>
      <w:pPr>
        <w:pStyle w:val="Heading2"/>
        <w:spacing w:after="80" w:before="240"/>
      </w:pPr>
      <w:r>
        <w:rPr>
          <w:rFonts w:ascii="Calibri" w:cs="Calibri" w:eastAsia="Calibri" w:hAnsi="Calibri"/>
          <w:b/>
          <w:bCs/>
          <w:color w:val="0B5E6E"/>
          <w:sz w:val="26"/>
          <w:szCs w:val="26"/>
        </w:rPr>
        <w:t xml:space="preserve">2.1 Blade Element Theory (BET)</w:t>
      </w:r>
    </w:p>
    <w:p>
      <w:pPr>
        <w:spacing w:after="140" w:before="0"/>
        <w:jc w:val="both"/>
      </w:pPr>
      <w:r>
        <w:rPr>
          <w:rFonts w:ascii="Calibri" w:cs="Calibri" w:eastAsia="Calibri" w:hAnsi="Calibri"/>
          <w:b w:val="false"/>
          <w:bCs w:val="false"/>
          <w:color w:val="222222"/>
          <w:sz w:val="22"/>
          <w:szCs w:val="22"/>
        </w:rPr>
        <w:t xml:space="preserve">Blade Element Theory is the foundational analytical method for computing helicopter rotor performance. The rotor blade is divided into a finite number of spanwise elements, each treated as a two-dimensional aerofoil section. The aerodynamic forces on each element are computed using classical thin aerofoil theory, and the total rotor lift is obtained by numerical integration along the blade span.</w:t>
      </w:r>
    </w:p>
    <w:p>
      <w:pPr>
        <w:spacing w:after="140" w:before="0"/>
        <w:jc w:val="both"/>
      </w:pPr>
      <w:r>
        <w:rPr>
          <w:rFonts w:ascii="Calibri" w:cs="Calibri" w:eastAsia="Calibri" w:hAnsi="Calibri"/>
          <w:b w:val="false"/>
          <w:bCs w:val="false"/>
          <w:color w:val="222222"/>
          <w:sz w:val="22"/>
          <w:szCs w:val="22"/>
        </w:rPr>
        <w:t xml:space="preserve">The local velocity at each blade element at radial position r depends on the rotor angular velocity ω and is given by:</w:t>
      </w:r>
    </w:p>
    <w:p>
      <w:pPr>
        <w:spacing w:after="80" w:before="80"/>
        <w:jc w:val="center"/>
      </w:pPr>
      <w:r>
        <w:rPr>
          <w:rFonts w:ascii="Calibri" w:cs="Calibri" w:eastAsia="Calibri" w:hAnsi="Calibri"/>
          <w:b/>
          <w:bCs/>
          <w:color w:val="1A3A5C"/>
          <w:sz w:val="24"/>
          <w:szCs w:val="24"/>
        </w:rPr>
        <w:t xml:space="preserve">V(r) = ω × r</w:t>
      </w:r>
    </w:p>
    <w:p>
      <w:pPr>
        <w:spacing w:after="140" w:before="0"/>
        <w:jc w:val="both"/>
      </w:pPr>
      <w:r>
        <w:rPr>
          <w:rFonts w:ascii="Calibri" w:cs="Calibri" w:eastAsia="Calibri" w:hAnsi="Calibri"/>
          <w:b w:val="false"/>
          <w:bCs w:val="false"/>
          <w:color w:val="222222"/>
          <w:sz w:val="22"/>
          <w:szCs w:val="22"/>
        </w:rPr>
        <w:t xml:space="preserve">This relationship — that tip velocity is proportionally greater than root velocity — is the principal reason why rotor blade tips generate substantially more lift than the inboard sections, as demonstrated in the spanwise lift distribution plots (Plots 4 and 10) produced in this study.</w:t>
      </w:r>
    </w:p>
    <w:p>
      <w:pPr>
        <w:spacing w:after="140" w:before="0"/>
        <w:jc w:val="both"/>
      </w:pPr>
      <w:r>
        <w:rPr>
          <w:rFonts w:ascii="Calibri" w:cs="Calibri" w:eastAsia="Calibri" w:hAnsi="Calibri"/>
          <w:b w:val="false"/>
          <w:bCs w:val="false"/>
          <w:color w:val="222222"/>
          <w:sz w:val="22"/>
          <w:szCs w:val="22"/>
        </w:rPr>
        <w:t xml:space="preserve">The lift generated by each blade element is computed from the standard lift equation:</w:t>
      </w:r>
    </w:p>
    <w:p>
      <w:pPr>
        <w:spacing w:after="80" w:before="80"/>
        <w:jc w:val="center"/>
      </w:pPr>
      <w:r>
        <w:rPr>
          <w:rFonts w:ascii="Calibri" w:cs="Calibri" w:eastAsia="Calibri" w:hAnsi="Calibri"/>
          <w:b/>
          <w:bCs/>
          <w:color w:val="1A3A5C"/>
          <w:sz w:val="24"/>
          <w:szCs w:val="24"/>
        </w:rPr>
        <w:t xml:space="preserve">dL = ½ × ρ × V(r)² × c × Cl × dr</w:t>
      </w:r>
    </w:p>
    <w:p>
      <w:pPr>
        <w:spacing w:after="140" w:before="0"/>
        <w:jc w:val="both"/>
      </w:pPr>
      <w:r>
        <w:rPr>
          <w:rFonts w:ascii="Calibri" w:cs="Calibri" w:eastAsia="Calibri" w:hAnsi="Calibri"/>
          <w:b w:val="false"/>
          <w:bCs w:val="false"/>
          <w:color w:val="222222"/>
          <w:sz w:val="22"/>
          <w:szCs w:val="22"/>
        </w:rPr>
        <w:t xml:space="preserve">where ρ is air density, c is blade chord length, Cl is the local lift coefficient, and dr is the element width. The total rotor lift is the sum of all element contributions, multiplied by the number of blades.</w:t>
      </w:r>
    </w:p>
    <w:p>
      <w:pPr>
        <w:pStyle w:val="Heading2"/>
        <w:spacing w:after="80" w:before="240"/>
      </w:pPr>
      <w:r>
        <w:rPr>
          <w:rFonts w:ascii="Calibri" w:cs="Calibri" w:eastAsia="Calibri" w:hAnsi="Calibri"/>
          <w:b/>
          <w:bCs/>
          <w:color w:val="0B5E6E"/>
          <w:sz w:val="26"/>
          <w:szCs w:val="26"/>
        </w:rPr>
        <w:t xml:space="preserve">2.2 Lift Coefficient and Stall Modelling</w:t>
      </w:r>
    </w:p>
    <w:p>
      <w:pPr>
        <w:spacing w:after="140" w:before="0"/>
        <w:jc w:val="both"/>
      </w:pPr>
      <w:r>
        <w:rPr>
          <w:rFonts w:ascii="Calibri" w:cs="Calibri" w:eastAsia="Calibri" w:hAnsi="Calibri"/>
          <w:b w:val="false"/>
          <w:bCs w:val="false"/>
          <w:color w:val="222222"/>
          <w:sz w:val="22"/>
          <w:szCs w:val="22"/>
        </w:rPr>
        <w:t xml:space="preserve">In the linear aerodynamic regime, the lift coefficient Cl varies linearly with blade pitch angle θ according to thin aerofoil theory:</w:t>
      </w:r>
    </w:p>
    <w:p>
      <w:pPr>
        <w:spacing w:after="80" w:before="80"/>
        <w:jc w:val="center"/>
      </w:pPr>
      <w:r>
        <w:rPr>
          <w:rFonts w:ascii="Calibri" w:cs="Calibri" w:eastAsia="Calibri" w:hAnsi="Calibri"/>
          <w:b/>
          <w:bCs/>
          <w:color w:val="1A3A5C"/>
          <w:sz w:val="24"/>
          <w:szCs w:val="24"/>
        </w:rPr>
        <w:t xml:space="preserve">Cl = Cl_α × θ    where Cl_α = 5.73 rad⁻¹</w:t>
      </w:r>
    </w:p>
    <w:p>
      <w:pPr>
        <w:spacing w:after="140" w:before="0"/>
        <w:jc w:val="both"/>
      </w:pPr>
      <w:r>
        <w:rPr>
          <w:rFonts w:ascii="Calibri" w:cs="Calibri" w:eastAsia="Calibri" w:hAnsi="Calibri"/>
          <w:b w:val="false"/>
          <w:bCs w:val="false"/>
          <w:color w:val="222222"/>
          <w:sz w:val="22"/>
          <w:szCs w:val="22"/>
        </w:rPr>
        <w:t xml:space="preserve">However, this linear relationship breaks down at high pitch angles when the blade stalls — the boundary layer separates from the upper surface, causing an abrupt reduction in lift. In this study, a piecewise stall model was implemented with a stall onset angle of 14°, a transition zone from 14° to 17°, and a post-stall plateau at 60% of peak Cl. This model accurately captures the non-linear physics while remaining computationally tractable.</w:t>
      </w:r>
    </w:p>
    <w:p>
      <w:pPr>
        <w:pStyle w:val="Heading2"/>
        <w:spacing w:after="80" w:before="240"/>
      </w:pPr>
      <w:r>
        <w:rPr>
          <w:rFonts w:ascii="Calibri" w:cs="Calibri" w:eastAsia="Calibri" w:hAnsi="Calibri"/>
          <w:b/>
          <w:bCs/>
          <w:color w:val="0B5E6E"/>
          <w:sz w:val="26"/>
          <w:szCs w:val="26"/>
        </w:rPr>
        <w:t xml:space="preserve">2.3 Actuator Disc Theory and Power Analysis</w:t>
      </w:r>
    </w:p>
    <w:p>
      <w:pPr>
        <w:spacing w:after="140" w:before="0"/>
        <w:jc w:val="both"/>
      </w:pPr>
      <w:r>
        <w:rPr>
          <w:rFonts w:ascii="Calibri" w:cs="Calibri" w:eastAsia="Calibri" w:hAnsi="Calibri"/>
          <w:b w:val="false"/>
          <w:bCs w:val="false"/>
          <w:color w:val="222222"/>
          <w:sz w:val="22"/>
          <w:szCs w:val="22"/>
        </w:rPr>
        <w:t xml:space="preserve">Actuator Disc Theory models the rotor as an infinitely thin disc that accelerates air downward to generate thrust. For a helicopter in hover, the thrust T equals the aircraft weight, and the induced velocity vi of the air through the disc is given by:</w:t>
      </w:r>
    </w:p>
    <w:p>
      <w:pPr>
        <w:spacing w:after="80" w:before="80"/>
        <w:jc w:val="center"/>
      </w:pPr>
      <w:r>
        <w:rPr>
          <w:rFonts w:ascii="Calibri" w:cs="Calibri" w:eastAsia="Calibri" w:hAnsi="Calibri"/>
          <w:b/>
          <w:bCs/>
          <w:color w:val="1A3A5C"/>
          <w:sz w:val="24"/>
          <w:szCs w:val="24"/>
        </w:rPr>
        <w:t xml:space="preserve">vi = √(T / 2ρA)    where A = πR² is the disc area</w:t>
      </w:r>
    </w:p>
    <w:p>
      <w:pPr>
        <w:spacing w:after="140" w:before="0"/>
        <w:jc w:val="both"/>
      </w:pPr>
      <w:r>
        <w:rPr>
          <w:rFonts w:ascii="Calibri" w:cs="Calibri" w:eastAsia="Calibri" w:hAnsi="Calibri"/>
          <w:b w:val="false"/>
          <w:bCs w:val="false"/>
          <w:color w:val="222222"/>
          <w:sz w:val="22"/>
          <w:szCs w:val="22"/>
        </w:rPr>
        <w:t xml:space="preserve">The total power required in hover comprises two components: induced power (the energy imparted to the downwash) and profile power (the energy lost to blade drag):</w:t>
      </w:r>
    </w:p>
    <w:p>
      <w:pPr>
        <w:spacing w:after="80" w:before="80"/>
        <w:jc w:val="center"/>
      </w:pPr>
      <w:r>
        <w:rPr>
          <w:rFonts w:ascii="Calibri" w:cs="Calibri" w:eastAsia="Calibri" w:hAnsi="Calibri"/>
          <w:b/>
          <w:bCs/>
          <w:color w:val="1A3A5C"/>
          <w:sz w:val="24"/>
          <w:szCs w:val="24"/>
        </w:rPr>
        <w:t xml:space="preserve">P_total = P_induced + P_profile = T·vi + ⅛·ρ·σ·Cd0·(ωR)³·A</w:t>
      </w:r>
    </w:p>
    <w:p>
      <w:pPr>
        <w:spacing w:after="140" w:before="0"/>
        <w:jc w:val="both"/>
      </w:pPr>
      <w:r>
        <w:rPr>
          <w:rFonts w:ascii="Calibri" w:cs="Calibri" w:eastAsia="Calibri" w:hAnsi="Calibri"/>
          <w:b w:val="false"/>
          <w:bCs w:val="false"/>
          <w:color w:val="222222"/>
          <w:sz w:val="22"/>
          <w:szCs w:val="22"/>
        </w:rPr>
        <w:t xml:space="preserve">where σ is rotor solidity (the ratio of total blade area to disc area) and Cd0 is the blade profile drag coefficient.</w:t>
      </w:r>
    </w:p>
    <w:p>
      <w:pPr>
        <w:pStyle w:val="Heading2"/>
        <w:spacing w:after="80" w:before="240"/>
      </w:pPr>
      <w:r>
        <w:rPr>
          <w:rFonts w:ascii="Calibri" w:cs="Calibri" w:eastAsia="Calibri" w:hAnsi="Calibri"/>
          <w:b/>
          <w:bCs/>
          <w:color w:val="0B5E6E"/>
          <w:sz w:val="26"/>
          <w:szCs w:val="26"/>
        </w:rPr>
        <w:t xml:space="preserve">2.4 Figure of Merit</w:t>
      </w:r>
    </w:p>
    <w:p>
      <w:pPr>
        <w:spacing w:after="140" w:before="0"/>
        <w:jc w:val="both"/>
      </w:pPr>
      <w:r>
        <w:rPr>
          <w:rFonts w:ascii="Calibri" w:cs="Calibri" w:eastAsia="Calibri" w:hAnsi="Calibri"/>
          <w:b w:val="false"/>
          <w:bCs w:val="false"/>
          <w:color w:val="222222"/>
          <w:sz w:val="22"/>
          <w:szCs w:val="22"/>
        </w:rPr>
        <w:t xml:space="preserve">The Figure of Merit (FM) is a dimensionless efficiency metric comparing the actual power consumed by a real rotor to the theoretical minimum power that an ideal rotor would require to generate the same thrust:</w:t>
      </w:r>
    </w:p>
    <w:p>
      <w:pPr>
        <w:spacing w:after="80" w:before="80"/>
        <w:jc w:val="center"/>
      </w:pPr>
      <w:r>
        <w:rPr>
          <w:rFonts w:ascii="Calibri" w:cs="Calibri" w:eastAsia="Calibri" w:hAnsi="Calibri"/>
          <w:b/>
          <w:bCs/>
          <w:color w:val="1A3A5C"/>
          <w:sz w:val="24"/>
          <w:szCs w:val="24"/>
        </w:rPr>
        <w:t xml:space="preserve">FM = P_ideal / P_actual = (T·vi) / P_total</w:t>
      </w:r>
    </w:p>
    <w:p>
      <w:pPr>
        <w:spacing w:after="140" w:before="0"/>
        <w:jc w:val="both"/>
      </w:pPr>
      <w:r>
        <w:rPr>
          <w:rFonts w:ascii="Calibri" w:cs="Calibri" w:eastAsia="Calibri" w:hAnsi="Calibri"/>
          <w:b w:val="false"/>
          <w:bCs w:val="false"/>
          <w:color w:val="222222"/>
          <w:sz w:val="22"/>
          <w:szCs w:val="22"/>
        </w:rPr>
        <w:t xml:space="preserve">A perfect rotor would achieve FM = 1.0. In practice, well-designed rotors achieve FM between 0.70 and 0.80. Values below 0.65 indicate significant aerodynamic inefficiency, while values above 0.80 represent exceptional engineering performance.</w:t>
      </w:r>
    </w:p>
    <w:p>
      <w:r>
        <w:br w:type="page"/>
      </w:r>
    </w:p>
    <w:p>
      <w:pPr>
        <w:pStyle w:val="Heading1"/>
        <w:pBdr>
          <w:bottom w:val="single" w:color="1A3A5C" w:sz="6"/>
        </w:pBdr>
        <w:spacing w:after="120" w:before="320"/>
      </w:pPr>
      <w:r>
        <w:rPr>
          <w:rFonts w:ascii="Calibri" w:cs="Calibri" w:eastAsia="Calibri" w:hAnsi="Calibri"/>
          <w:b/>
          <w:bCs/>
          <w:color w:val="1A3A5C"/>
          <w:sz w:val="32"/>
          <w:szCs w:val="32"/>
        </w:rPr>
        <w:t xml:space="preserve">3. Methodology</w:t>
      </w:r>
    </w:p>
    <w:p>
      <w:pPr>
        <w:pStyle w:val="Heading2"/>
        <w:spacing w:after="80" w:before="240"/>
      </w:pPr>
      <w:r>
        <w:rPr>
          <w:rFonts w:ascii="Calibri" w:cs="Calibri" w:eastAsia="Calibri" w:hAnsi="Calibri"/>
          <w:b/>
          <w:bCs/>
          <w:color w:val="0B5E6E"/>
          <w:sz w:val="26"/>
          <w:szCs w:val="26"/>
        </w:rPr>
        <w:t xml:space="preserve">3.1 Computational Platform</w:t>
      </w:r>
    </w:p>
    <w:p>
      <w:pPr>
        <w:spacing w:after="140" w:before="0"/>
        <w:jc w:val="both"/>
      </w:pPr>
      <w:r>
        <w:rPr>
          <w:rFonts w:ascii="Calibri" w:cs="Calibri" w:eastAsia="Calibri" w:hAnsi="Calibri"/>
          <w:b w:val="false"/>
          <w:bCs w:val="false"/>
          <w:color w:val="222222"/>
          <w:sz w:val="22"/>
          <w:szCs w:val="22"/>
        </w:rPr>
        <w:t xml:space="preserve">All computations were performed in MATLAB Online (MathWorks), accessed through a verified MathWorks account. MATLAB was selected for its native support for vectorised array operations, which allows the blade element summation to be computed efficiently without explicit loops where possible, and for its comprehensive plotting library, which produced all 14 figures presented in this report.</w:t>
      </w:r>
    </w:p>
    <w:p>
      <w:pPr>
        <w:pStyle w:val="Heading2"/>
        <w:spacing w:after="80" w:before="240"/>
      </w:pPr>
      <w:r>
        <w:rPr>
          <w:rFonts w:ascii="Calibri" w:cs="Calibri" w:eastAsia="Calibri" w:hAnsi="Calibri"/>
          <w:b/>
          <w:bCs/>
          <w:color w:val="0B5E6E"/>
          <w:sz w:val="26"/>
          <w:szCs w:val="26"/>
        </w:rPr>
        <w:t xml:space="preserve">3.2 Project Phases</w:t>
      </w:r>
    </w:p>
    <w:p>
      <w:pPr>
        <w:spacing w:after="140" w:before="0"/>
        <w:jc w:val="both"/>
      </w:pPr>
      <w:r>
        <w:rPr>
          <w:rFonts w:ascii="Calibri" w:cs="Calibri" w:eastAsia="Calibri" w:hAnsi="Calibri"/>
          <w:b w:val="false"/>
          <w:bCs w:val="false"/>
          <w:color w:val="222222"/>
          <w:sz w:val="22"/>
          <w:szCs w:val="22"/>
        </w:rPr>
        <w:t xml:space="preserve">The analysis was structured into four progressive phases: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1880"/>
        <w:gridCol w:w="1880"/>
      </w:tblGrid>
      <w:tr>
        <w:trPr>
          <w:tblHeader/>
        </w:trPr>
        <w:tc>
          <w:tcPr>
            <w:tcW w:type="dxa" w:w="1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Phase</w:t>
            </w:r>
          </w:p>
        </w:tc>
        <w:tc>
          <w:tcPr>
            <w:tcW w:type="dxa" w:w="3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Title</w:t>
            </w:r>
          </w:p>
        </w:tc>
        <w:tc>
          <w:tcPr>
            <w:tcW w:type="dxa" w:w="18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Sections</w:t>
            </w:r>
          </w:p>
        </w:tc>
        <w:tc>
          <w:tcPr>
            <w:tcW w:type="dxa" w:w="18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Plots</w:t>
            </w:r>
          </w:p>
        </w:tc>
      </w:tr>
      <w:tr>
        <w:tc>
          <w:tcPr>
            <w:tcW w:type="dxa" w:w="180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pPr>
              <w:jc w:val="left"/>
            </w:pPr>
            <w:r>
              <w:rPr>
                <w:rFonts w:ascii="Calibri" w:cs="Calibri" w:eastAsia="Calibri" w:hAnsi="Calibri"/>
                <w:b/>
                <w:bCs/>
                <w:color w:val="222222"/>
                <w:sz w:val="20"/>
                <w:szCs w:val="20"/>
              </w:rPr>
              <w:t xml:space="preserve">Phase 1</w:t>
            </w:r>
          </w:p>
        </w:tc>
        <w:tc>
          <w:tcPr>
            <w:tcW w:type="dxa" w:w="380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pPr>
              <w:jc w:val="center"/>
            </w:pPr>
            <w:r>
              <w:rPr>
                <w:rFonts w:ascii="Calibri" w:cs="Calibri" w:eastAsia="Calibri" w:hAnsi="Calibri"/>
                <w:b w:val="false"/>
                <w:bCs w:val="false"/>
                <w:color w:val="222222"/>
                <w:sz w:val="20"/>
                <w:szCs w:val="20"/>
              </w:rPr>
              <w:t xml:space="preserve">Baseline Rotor Lift Model</w:t>
            </w:r>
          </w:p>
        </w:tc>
        <w:tc>
          <w:tcPr>
            <w:tcW w:type="dxa" w:w="188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pPr>
              <w:jc w:val="center"/>
            </w:pPr>
            <w:r>
              <w:rPr>
                <w:rFonts w:ascii="Calibri" w:cs="Calibri" w:eastAsia="Calibri" w:hAnsi="Calibri"/>
                <w:b w:val="false"/>
                <w:bCs w:val="false"/>
                <w:color w:val="222222"/>
                <w:sz w:val="20"/>
                <w:szCs w:val="20"/>
              </w:rPr>
              <w:t xml:space="preserve">1–7</w:t>
            </w:r>
          </w:p>
        </w:tc>
        <w:tc>
          <w:tcPr>
            <w:tcW w:type="dxa" w:w="188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pPr>
              <w:jc w:val="center"/>
            </w:pPr>
            <w:r>
              <w:rPr>
                <w:rFonts w:ascii="Calibri" w:cs="Calibri" w:eastAsia="Calibri" w:hAnsi="Calibri"/>
                <w:b w:val="false"/>
                <w:bCs w:val="false"/>
                <w:color w:val="222222"/>
                <w:sz w:val="20"/>
                <w:szCs w:val="20"/>
              </w:rPr>
              <w:t xml:space="preserve">1–4</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Calibri" w:cs="Calibri" w:eastAsia="Calibri" w:hAnsi="Calibri"/>
                <w:b/>
                <w:bCs/>
                <w:color w:val="222222"/>
                <w:sz w:val="20"/>
                <w:szCs w:val="20"/>
              </w:rPr>
              <w:t xml:space="preserve">Phase 2A</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libri" w:cs="Calibri" w:eastAsia="Calibri" w:hAnsi="Calibri"/>
                <w:b w:val="false"/>
                <w:bCs w:val="false"/>
                <w:color w:val="222222"/>
                <w:sz w:val="20"/>
                <w:szCs w:val="20"/>
              </w:rPr>
              <w:t xml:space="preserve">Blade Stall Modelling</w:t>
            </w:r>
          </w:p>
        </w:tc>
        <w:tc>
          <w:tcPr>
            <w:tcW w:type="dxa" w:w="1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libri" w:cs="Calibri" w:eastAsia="Calibri" w:hAnsi="Calibri"/>
                <w:b w:val="false"/>
                <w:bCs w:val="false"/>
                <w:color w:val="222222"/>
                <w:sz w:val="20"/>
                <w:szCs w:val="20"/>
              </w:rPr>
              <w:t xml:space="preserve">8–11</w:t>
            </w:r>
          </w:p>
        </w:tc>
        <w:tc>
          <w:tcPr>
            <w:tcW w:type="dxa" w:w="1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libri" w:cs="Calibri" w:eastAsia="Calibri" w:hAnsi="Calibri"/>
                <w:b w:val="false"/>
                <w:bCs w:val="false"/>
                <w:color w:val="222222"/>
                <w:sz w:val="20"/>
                <w:szCs w:val="20"/>
              </w:rPr>
              <w:t xml:space="preserve">5–7</w:t>
            </w:r>
          </w:p>
        </w:tc>
      </w:tr>
      <w:tr>
        <w:tc>
          <w:tcPr>
            <w:tcW w:type="dxa" w:w="180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pPr>
              <w:jc w:val="left"/>
            </w:pPr>
            <w:r>
              <w:rPr>
                <w:rFonts w:ascii="Calibri" w:cs="Calibri" w:eastAsia="Calibri" w:hAnsi="Calibri"/>
                <w:b/>
                <w:bCs/>
                <w:color w:val="222222"/>
                <w:sz w:val="20"/>
                <w:szCs w:val="20"/>
              </w:rPr>
              <w:t xml:space="preserve">Phase 2B</w:t>
            </w:r>
          </w:p>
        </w:tc>
        <w:tc>
          <w:tcPr>
            <w:tcW w:type="dxa" w:w="380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pPr>
              <w:jc w:val="center"/>
            </w:pPr>
            <w:r>
              <w:rPr>
                <w:rFonts w:ascii="Calibri" w:cs="Calibri" w:eastAsia="Calibri" w:hAnsi="Calibri"/>
                <w:b w:val="false"/>
                <w:bCs w:val="false"/>
                <w:color w:val="222222"/>
                <w:sz w:val="20"/>
                <w:szCs w:val="20"/>
              </w:rPr>
              <w:t xml:space="preserve">Two-Helicopter Comparison</w:t>
            </w:r>
          </w:p>
        </w:tc>
        <w:tc>
          <w:tcPr>
            <w:tcW w:type="dxa" w:w="188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pPr>
              <w:jc w:val="center"/>
            </w:pPr>
            <w:r>
              <w:rPr>
                <w:rFonts w:ascii="Calibri" w:cs="Calibri" w:eastAsia="Calibri" w:hAnsi="Calibri"/>
                <w:b w:val="false"/>
                <w:bCs w:val="false"/>
                <w:color w:val="222222"/>
                <w:sz w:val="20"/>
                <w:szCs w:val="20"/>
              </w:rPr>
              <w:t xml:space="preserve">12–17</w:t>
            </w:r>
          </w:p>
        </w:tc>
        <w:tc>
          <w:tcPr>
            <w:tcW w:type="dxa" w:w="188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pPr>
              <w:jc w:val="center"/>
            </w:pPr>
            <w:r>
              <w:rPr>
                <w:rFonts w:ascii="Calibri" w:cs="Calibri" w:eastAsia="Calibri" w:hAnsi="Calibri"/>
                <w:b w:val="false"/>
                <w:bCs w:val="false"/>
                <w:color w:val="222222"/>
                <w:sz w:val="20"/>
                <w:szCs w:val="20"/>
              </w:rPr>
              <w:t xml:space="preserve">8–10</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Calibri" w:cs="Calibri" w:eastAsia="Calibri" w:hAnsi="Calibri"/>
                <w:b/>
                <w:bCs/>
                <w:color w:val="222222"/>
                <w:sz w:val="20"/>
                <w:szCs w:val="20"/>
              </w:rPr>
              <w:t xml:space="preserve">Phase 2C</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libri" w:cs="Calibri" w:eastAsia="Calibri" w:hAnsi="Calibri"/>
                <w:b w:val="false"/>
                <w:bCs w:val="false"/>
                <w:color w:val="222222"/>
                <w:sz w:val="20"/>
                <w:szCs w:val="20"/>
              </w:rPr>
              <w:t xml:space="preserve">Engine Power &amp; Efficiency</w:t>
            </w:r>
          </w:p>
        </w:tc>
        <w:tc>
          <w:tcPr>
            <w:tcW w:type="dxa" w:w="1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libri" w:cs="Calibri" w:eastAsia="Calibri" w:hAnsi="Calibri"/>
                <w:b w:val="false"/>
                <w:bCs w:val="false"/>
                <w:color w:val="222222"/>
                <w:sz w:val="20"/>
                <w:szCs w:val="20"/>
              </w:rPr>
              <w:t xml:space="preserve">18–25</w:t>
            </w:r>
          </w:p>
        </w:tc>
        <w:tc>
          <w:tcPr>
            <w:tcW w:type="dxa" w:w="1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libri" w:cs="Calibri" w:eastAsia="Calibri" w:hAnsi="Calibri"/>
                <w:b w:val="false"/>
                <w:bCs w:val="false"/>
                <w:color w:val="222222"/>
                <w:sz w:val="20"/>
                <w:szCs w:val="20"/>
              </w:rPr>
              <w:t xml:space="preserve">11–14</w:t>
            </w:r>
          </w:p>
        </w:tc>
      </w:tr>
    </w:tbl>
    <w:p>
      <w:pPr>
        <w:spacing w:after="120" w:before="0"/>
      </w:pPr>
      <w:r>
        <w:t xml:space="preserve"/>
      </w:r>
    </w:p>
    <w:p>
      <w:pPr>
        <w:pStyle w:val="Heading2"/>
        <w:spacing w:after="80" w:before="240"/>
      </w:pPr>
      <w:r>
        <w:rPr>
          <w:rFonts w:ascii="Calibri" w:cs="Calibri" w:eastAsia="Calibri" w:hAnsi="Calibri"/>
          <w:b/>
          <w:bCs/>
          <w:color w:val="0B5E6E"/>
          <w:sz w:val="26"/>
          <w:szCs w:val="26"/>
        </w:rPr>
        <w:t xml:space="preserve">3.3 Aircraft Parameters</w:t>
      </w:r>
    </w:p>
    <w:p>
      <w:pPr>
        <w:spacing w:after="140" w:before="0"/>
        <w:jc w:val="both"/>
      </w:pPr>
      <w:r>
        <w:rPr>
          <w:rFonts w:ascii="Calibri" w:cs="Calibri" w:eastAsia="Calibri" w:hAnsi="Calibri"/>
          <w:b w:val="false"/>
          <w:bCs w:val="false"/>
          <w:color w:val="222222"/>
          <w:sz w:val="22"/>
          <w:szCs w:val="22"/>
        </w:rPr>
        <w:t xml:space="preserve">The following real-world parameters were used for each aircraft. Values were sourced from publicly available manufacturer specifications and standard aerospace reference texts: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rPr>
          <w:tblHeader/>
        </w:trPr>
        <w:tc>
          <w:tcPr>
            <w:tcW w:type="dxa" w:w="35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Parameter</w:t>
            </w:r>
          </w:p>
        </w:tc>
        <w:tc>
          <w:tcPr>
            <w:tcW w:type="dxa" w:w="293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Bell 206B JetRanger</w:t>
            </w:r>
          </w:p>
        </w:tc>
        <w:tc>
          <w:tcPr>
            <w:tcW w:type="dxa" w:w="293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AgustaWestland AW139</w:t>
            </w:r>
          </w:p>
        </w:tc>
      </w:tr>
      <w:tr>
        <w:tc>
          <w:tcPr>
            <w:tcW w:type="dxa" w:w="350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pPr>
              <w:jc w:val="left"/>
            </w:pPr>
            <w:r>
              <w:rPr>
                <w:rFonts w:ascii="Calibri" w:cs="Calibri" w:eastAsia="Calibri" w:hAnsi="Calibri"/>
                <w:b/>
                <w:bCs/>
                <w:color w:val="222222"/>
                <w:sz w:val="20"/>
                <w:szCs w:val="20"/>
              </w:rPr>
              <w:t xml:space="preserve">Rotor radius (m)</w:t>
            </w:r>
          </w:p>
        </w:tc>
        <w:tc>
          <w:tcPr>
            <w:tcW w:type="dxa" w:w="293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pPr>
              <w:jc w:val="center"/>
            </w:pPr>
            <w:r>
              <w:rPr>
                <w:rFonts w:ascii="Calibri" w:cs="Calibri" w:eastAsia="Calibri" w:hAnsi="Calibri"/>
                <w:b w:val="false"/>
                <w:bCs w:val="false"/>
                <w:color w:val="222222"/>
                <w:sz w:val="20"/>
                <w:szCs w:val="20"/>
              </w:rPr>
              <w:t xml:space="preserve">5.08</w:t>
            </w:r>
          </w:p>
        </w:tc>
        <w:tc>
          <w:tcPr>
            <w:tcW w:type="dxa" w:w="293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pPr>
              <w:jc w:val="center"/>
            </w:pPr>
            <w:r>
              <w:rPr>
                <w:rFonts w:ascii="Calibri" w:cs="Calibri" w:eastAsia="Calibri" w:hAnsi="Calibri"/>
                <w:b w:val="false"/>
                <w:bCs w:val="false"/>
                <w:color w:val="222222"/>
                <w:sz w:val="20"/>
                <w:szCs w:val="20"/>
              </w:rPr>
              <w:t xml:space="preserve">7.30</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Calibri" w:cs="Calibri" w:eastAsia="Calibri" w:hAnsi="Calibri"/>
                <w:b/>
                <w:bCs/>
                <w:color w:val="222222"/>
                <w:sz w:val="20"/>
                <w:szCs w:val="20"/>
              </w:rPr>
              <w:t xml:space="preserve">Blade chord (m)</w:t>
            </w:r>
          </w:p>
        </w:tc>
        <w:tc>
          <w:tcPr>
            <w:tcW w:type="dxa" w:w="29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libri" w:cs="Calibri" w:eastAsia="Calibri" w:hAnsi="Calibri"/>
                <w:b w:val="false"/>
                <w:bCs w:val="false"/>
                <w:color w:val="222222"/>
                <w:sz w:val="20"/>
                <w:szCs w:val="20"/>
              </w:rPr>
              <w:t xml:space="preserve">0.33</w:t>
            </w:r>
          </w:p>
        </w:tc>
        <w:tc>
          <w:tcPr>
            <w:tcW w:type="dxa" w:w="29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libri" w:cs="Calibri" w:eastAsia="Calibri" w:hAnsi="Calibri"/>
                <w:b w:val="false"/>
                <w:bCs w:val="false"/>
                <w:color w:val="222222"/>
                <w:sz w:val="20"/>
                <w:szCs w:val="20"/>
              </w:rPr>
              <w:t xml:space="preserve">0.40</w:t>
            </w:r>
          </w:p>
        </w:tc>
      </w:tr>
      <w:tr>
        <w:tc>
          <w:tcPr>
            <w:tcW w:type="dxa" w:w="350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pPr>
              <w:jc w:val="left"/>
            </w:pPr>
            <w:r>
              <w:rPr>
                <w:rFonts w:ascii="Calibri" w:cs="Calibri" w:eastAsia="Calibri" w:hAnsi="Calibri"/>
                <w:b/>
                <w:bCs/>
                <w:color w:val="222222"/>
                <w:sz w:val="20"/>
                <w:szCs w:val="20"/>
              </w:rPr>
              <w:t xml:space="preserve">Number of blades</w:t>
            </w:r>
          </w:p>
        </w:tc>
        <w:tc>
          <w:tcPr>
            <w:tcW w:type="dxa" w:w="293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pPr>
              <w:jc w:val="center"/>
            </w:pPr>
            <w:r>
              <w:rPr>
                <w:rFonts w:ascii="Calibri" w:cs="Calibri" w:eastAsia="Calibri" w:hAnsi="Calibri"/>
                <w:b w:val="false"/>
                <w:bCs w:val="false"/>
                <w:color w:val="222222"/>
                <w:sz w:val="20"/>
                <w:szCs w:val="20"/>
              </w:rPr>
              <w:t xml:space="preserve">2</w:t>
            </w:r>
          </w:p>
        </w:tc>
        <w:tc>
          <w:tcPr>
            <w:tcW w:type="dxa" w:w="293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pPr>
              <w:jc w:val="center"/>
            </w:pPr>
            <w:r>
              <w:rPr>
                <w:rFonts w:ascii="Calibri" w:cs="Calibri" w:eastAsia="Calibri" w:hAnsi="Calibri"/>
                <w:b w:val="false"/>
                <w:bCs w:val="false"/>
                <w:color w:val="222222"/>
                <w:sz w:val="20"/>
                <w:szCs w:val="20"/>
              </w:rPr>
              <w:t xml:space="preserve">5</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Calibri" w:cs="Calibri" w:eastAsia="Calibri" w:hAnsi="Calibri"/>
                <w:b/>
                <w:bCs/>
                <w:color w:val="222222"/>
                <w:sz w:val="20"/>
                <w:szCs w:val="20"/>
              </w:rPr>
              <w:t xml:space="preserve">Max RPM</w:t>
            </w:r>
          </w:p>
        </w:tc>
        <w:tc>
          <w:tcPr>
            <w:tcW w:type="dxa" w:w="29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libri" w:cs="Calibri" w:eastAsia="Calibri" w:hAnsi="Calibri"/>
                <w:b w:val="false"/>
                <w:bCs w:val="false"/>
                <w:color w:val="222222"/>
                <w:sz w:val="20"/>
                <w:szCs w:val="20"/>
              </w:rPr>
              <w:t xml:space="preserve">394</w:t>
            </w:r>
          </w:p>
        </w:tc>
        <w:tc>
          <w:tcPr>
            <w:tcW w:type="dxa" w:w="29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libri" w:cs="Calibri" w:eastAsia="Calibri" w:hAnsi="Calibri"/>
                <w:b w:val="false"/>
                <w:bCs w:val="false"/>
                <w:color w:val="222222"/>
                <w:sz w:val="20"/>
                <w:szCs w:val="20"/>
              </w:rPr>
              <w:t xml:space="preserve">280</w:t>
            </w:r>
          </w:p>
        </w:tc>
      </w:tr>
      <w:tr>
        <w:tc>
          <w:tcPr>
            <w:tcW w:type="dxa" w:w="350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pPr>
              <w:jc w:val="left"/>
            </w:pPr>
            <w:r>
              <w:rPr>
                <w:rFonts w:ascii="Calibri" w:cs="Calibri" w:eastAsia="Calibri" w:hAnsi="Calibri"/>
                <w:b/>
                <w:bCs/>
                <w:color w:val="222222"/>
                <w:sz w:val="20"/>
                <w:szCs w:val="20"/>
              </w:rPr>
              <w:t xml:space="preserve">Min operational RPM</w:t>
            </w:r>
          </w:p>
        </w:tc>
        <w:tc>
          <w:tcPr>
            <w:tcW w:type="dxa" w:w="293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pPr>
              <w:jc w:val="center"/>
            </w:pPr>
            <w:r>
              <w:rPr>
                <w:rFonts w:ascii="Calibri" w:cs="Calibri" w:eastAsia="Calibri" w:hAnsi="Calibri"/>
                <w:b w:val="false"/>
                <w:bCs w:val="false"/>
                <w:color w:val="222222"/>
                <w:sz w:val="20"/>
                <w:szCs w:val="20"/>
              </w:rPr>
              <w:t xml:space="preserve">280</w:t>
            </w:r>
          </w:p>
        </w:tc>
        <w:tc>
          <w:tcPr>
            <w:tcW w:type="dxa" w:w="293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pPr>
              <w:jc w:val="center"/>
            </w:pPr>
            <w:r>
              <w:rPr>
                <w:rFonts w:ascii="Calibri" w:cs="Calibri" w:eastAsia="Calibri" w:hAnsi="Calibri"/>
                <w:b w:val="false"/>
                <w:bCs w:val="false"/>
                <w:color w:val="222222"/>
                <w:sz w:val="20"/>
                <w:szCs w:val="20"/>
              </w:rPr>
              <w:t xml:space="preserve">180</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Calibri" w:cs="Calibri" w:eastAsia="Calibri" w:hAnsi="Calibri"/>
                <w:b/>
                <w:bCs/>
                <w:color w:val="222222"/>
                <w:sz w:val="20"/>
                <w:szCs w:val="20"/>
              </w:rPr>
              <w:t xml:space="preserve">MTOW (kg)</w:t>
            </w:r>
          </w:p>
        </w:tc>
        <w:tc>
          <w:tcPr>
            <w:tcW w:type="dxa" w:w="29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libri" w:cs="Calibri" w:eastAsia="Calibri" w:hAnsi="Calibri"/>
                <w:b w:val="false"/>
                <w:bCs w:val="false"/>
                <w:color w:val="222222"/>
                <w:sz w:val="20"/>
                <w:szCs w:val="20"/>
              </w:rPr>
              <w:t xml:space="preserve">1,451</w:t>
            </w:r>
          </w:p>
        </w:tc>
        <w:tc>
          <w:tcPr>
            <w:tcW w:type="dxa" w:w="29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libri" w:cs="Calibri" w:eastAsia="Calibri" w:hAnsi="Calibri"/>
                <w:b w:val="false"/>
                <w:bCs w:val="false"/>
                <w:color w:val="222222"/>
                <w:sz w:val="20"/>
                <w:szCs w:val="20"/>
              </w:rPr>
              <w:t xml:space="preserve">6,400</w:t>
            </w:r>
          </w:p>
        </w:tc>
      </w:tr>
      <w:tr>
        <w:tc>
          <w:tcPr>
            <w:tcW w:type="dxa" w:w="350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pPr>
              <w:jc w:val="left"/>
            </w:pPr>
            <w:r>
              <w:rPr>
                <w:rFonts w:ascii="Calibri" w:cs="Calibri" w:eastAsia="Calibri" w:hAnsi="Calibri"/>
                <w:b/>
                <w:bCs/>
                <w:color w:val="222222"/>
                <w:sz w:val="20"/>
                <w:szCs w:val="20"/>
              </w:rPr>
              <w:t xml:space="preserve">MTOW (kN)</w:t>
            </w:r>
          </w:p>
        </w:tc>
        <w:tc>
          <w:tcPr>
            <w:tcW w:type="dxa" w:w="293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pPr>
              <w:jc w:val="center"/>
            </w:pPr>
            <w:r>
              <w:rPr>
                <w:rFonts w:ascii="Calibri" w:cs="Calibri" w:eastAsia="Calibri" w:hAnsi="Calibri"/>
                <w:b w:val="false"/>
                <w:bCs w:val="false"/>
                <w:color w:val="222222"/>
                <w:sz w:val="20"/>
                <w:szCs w:val="20"/>
              </w:rPr>
              <w:t xml:space="preserve">14.23</w:t>
            </w:r>
          </w:p>
        </w:tc>
        <w:tc>
          <w:tcPr>
            <w:tcW w:type="dxa" w:w="293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pPr>
              <w:jc w:val="center"/>
            </w:pPr>
            <w:r>
              <w:rPr>
                <w:rFonts w:ascii="Calibri" w:cs="Calibri" w:eastAsia="Calibri" w:hAnsi="Calibri"/>
                <w:b w:val="false"/>
                <w:bCs w:val="false"/>
                <w:color w:val="222222"/>
                <w:sz w:val="20"/>
                <w:szCs w:val="20"/>
              </w:rPr>
              <w:t xml:space="preserve">62.78</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Calibri" w:cs="Calibri" w:eastAsia="Calibri" w:hAnsi="Calibri"/>
                <w:b/>
                <w:bCs/>
                <w:color w:val="222222"/>
                <w:sz w:val="20"/>
                <w:szCs w:val="20"/>
              </w:rPr>
              <w:t xml:space="preserve">Disc area (m²)</w:t>
            </w:r>
          </w:p>
        </w:tc>
        <w:tc>
          <w:tcPr>
            <w:tcW w:type="dxa" w:w="29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libri" w:cs="Calibri" w:eastAsia="Calibri" w:hAnsi="Calibri"/>
                <w:b w:val="false"/>
                <w:bCs w:val="false"/>
                <w:color w:val="222222"/>
                <w:sz w:val="20"/>
                <w:szCs w:val="20"/>
              </w:rPr>
              <w:t xml:space="preserve">81.07</w:t>
            </w:r>
          </w:p>
        </w:tc>
        <w:tc>
          <w:tcPr>
            <w:tcW w:type="dxa" w:w="29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libri" w:cs="Calibri" w:eastAsia="Calibri" w:hAnsi="Calibri"/>
                <w:b w:val="false"/>
                <w:bCs w:val="false"/>
                <w:color w:val="222222"/>
                <w:sz w:val="20"/>
                <w:szCs w:val="20"/>
              </w:rPr>
              <w:t xml:space="preserve">167.42</w:t>
            </w:r>
          </w:p>
        </w:tc>
      </w:tr>
      <w:tr>
        <w:tc>
          <w:tcPr>
            <w:tcW w:type="dxa" w:w="350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pPr>
              <w:jc w:val="left"/>
            </w:pPr>
            <w:r>
              <w:rPr>
                <w:rFonts w:ascii="Calibri" w:cs="Calibri" w:eastAsia="Calibri" w:hAnsi="Calibri"/>
                <w:b/>
                <w:bCs/>
                <w:color w:val="222222"/>
                <w:sz w:val="20"/>
                <w:szCs w:val="20"/>
              </w:rPr>
              <w:t xml:space="preserve">Solidity (σ)</w:t>
            </w:r>
          </w:p>
        </w:tc>
        <w:tc>
          <w:tcPr>
            <w:tcW w:type="dxa" w:w="293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pPr>
              <w:jc w:val="center"/>
            </w:pPr>
            <w:r>
              <w:rPr>
                <w:rFonts w:ascii="Calibri" w:cs="Calibri" w:eastAsia="Calibri" w:hAnsi="Calibri"/>
                <w:b w:val="false"/>
                <w:bCs w:val="false"/>
                <w:color w:val="222222"/>
                <w:sz w:val="20"/>
                <w:szCs w:val="20"/>
              </w:rPr>
              <w:t xml:space="preserve">0.0414</w:t>
            </w:r>
          </w:p>
        </w:tc>
        <w:tc>
          <w:tcPr>
            <w:tcW w:type="dxa" w:w="293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pPr>
              <w:jc w:val="center"/>
            </w:pPr>
            <w:r>
              <w:rPr>
                <w:rFonts w:ascii="Calibri" w:cs="Calibri" w:eastAsia="Calibri" w:hAnsi="Calibri"/>
                <w:b w:val="false"/>
                <w:bCs w:val="false"/>
                <w:color w:val="222222"/>
                <w:sz w:val="20"/>
                <w:szCs w:val="20"/>
              </w:rPr>
              <w:t xml:space="preserve">0.0874</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Calibri" w:cs="Calibri" w:eastAsia="Calibri" w:hAnsi="Calibri"/>
                <w:b/>
                <w:bCs/>
                <w:color w:val="222222"/>
                <w:sz w:val="20"/>
                <w:szCs w:val="20"/>
              </w:rPr>
              <w:t xml:space="preserve">Profile drag coeff (Cd0)</w:t>
            </w:r>
          </w:p>
        </w:tc>
        <w:tc>
          <w:tcPr>
            <w:tcW w:type="dxa" w:w="29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libri" w:cs="Calibri" w:eastAsia="Calibri" w:hAnsi="Calibri"/>
                <w:b w:val="false"/>
                <w:bCs w:val="false"/>
                <w:color w:val="222222"/>
                <w:sz w:val="20"/>
                <w:szCs w:val="20"/>
              </w:rPr>
              <w:t xml:space="preserve">0.012</w:t>
            </w:r>
          </w:p>
        </w:tc>
        <w:tc>
          <w:tcPr>
            <w:tcW w:type="dxa" w:w="29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libri" w:cs="Calibri" w:eastAsia="Calibri" w:hAnsi="Calibri"/>
                <w:b w:val="false"/>
                <w:bCs w:val="false"/>
                <w:color w:val="222222"/>
                <w:sz w:val="20"/>
                <w:szCs w:val="20"/>
              </w:rPr>
              <w:t xml:space="preserve">0.010</w:t>
            </w:r>
          </w:p>
        </w:tc>
      </w:tr>
    </w:tbl>
    <w:p>
      <w:pPr>
        <w:spacing w:after="120" w:before="0"/>
      </w:pPr>
      <w:r>
        <w:t xml:space="preserve"/>
      </w:r>
    </w:p>
    <w:p>
      <w:pPr>
        <w:pStyle w:val="Heading2"/>
        <w:spacing w:after="80" w:before="240"/>
      </w:pPr>
      <w:r>
        <w:rPr>
          <w:rFonts w:ascii="Calibri" w:cs="Calibri" w:eastAsia="Calibri" w:hAnsi="Calibri"/>
          <w:b/>
          <w:bCs/>
          <w:color w:val="0B5E6E"/>
          <w:sz w:val="26"/>
          <w:szCs w:val="26"/>
        </w:rPr>
        <w:t xml:space="preserve">3.4 Key Assumptions</w:t>
      </w:r>
    </w:p>
    <w:p>
      <w:pPr>
        <w:pStyle w:val="ListParagraph"/>
        <w:numPr>
          <w:ilvl w:val="0"/>
          <w:numId w:val="2"/>
        </w:numPr>
        <w:spacing w:after="40" w:before="40"/>
      </w:pPr>
      <w:r>
        <w:rPr>
          <w:rFonts w:ascii="Calibri" w:cs="Calibri" w:eastAsia="Calibri" w:hAnsi="Calibri"/>
          <w:color w:val="222222"/>
          <w:sz w:val="22"/>
          <w:szCs w:val="22"/>
        </w:rPr>
        <w:t xml:space="preserve">Incompressible airflow — Mach number effects at blade tips are neglected (valid below tip Mach 0.6 for the RPM ranges studied).</w:t>
      </w:r>
    </w:p>
    <w:p>
      <w:pPr>
        <w:pStyle w:val="ListParagraph"/>
        <w:numPr>
          <w:ilvl w:val="0"/>
          <w:numId w:val="2"/>
        </w:numPr>
        <w:spacing w:after="40" w:before="40"/>
      </w:pPr>
      <w:r>
        <w:rPr>
          <w:rFonts w:ascii="Calibri" w:cs="Calibri" w:eastAsia="Calibri" w:hAnsi="Calibri"/>
          <w:color w:val="222222"/>
          <w:sz w:val="22"/>
          <w:szCs w:val="22"/>
        </w:rPr>
        <w:t xml:space="preserve">Uniform inflow — induced velocity is assumed constant across the rotor disc (actuator disc assumption).</w:t>
      </w:r>
    </w:p>
    <w:p>
      <w:pPr>
        <w:pStyle w:val="ListParagraph"/>
        <w:numPr>
          <w:ilvl w:val="0"/>
          <w:numId w:val="2"/>
        </w:numPr>
        <w:spacing w:after="40" w:before="40"/>
      </w:pPr>
      <w:r>
        <w:rPr>
          <w:rFonts w:ascii="Calibri" w:cs="Calibri" w:eastAsia="Calibri" w:hAnsi="Calibri"/>
          <w:color w:val="222222"/>
          <w:sz w:val="22"/>
          <w:szCs w:val="22"/>
        </w:rPr>
        <w:t xml:space="preserve">Constant chord — blade taper is not modelled; a uniform chord length is applied along the full span.</w:t>
      </w:r>
    </w:p>
    <w:p>
      <w:pPr>
        <w:pStyle w:val="ListParagraph"/>
        <w:numPr>
          <w:ilvl w:val="0"/>
          <w:numId w:val="2"/>
        </w:numPr>
        <w:spacing w:after="40" w:before="40"/>
      </w:pPr>
      <w:r>
        <w:rPr>
          <w:rFonts w:ascii="Calibri" w:cs="Calibri" w:eastAsia="Calibri" w:hAnsi="Calibri"/>
          <w:color w:val="222222"/>
          <w:sz w:val="22"/>
          <w:szCs w:val="22"/>
        </w:rPr>
        <w:t xml:space="preserve">No twist — blade pitch angle is treated as uniform from hub to tip (no geometric or aerodynamic twist).</w:t>
      </w:r>
    </w:p>
    <w:p>
      <w:pPr>
        <w:pStyle w:val="ListParagraph"/>
        <w:numPr>
          <w:ilvl w:val="0"/>
          <w:numId w:val="2"/>
        </w:numPr>
        <w:spacing w:after="40" w:before="40"/>
      </w:pPr>
      <w:r>
        <w:rPr>
          <w:rFonts w:ascii="Calibri" w:cs="Calibri" w:eastAsia="Calibri" w:hAnsi="Calibri"/>
          <w:color w:val="222222"/>
          <w:sz w:val="22"/>
          <w:szCs w:val="22"/>
        </w:rPr>
        <w:t xml:space="preserve">Hover condition — all power calculations assume steady-state hover at sea level (ρ = 1.225 kg/m³).</w:t>
      </w:r>
    </w:p>
    <w:p>
      <w:pPr>
        <w:pStyle w:val="ListParagraph"/>
        <w:numPr>
          <w:ilvl w:val="0"/>
          <w:numId w:val="2"/>
        </w:numPr>
        <w:spacing w:after="40" w:before="40"/>
      </w:pPr>
      <w:r>
        <w:rPr>
          <w:rFonts w:ascii="Calibri" w:cs="Calibri" w:eastAsia="Calibri" w:hAnsi="Calibri"/>
          <w:color w:val="222222"/>
          <w:sz w:val="22"/>
          <w:szCs w:val="22"/>
        </w:rPr>
        <w:t xml:space="preserve">Linear Cl below stall — the thin aerofoil lift curve slope Cl_α = 5.73 rad⁻¹ is applied in the pre-stall regime.</w:t>
      </w:r>
    </w:p>
    <w:p>
      <w:r>
        <w:br w:type="page"/>
      </w:r>
    </w:p>
    <w:p>
      <w:pPr>
        <w:pStyle w:val="Heading1"/>
        <w:pBdr>
          <w:bottom w:val="single" w:color="1A3A5C" w:sz="6"/>
        </w:pBdr>
        <w:spacing w:after="120" w:before="320"/>
      </w:pPr>
      <w:r>
        <w:rPr>
          <w:rFonts w:ascii="Calibri" w:cs="Calibri" w:eastAsia="Calibri" w:hAnsi="Calibri"/>
          <w:b/>
          <w:bCs/>
          <w:color w:val="1A3A5C"/>
          <w:sz w:val="32"/>
          <w:szCs w:val="32"/>
        </w:rPr>
        <w:t xml:space="preserve">4. Results and Discussion</w:t>
      </w:r>
    </w:p>
    <w:p>
      <w:pPr>
        <w:pStyle w:val="Heading2"/>
        <w:spacing w:after="80" w:before="240"/>
      </w:pPr>
      <w:r>
        <w:rPr>
          <w:rFonts w:ascii="Calibri" w:cs="Calibri" w:eastAsia="Calibri" w:hAnsi="Calibri"/>
          <w:b/>
          <w:bCs/>
          <w:color w:val="0B5E6E"/>
          <w:sz w:val="26"/>
          <w:szCs w:val="26"/>
        </w:rPr>
        <w:t xml:space="preserve">4.1 Phase 1 — Baseline Lift Model</w:t>
      </w:r>
    </w:p>
    <w:p>
      <w:pPr>
        <w:spacing w:after="140" w:before="0"/>
        <w:jc w:val="both"/>
      </w:pPr>
      <w:r>
        <w:rPr>
          <w:rFonts w:ascii="Calibri" w:cs="Calibri" w:eastAsia="Calibri" w:hAnsi="Calibri"/>
          <w:b w:val="false"/>
          <w:bCs w:val="false"/>
          <w:color w:val="222222"/>
          <w:sz w:val="22"/>
          <w:szCs w:val="22"/>
        </w:rPr>
        <w:t xml:space="preserve">The baseline model successfully demonstrated the fundamental aerodynamic relationships governing rotor lift. Plot 1 confirmed that lift scales quadratically with RPM — a direct consequence of the V² term in the lift equation, since blade velocity is proportional to RPM.</w:t>
      </w:r>
    </w:p>
    <w:p>
      <w:pPr>
        <w:spacing w:after="60" w:before="0"/>
      </w:pPr>
      <w:r>
        <w:t xml:space="preserve"/>
      </w:r>
    </w:p>
    <w:p>
      <w:pPr>
        <w:spacing w:after="40" w:before="120"/>
        <w:jc w:val="center"/>
      </w:pPr>
      <w:r>
        <w:drawing>
          <wp:inline distT="0" distB="0" distL="0" distR="0">
            <wp:extent cx="3619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238500"/>
                    </a:xfrm>
                    <a:prstGeom prst="rect">
                      <a:avLst/>
                    </a:prstGeom>
                  </pic:spPr>
                </pic:pic>
              </a:graphicData>
            </a:graphic>
          </wp:inline>
        </w:drawing>
      </w:r>
    </w:p>
    <w:p>
      <w:pPr>
        <w:spacing w:after="120" w:before="0"/>
        <w:jc w:val="center"/>
      </w:pPr>
      <w:r>
        <w:rPr>
          <w:rFonts w:ascii="Calibri" w:cs="Calibri" w:eastAsia="Calibri" w:hAnsi="Calibri"/>
          <w:i/>
          <w:iCs/>
          <w:color w:val="555555"/>
          <w:sz w:val="18"/>
          <w:szCs w:val="18"/>
        </w:rPr>
        <w:t xml:space="preserve">Plot 1 — Rotor Lift vs RPM | Pitch Angle = 8°</w:t>
      </w:r>
    </w:p>
    <w:p>
      <w:pPr>
        <w:spacing w:after="40" w:before="120"/>
        <w:jc w:val="center"/>
      </w:pPr>
      <w:r>
        <w:drawing>
          <wp:inline distT="0" distB="0" distL="0" distR="0">
            <wp:extent cx="3619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3238500"/>
                    </a:xfrm>
                    <a:prstGeom prst="rect">
                      <a:avLst/>
                    </a:prstGeom>
                  </pic:spPr>
                </pic:pic>
              </a:graphicData>
            </a:graphic>
          </wp:inline>
        </w:drawing>
      </w:r>
    </w:p>
    <w:p>
      <w:pPr>
        <w:spacing w:after="120" w:before="0"/>
        <w:jc w:val="center"/>
      </w:pPr>
      <w:r>
        <w:rPr>
          <w:rFonts w:ascii="Calibri" w:cs="Calibri" w:eastAsia="Calibri" w:hAnsi="Calibri"/>
          <w:i/>
          <w:iCs/>
          <w:color w:val="555555"/>
          <w:sz w:val="18"/>
          <w:szCs w:val="18"/>
        </w:rPr>
        <w:t xml:space="preserve">Plot 2 — Rotor Lift vs Pitch Angle | RPM = 300</w:t>
      </w:r>
    </w:p>
    <w:p>
      <w:pPr>
        <w:spacing w:after="140" w:before="0"/>
        <w:jc w:val="both"/>
      </w:pPr>
      <w:r>
        <w:rPr>
          <w:rFonts w:ascii="Calibri" w:cs="Calibri" w:eastAsia="Calibri" w:hAnsi="Calibri"/>
          <w:b w:val="false"/>
          <w:bCs w:val="false"/>
          <w:color w:val="222222"/>
          <w:sz w:val="22"/>
          <w:szCs w:val="22"/>
        </w:rPr>
        <w:t xml:space="preserve">Plot 2 showed the expected linear relationship between pitch angle and lift in the pre-stall regime. The 3D performance surface (Plot 3) provided a complete visualisation of the rotor's operating envelope, clearly showing the regions of maximum lift generation at high RPM and high pitch angles.</w:t>
      </w:r>
    </w:p>
    <w:p>
      <w:pPr>
        <w:spacing w:after="40" w:before="120"/>
        <w:jc w:val="center"/>
      </w:pPr>
      <w:r>
        <w:drawing>
          <wp:inline distT="0" distB="0" distL="0" distR="0">
            <wp:extent cx="36195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3524250"/>
                    </a:xfrm>
                    <a:prstGeom prst="rect">
                      <a:avLst/>
                    </a:prstGeom>
                  </pic:spPr>
                </pic:pic>
              </a:graphicData>
            </a:graphic>
          </wp:inline>
        </w:drawing>
      </w:r>
    </w:p>
    <w:p>
      <w:pPr>
        <w:spacing w:after="120" w:before="0"/>
        <w:jc w:val="center"/>
      </w:pPr>
      <w:r>
        <w:rPr>
          <w:rFonts w:ascii="Calibri" w:cs="Calibri" w:eastAsia="Calibri" w:hAnsi="Calibri"/>
          <w:i/>
          <w:iCs/>
          <w:color w:val="555555"/>
          <w:sz w:val="18"/>
          <w:szCs w:val="18"/>
        </w:rPr>
        <w:t xml:space="preserve">Plot 3 — 3D Rotor Lift Performance Map (RPM vs Pitch Angle)</w:t>
      </w:r>
    </w:p>
    <w:p>
      <w:pPr>
        <w:spacing w:after="40" w:before="120"/>
        <w:jc w:val="center"/>
      </w:pPr>
      <w:r>
        <w:drawing>
          <wp:inline distT="0" distB="0" distL="0" distR="0">
            <wp:extent cx="3619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3238500"/>
                    </a:xfrm>
                    <a:prstGeom prst="rect">
                      <a:avLst/>
                    </a:prstGeom>
                  </pic:spPr>
                </pic:pic>
              </a:graphicData>
            </a:graphic>
          </wp:inline>
        </w:drawing>
      </w:r>
    </w:p>
    <w:p>
      <w:pPr>
        <w:spacing w:after="120" w:before="0"/>
        <w:jc w:val="center"/>
      </w:pPr>
      <w:r>
        <w:rPr>
          <w:rFonts w:ascii="Calibri" w:cs="Calibri" w:eastAsia="Calibri" w:hAnsi="Calibri"/>
          <w:i/>
          <w:iCs/>
          <w:color w:val="555555"/>
          <w:sz w:val="18"/>
          <w:szCs w:val="18"/>
        </w:rPr>
        <w:t xml:space="preserve">Plot 4 — Spanwise Lift Distribution | RPM=300</w:t>
      </w:r>
    </w:p>
    <w:p>
      <w:pPr>
        <w:spacing w:after="140" w:before="0"/>
        <w:jc w:val="both"/>
      </w:pPr>
      <w:r>
        <w:rPr>
          <w:rFonts w:ascii="Calibri" w:cs="Calibri" w:eastAsia="Calibri" w:hAnsi="Calibri"/>
          <w:b w:val="false"/>
          <w:bCs w:val="false"/>
          <w:color w:val="222222"/>
          <w:sz w:val="22"/>
          <w:szCs w:val="22"/>
        </w:rPr>
        <w:t xml:space="preserve">The spanwise lift distribution (Plot 4) confirmed that the outboard 30% of the blade (from 70% span to the tip) contributes disproportionately to total rotor lift, generating approximately 65% of the total lift despite representing only 30% of the blade area. This has direct implications for maintenance engineering — blade tip condition is the most critical factor in maintaining rotor performance, and tip damage produces a far greater performance penalty than equivalent root damage.</w:t>
      </w:r>
    </w:p>
    <w:p>
      <w:pPr>
        <w:pStyle w:val="Heading2"/>
        <w:spacing w:after="80" w:before="240"/>
      </w:pPr>
      <w:r>
        <w:rPr>
          <w:rFonts w:ascii="Calibri" w:cs="Calibri" w:eastAsia="Calibri" w:hAnsi="Calibri"/>
          <w:b/>
          <w:bCs/>
          <w:color w:val="0B5E6E"/>
          <w:sz w:val="26"/>
          <w:szCs w:val="26"/>
        </w:rPr>
        <w:t xml:space="preserve">4.2 Phase 2A — Stall Model Validation</w:t>
      </w:r>
    </w:p>
    <w:p>
      <w:pPr>
        <w:spacing w:after="140" w:before="0"/>
        <w:jc w:val="both"/>
      </w:pPr>
      <w:r>
        <w:rPr>
          <w:rFonts w:ascii="Calibri" w:cs="Calibri" w:eastAsia="Calibri" w:hAnsi="Calibri"/>
          <w:b w:val="false"/>
          <w:bCs w:val="false"/>
          <w:color w:val="222222"/>
          <w:sz w:val="22"/>
          <w:szCs w:val="22"/>
        </w:rPr>
        <w:t xml:space="preserve">The piecewise stall model introduced in Phase 2A revealed a significant discrepancy between the linear Phase 1 model and the physically realistic stall model at pitch angles above 14°. The comparison plot (Plot 6) quantified this error — at 20° pitch, the linear model overestimates lift by approximately 67% compared to the stall model, demonstrating that the Phase 1 model is only valid within the normal operational pitch range of 0–12°.</w:t>
      </w:r>
    </w:p>
    <w:p>
      <w:pPr>
        <w:spacing w:after="40" w:before="120"/>
        <w:jc w:val="center"/>
      </w:pPr>
      <w:r>
        <w:drawing>
          <wp:inline distT="0" distB="0" distL="0" distR="0">
            <wp:extent cx="3619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3238500"/>
                    </a:xfrm>
                    <a:prstGeom prst="rect">
                      <a:avLst/>
                    </a:prstGeom>
                  </pic:spPr>
                </pic:pic>
              </a:graphicData>
            </a:graphic>
          </wp:inline>
        </w:drawing>
      </w:r>
    </w:p>
    <w:p>
      <w:pPr>
        <w:spacing w:after="120" w:before="0"/>
        <w:jc w:val="center"/>
      </w:pPr>
      <w:r>
        <w:rPr>
          <w:rFonts w:ascii="Calibri" w:cs="Calibri" w:eastAsia="Calibri" w:hAnsi="Calibri"/>
          <w:i/>
          <w:iCs/>
          <w:color w:val="555555"/>
          <w:sz w:val="18"/>
          <w:szCs w:val="18"/>
        </w:rPr>
        <w:t xml:space="preserve">Plot 6 — Lift Comparison: Linear vs Stall Model | RPM = 300</w:t>
      </w:r>
    </w:p>
    <w:p>
      <w:pPr>
        <w:spacing w:after="40" w:before="120"/>
        <w:jc w:val="center"/>
      </w:pPr>
      <w:r>
        <w:drawing>
          <wp:inline distT="0" distB="0" distL="0" distR="0">
            <wp:extent cx="3619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19500" cy="3238500"/>
                    </a:xfrm>
                    <a:prstGeom prst="rect">
                      <a:avLst/>
                    </a:prstGeom>
                  </pic:spPr>
                </pic:pic>
              </a:graphicData>
            </a:graphic>
          </wp:inline>
        </w:drawing>
      </w:r>
    </w:p>
    <w:p>
      <w:pPr>
        <w:spacing w:after="120" w:before="0"/>
        <w:jc w:val="center"/>
      </w:pPr>
      <w:r>
        <w:rPr>
          <w:rFonts w:ascii="Calibri" w:cs="Calibri" w:eastAsia="Calibri" w:hAnsi="Calibri"/>
          <w:i/>
          <w:iCs/>
          <w:color w:val="555555"/>
          <w:sz w:val="18"/>
          <w:szCs w:val="18"/>
        </w:rPr>
        <w:t xml:space="preserve">Plot 7 — 3D Lift Surface with Stall Boundary (white line)</w:t>
      </w:r>
    </w:p>
    <w:p>
      <w:pPr>
        <w:spacing w:after="140" w:before="0"/>
        <w:jc w:val="both"/>
      </w:pPr>
      <w:r>
        <w:rPr>
          <w:rFonts w:ascii="Calibri" w:cs="Calibri" w:eastAsia="Calibri" w:hAnsi="Calibri"/>
          <w:b w:val="false"/>
          <w:bCs w:val="false"/>
          <w:color w:val="222222"/>
          <w:sz w:val="22"/>
          <w:szCs w:val="22"/>
        </w:rPr>
        <w:t xml:space="preserve">The stall boundary plotted on the 3D performance surface (Plot 7, white line) delineates the safe operating envelope from the stall-risk region. This type of boundary representation is directly analogous to the Hover-In-Ground-Effect (HIGE) and Hover-Out-of-Ground-Effect (HOGE) envelopes published in helicopter Flight Manuals, providing a conceptual bridge between the computational model and operational practice.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3A5C" w:sz="18"/>
              <w:bottom w:val="none" w:color="FFFFFF" w:sz="0"/>
              <w:right w:val="none" w:color="FFFFFF" w:sz="0"/>
            </w:tcBorders>
            <w:shd w:fill="EEF3F8" w:val="clear"/>
            <w:tcMar>
              <w:top w:type="dxa" w:w="100"/>
              <w:left w:type="dxa" w:w="200"/>
              <w:bottom w:type="dxa" w:w="100"/>
              <w:right w:type="dxa" w:w="160"/>
            </w:tcMar>
          </w:tcPr>
          <w:p>
            <w:pPr>
              <w:spacing w:after="40" w:before="0"/>
            </w:pPr>
            <w:r>
              <w:rPr>
                <w:rFonts w:ascii="Calibri" w:cs="Calibri" w:eastAsia="Calibri" w:hAnsi="Calibri"/>
                <w:b/>
                <w:bCs/>
                <w:color w:val="1A3A5C"/>
                <w:sz w:val="20"/>
                <w:szCs w:val="20"/>
              </w:rPr>
              <w:t xml:space="preserve">Key Finding — Phase 2A</w:t>
            </w:r>
          </w:p>
          <w:p>
            <w:pPr>
              <w:spacing w:after="0" w:before="0"/>
            </w:pPr>
            <w:r>
              <w:rPr>
                <w:rFonts w:ascii="Calibri" w:cs="Calibri" w:eastAsia="Calibri" w:hAnsi="Calibri"/>
                <w:i/>
                <w:iCs/>
                <w:color w:val="222222"/>
                <w:sz w:val="21"/>
                <w:szCs w:val="21"/>
              </w:rPr>
              <w:t xml:space="preserve">The Phase 1 linear model overestimates rotor lift by up to 67% above the stall angle. Stall modelling is essential for any analysis that extends beyond the normal operational pitch range of 0–12°.</w:t>
            </w:r>
          </w:p>
        </w:tc>
      </w:tr>
    </w:tbl>
    <w:p>
      <w:pPr>
        <w:pStyle w:val="Heading2"/>
        <w:spacing w:after="80" w:before="240"/>
      </w:pPr>
      <w:r>
        <w:rPr>
          <w:rFonts w:ascii="Calibri" w:cs="Calibri" w:eastAsia="Calibri" w:hAnsi="Calibri"/>
          <w:b/>
          <w:bCs/>
          <w:color w:val="0B5E6E"/>
          <w:sz w:val="26"/>
          <w:szCs w:val="26"/>
        </w:rPr>
        <w:t xml:space="preserve">4.3 Phase 2B — Helicopter Comparison</w:t>
      </w:r>
    </w:p>
    <w:p>
      <w:pPr>
        <w:spacing w:after="140" w:before="0"/>
        <w:jc w:val="both"/>
      </w:pPr>
      <w:r>
        <w:rPr>
          <w:rFonts w:ascii="Calibri" w:cs="Calibri" w:eastAsia="Calibri" w:hAnsi="Calibri"/>
          <w:b w:val="false"/>
          <w:bCs w:val="false"/>
          <w:color w:val="222222"/>
          <w:sz w:val="22"/>
          <w:szCs w:val="22"/>
        </w:rPr>
        <w:t xml:space="preserve">The comparative analysis between the Bell 206B and AW139 produced several important findings. Plot 8 demonstrated that despite operating at a significantly lower RPM, the AW139 generates substantially more total lift than the Bell 206B at all comparable operating points — a direct consequence of its larger rotor radius and higher blade count.</w:t>
      </w:r>
    </w:p>
    <w:p>
      <w:pPr>
        <w:spacing w:after="40" w:before="120"/>
        <w:jc w:val="center"/>
      </w:pPr>
      <w:r>
        <w:drawing>
          <wp:inline distT="0" distB="0" distL="0" distR="0">
            <wp:extent cx="3619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19500" cy="3238500"/>
                    </a:xfrm>
                    <a:prstGeom prst="rect">
                      <a:avLst/>
                    </a:prstGeom>
                  </pic:spPr>
                </pic:pic>
              </a:graphicData>
            </a:graphic>
          </wp:inline>
        </w:drawing>
      </w:r>
    </w:p>
    <w:p>
      <w:pPr>
        <w:spacing w:after="120" w:before="0"/>
        <w:jc w:val="center"/>
      </w:pPr>
      <w:r>
        <w:rPr>
          <w:rFonts w:ascii="Calibri" w:cs="Calibri" w:eastAsia="Calibri" w:hAnsi="Calibri"/>
          <w:i/>
          <w:iCs/>
          <w:color w:val="555555"/>
          <w:sz w:val="18"/>
          <w:szCs w:val="18"/>
        </w:rPr>
        <w:t xml:space="preserve">Plot 8 — Rotor Lift vs RPM | Bell 206B vs AW139 | Pitch = 8°</w:t>
      </w:r>
    </w:p>
    <w:p>
      <w:pPr>
        <w:spacing w:after="140" w:before="0"/>
        <w:jc w:val="both"/>
      </w:pPr>
      <w:r>
        <w:rPr>
          <w:rFonts w:ascii="Calibri" w:cs="Calibri" w:eastAsia="Calibri" w:hAnsi="Calibri"/>
          <w:b w:val="false"/>
          <w:bCs w:val="false"/>
          <w:color w:val="222222"/>
          <w:sz w:val="22"/>
          <w:szCs w:val="22"/>
        </w:rPr>
        <w:t xml:space="preserve">The cruise-point lift values confirmed that both aircraft maintain a positive lift margin above their respective MTOWs at normal operating conditions, validating the model against real-world performance expectations. The AW139 generates approximately 4.4 times more total rotor lift than the Bell 206B, closely corresponding to its 4.4× greater MTOW ratio — indicating aerodynamic scaling consistency.</w:t>
      </w:r>
    </w:p>
    <w:p>
      <w:pPr>
        <w:spacing w:after="140" w:before="0"/>
        <w:jc w:val="both"/>
      </w:pPr>
      <w:r>
        <w:rPr>
          <w:rFonts w:ascii="Calibri" w:cs="Calibri" w:eastAsia="Calibri" w:hAnsi="Calibri"/>
          <w:b w:val="false"/>
          <w:bCs w:val="false"/>
          <w:color w:val="222222"/>
          <w:sz w:val="22"/>
          <w:szCs w:val="22"/>
        </w:rPr>
        <w:t xml:space="preserve">The spanwise lift distribution comparison (Plot 10) — presented on a normalised 0–100% span axis for direct comparison — revealed that the AW139's longer, wider blades generate significantly higher lift per unit span at equivalent span positions, while showing the same characteristic tip-dominant distribution pattern as the Bell 206B.</w:t>
      </w:r>
    </w:p>
    <w:p>
      <w:pPr>
        <w:spacing w:after="40" w:before="120"/>
        <w:jc w:val="center"/>
      </w:pPr>
      <w:r>
        <w:drawing>
          <wp:inline distT="0" distB="0" distL="0" distR="0">
            <wp:extent cx="4000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3238500"/>
                    </a:xfrm>
                    <a:prstGeom prst="rect">
                      <a:avLst/>
                    </a:prstGeom>
                  </pic:spPr>
                </pic:pic>
              </a:graphicData>
            </a:graphic>
          </wp:inline>
        </w:drawing>
      </w:r>
    </w:p>
    <w:p>
      <w:pPr>
        <w:spacing w:after="120" w:before="0"/>
        <w:jc w:val="center"/>
      </w:pPr>
      <w:r>
        <w:rPr>
          <w:rFonts w:ascii="Calibri" w:cs="Calibri" w:eastAsia="Calibri" w:hAnsi="Calibri"/>
          <w:i/>
          <w:iCs/>
          <w:color w:val="555555"/>
          <w:sz w:val="18"/>
          <w:szCs w:val="18"/>
        </w:rPr>
        <w:t xml:space="preserve">Plot 10 — Spanwise Lift Distribution | Bell 206B vs AW139 | 8° Pitch</w:t>
      </w:r>
    </w:p>
    <w:p>
      <w:pPr>
        <w:pStyle w:val="Heading2"/>
        <w:spacing w:after="80" w:before="240"/>
      </w:pPr>
      <w:r>
        <w:rPr>
          <w:rFonts w:ascii="Calibri" w:cs="Calibri" w:eastAsia="Calibri" w:hAnsi="Calibri"/>
          <w:b/>
          <w:bCs/>
          <w:color w:val="0B5E6E"/>
          <w:sz w:val="26"/>
          <w:szCs w:val="26"/>
        </w:rPr>
        <w:t xml:space="preserve">4.4 Phase 2C — Power Analysis and Figure of Merit</w:t>
      </w:r>
    </w:p>
    <w:p>
      <w:pPr>
        <w:spacing w:after="140" w:before="0"/>
        <w:jc w:val="both"/>
      </w:pPr>
      <w:r>
        <w:rPr>
          <w:rFonts w:ascii="Calibri" w:cs="Calibri" w:eastAsia="Calibri" w:hAnsi="Calibri"/>
          <w:b w:val="false"/>
          <w:bCs w:val="false"/>
          <w:color w:val="222222"/>
          <w:sz w:val="22"/>
          <w:szCs w:val="22"/>
        </w:rPr>
        <w:t xml:space="preserve">The engine power analysis produced the most significant engineering findings of the project. The hover power requirements at MTOW were computed for both aircraft: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80"/>
        <w:gridCol w:w="2780"/>
      </w:tblGrid>
      <w:tr>
        <w:trPr>
          <w:tblHeader/>
        </w:trPr>
        <w:tc>
          <w:tcPr>
            <w:tcW w:type="dxa" w:w="3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Power Component</w:t>
            </w:r>
          </w:p>
        </w:tc>
        <w:tc>
          <w:tcPr>
            <w:tcW w:type="dxa" w:w="27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Bell 206B (kW)</w:t>
            </w:r>
          </w:p>
        </w:tc>
        <w:tc>
          <w:tcPr>
            <w:tcW w:type="dxa" w:w="27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AW139 (kW)</w:t>
            </w:r>
          </w:p>
        </w:tc>
      </w:tr>
      <w:tr>
        <w:tc>
          <w:tcPr>
            <w:tcW w:type="dxa" w:w="380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pPr>
              <w:jc w:val="left"/>
            </w:pPr>
            <w:r>
              <w:rPr>
                <w:rFonts w:ascii="Calibri" w:cs="Calibri" w:eastAsia="Calibri" w:hAnsi="Calibri"/>
                <w:b/>
                <w:bCs/>
                <w:color w:val="222222"/>
                <w:sz w:val="20"/>
                <w:szCs w:val="20"/>
              </w:rPr>
              <w:t xml:space="preserve">Induced power (Pi)</w:t>
            </w:r>
          </w:p>
        </w:tc>
        <w:tc>
          <w:tcPr>
            <w:tcW w:type="dxa" w:w="278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pPr>
              <w:jc w:val="center"/>
            </w:pPr>
            <w:r>
              <w:rPr>
                <w:rFonts w:ascii="Calibri" w:cs="Calibri" w:eastAsia="Calibri" w:hAnsi="Calibri"/>
                <w:b w:val="false"/>
                <w:bCs w:val="false"/>
                <w:color w:val="222222"/>
                <w:sz w:val="20"/>
                <w:szCs w:val="20"/>
              </w:rPr>
              <w:t xml:space="preserve">~58.2</w:t>
            </w:r>
          </w:p>
        </w:tc>
        <w:tc>
          <w:tcPr>
            <w:tcW w:type="dxa" w:w="278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pPr>
              <w:jc w:val="center"/>
            </w:pPr>
            <w:r>
              <w:rPr>
                <w:rFonts w:ascii="Calibri" w:cs="Calibri" w:eastAsia="Calibri" w:hAnsi="Calibri"/>
                <w:b w:val="false"/>
                <w:bCs w:val="false"/>
                <w:color w:val="222222"/>
                <w:sz w:val="20"/>
                <w:szCs w:val="20"/>
              </w:rPr>
              <w:t xml:space="preserve">~198.4</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Calibri" w:cs="Calibri" w:eastAsia="Calibri" w:hAnsi="Calibri"/>
                <w:b/>
                <w:bCs/>
                <w:color w:val="222222"/>
                <w:sz w:val="20"/>
                <w:szCs w:val="20"/>
              </w:rPr>
              <w:t xml:space="preserve">Profile power (P0)</w:t>
            </w:r>
          </w:p>
        </w:tc>
        <w:tc>
          <w:tcPr>
            <w:tcW w:type="dxa" w:w="27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libri" w:cs="Calibri" w:eastAsia="Calibri" w:hAnsi="Calibri"/>
                <w:b w:val="false"/>
                <w:bCs w:val="false"/>
                <w:color w:val="222222"/>
                <w:sz w:val="20"/>
                <w:szCs w:val="20"/>
              </w:rPr>
              <w:t xml:space="preserve">~14.6</w:t>
            </w:r>
          </w:p>
        </w:tc>
        <w:tc>
          <w:tcPr>
            <w:tcW w:type="dxa" w:w="27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libri" w:cs="Calibri" w:eastAsia="Calibri" w:hAnsi="Calibri"/>
                <w:b w:val="false"/>
                <w:bCs w:val="false"/>
                <w:color w:val="222222"/>
                <w:sz w:val="20"/>
                <w:szCs w:val="20"/>
              </w:rPr>
              <w:t xml:space="preserve">~89.3</w:t>
            </w:r>
          </w:p>
        </w:tc>
      </w:tr>
      <w:tr>
        <w:tc>
          <w:tcPr>
            <w:tcW w:type="dxa" w:w="380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pPr>
              <w:jc w:val="left"/>
            </w:pPr>
            <w:r>
              <w:rPr>
                <w:rFonts w:ascii="Calibri" w:cs="Calibri" w:eastAsia="Calibri" w:hAnsi="Calibri"/>
                <w:b/>
                <w:bCs/>
                <w:color w:val="222222"/>
                <w:sz w:val="20"/>
                <w:szCs w:val="20"/>
              </w:rPr>
              <w:t xml:space="preserve">Total power required</w:t>
            </w:r>
          </w:p>
        </w:tc>
        <w:tc>
          <w:tcPr>
            <w:tcW w:type="dxa" w:w="278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pPr>
              <w:jc w:val="center"/>
            </w:pPr>
            <w:r>
              <w:rPr>
                <w:rFonts w:ascii="Calibri" w:cs="Calibri" w:eastAsia="Calibri" w:hAnsi="Calibri"/>
                <w:b w:val="false"/>
                <w:bCs w:val="false"/>
                <w:color w:val="222222"/>
                <w:sz w:val="20"/>
                <w:szCs w:val="20"/>
              </w:rPr>
              <w:t xml:space="preserve">~72.8</w:t>
            </w:r>
          </w:p>
        </w:tc>
        <w:tc>
          <w:tcPr>
            <w:tcW w:type="dxa" w:w="278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pPr>
              <w:jc w:val="center"/>
            </w:pPr>
            <w:r>
              <w:rPr>
                <w:rFonts w:ascii="Calibri" w:cs="Calibri" w:eastAsia="Calibri" w:hAnsi="Calibri"/>
                <w:b w:val="false"/>
                <w:bCs w:val="false"/>
                <w:color w:val="222222"/>
                <w:sz w:val="20"/>
                <w:szCs w:val="20"/>
              </w:rPr>
              <w:t xml:space="preserve">~287.7</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Calibri" w:cs="Calibri" w:eastAsia="Calibri" w:hAnsi="Calibri"/>
                <w:b/>
                <w:bCs/>
                <w:color w:val="222222"/>
                <w:sz w:val="20"/>
                <w:szCs w:val="20"/>
              </w:rPr>
              <w:t xml:space="preserve">Power per kg MTOW (kW/kg)</w:t>
            </w:r>
          </w:p>
        </w:tc>
        <w:tc>
          <w:tcPr>
            <w:tcW w:type="dxa" w:w="27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libri" w:cs="Calibri" w:eastAsia="Calibri" w:hAnsi="Calibri"/>
                <w:b w:val="false"/>
                <w:bCs w:val="false"/>
                <w:color w:val="222222"/>
                <w:sz w:val="20"/>
                <w:szCs w:val="20"/>
              </w:rPr>
              <w:t xml:space="preserve">~0.050</w:t>
            </w:r>
          </w:p>
        </w:tc>
        <w:tc>
          <w:tcPr>
            <w:tcW w:type="dxa" w:w="27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libri" w:cs="Calibri" w:eastAsia="Calibri" w:hAnsi="Calibri"/>
                <w:b w:val="false"/>
                <w:bCs w:val="false"/>
                <w:color w:val="222222"/>
                <w:sz w:val="20"/>
                <w:szCs w:val="20"/>
              </w:rPr>
              <w:t xml:space="preserve">~0.045</w:t>
            </w:r>
          </w:p>
        </w:tc>
      </w:tr>
      <w:tr>
        <w:tc>
          <w:tcPr>
            <w:tcW w:type="dxa" w:w="380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pPr>
              <w:jc w:val="left"/>
            </w:pPr>
            <w:r>
              <w:rPr>
                <w:rFonts w:ascii="Calibri" w:cs="Calibri" w:eastAsia="Calibri" w:hAnsi="Calibri"/>
                <w:b/>
                <w:bCs/>
                <w:color w:val="222222"/>
                <w:sz w:val="20"/>
                <w:szCs w:val="20"/>
              </w:rPr>
              <w:t xml:space="preserve">Figure of Merit (FM)</w:t>
            </w:r>
          </w:p>
        </w:tc>
        <w:tc>
          <w:tcPr>
            <w:tcW w:type="dxa" w:w="278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pPr>
              <w:jc w:val="center"/>
            </w:pPr>
            <w:r>
              <w:rPr>
                <w:rFonts w:ascii="Calibri" w:cs="Calibri" w:eastAsia="Calibri" w:hAnsi="Calibri"/>
                <w:b w:val="false"/>
                <w:bCs w:val="false"/>
                <w:color w:val="222222"/>
                <w:sz w:val="20"/>
                <w:szCs w:val="20"/>
              </w:rPr>
              <w:t xml:space="preserve">0.680</w:t>
            </w:r>
          </w:p>
        </w:tc>
        <w:tc>
          <w:tcPr>
            <w:tcW w:type="dxa" w:w="278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pPr>
              <w:jc w:val="center"/>
            </w:pPr>
            <w:r>
              <w:rPr>
                <w:rFonts w:ascii="Calibri" w:cs="Calibri" w:eastAsia="Calibri" w:hAnsi="Calibri"/>
                <w:b w:val="false"/>
                <w:bCs w:val="false"/>
                <w:color w:val="222222"/>
                <w:sz w:val="20"/>
                <w:szCs w:val="20"/>
              </w:rPr>
              <w:t xml:space="preserve">0.780</w:t>
            </w:r>
          </w:p>
        </w:tc>
      </w:tr>
    </w:tbl>
    <w:p>
      <w:pPr>
        <w:spacing w:after="120" w:before="0"/>
      </w:pPr>
      <w:r>
        <w:t xml:space="preserve"/>
      </w:r>
    </w:p>
    <w:p>
      <w:pPr>
        <w:spacing w:after="40" w:before="120"/>
        <w:jc w:val="center"/>
      </w:pPr>
      <w:r>
        <w:drawing>
          <wp:inline distT="0" distB="0" distL="0" distR="0">
            <wp:extent cx="3619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19500" cy="3333750"/>
                    </a:xfrm>
                    <a:prstGeom prst="rect">
                      <a:avLst/>
                    </a:prstGeom>
                  </pic:spPr>
                </pic:pic>
              </a:graphicData>
            </a:graphic>
          </wp:inline>
        </w:drawing>
      </w:r>
    </w:p>
    <w:p>
      <w:pPr>
        <w:spacing w:after="120" w:before="0"/>
        <w:jc w:val="center"/>
      </w:pPr>
      <w:r>
        <w:rPr>
          <w:rFonts w:ascii="Calibri" w:cs="Calibri" w:eastAsia="Calibri" w:hAnsi="Calibri"/>
          <w:i/>
          <w:iCs/>
          <w:color w:val="555555"/>
          <w:sz w:val="18"/>
          <w:szCs w:val="18"/>
        </w:rPr>
        <w:t xml:space="preserve">Plot 13 — Hover Power Required vs Aircraft Weight Fraction</w:t>
      </w:r>
    </w:p>
    <w:p>
      <w:pPr>
        <w:spacing w:after="140" w:before="0"/>
        <w:jc w:val="both"/>
      </w:pPr>
      <w:r>
        <w:rPr>
          <w:rFonts w:ascii="Calibri" w:cs="Calibri" w:eastAsia="Calibri" w:hAnsi="Calibri"/>
          <w:b w:val="false"/>
          <w:bCs w:val="false"/>
          <w:color w:val="222222"/>
          <w:sz w:val="22"/>
          <w:szCs w:val="22"/>
        </w:rPr>
        <w:t xml:space="preserve">The power-per-kilogram comparison reveals that the AW139 requires less power per unit of lifted weight than the Bell 206B (0.045 vs 0.050 kW/kg), despite its much greater absolute power requirement. This confirms the well-established principle in rotorcraft design that larger rotors are inherently more power-efficient per unit thrust, due to the reduced disc loading (thrust per unit disc area).</w:t>
      </w:r>
    </w:p>
    <w:p>
      <w:pPr>
        <w:spacing w:after="140" w:before="0"/>
        <w:jc w:val="both"/>
      </w:pPr>
      <w:r>
        <w:rPr>
          <w:rFonts w:ascii="Calibri" w:cs="Calibri" w:eastAsia="Calibri" w:hAnsi="Calibri"/>
          <w:b w:val="false"/>
          <w:bCs w:val="false"/>
          <w:color w:val="222222"/>
          <w:sz w:val="22"/>
          <w:szCs w:val="22"/>
        </w:rPr>
        <w:t xml:space="preserve">The power versus weight fraction analysis (Plot 13) demonstrated that power requirements decrease non-linearly as aircraft weight reduces during flight — at 70% MTOW, the power required drops to approximately 59% of the hover-at-MTOW value for both aircraft. This relationship is important for maintenance engineers interpreting engine performance data: post-maintenance engine power checks must account for the aircraft's actual weight at the time of testing.</w:t>
      </w:r>
    </w:p>
    <w:p>
      <w:r>
        <w:br w:type="page"/>
      </w:r>
    </w:p>
    <w:p>
      <w:pPr>
        <w:pStyle w:val="Heading1"/>
        <w:pBdr>
          <w:bottom w:val="single" w:color="1A3A5C" w:sz="6"/>
        </w:pBdr>
        <w:spacing w:after="120" w:before="320"/>
      </w:pPr>
      <w:r>
        <w:rPr>
          <w:rFonts w:ascii="Calibri" w:cs="Calibri" w:eastAsia="Calibri" w:hAnsi="Calibri"/>
          <w:b/>
          <w:bCs/>
          <w:color w:val="1A3A5C"/>
          <w:sz w:val="32"/>
          <w:szCs w:val="32"/>
        </w:rPr>
        <w:t xml:space="preserve">5. Key Findings</w:t>
      </w:r>
    </w:p>
    <w:p>
      <w:pPr>
        <w:pStyle w:val="Heading2"/>
        <w:spacing w:after="80" w:before="240"/>
      </w:pPr>
      <w:r>
        <w:rPr>
          <w:rFonts w:ascii="Calibri" w:cs="Calibri" w:eastAsia="Calibri" w:hAnsi="Calibri"/>
          <w:b/>
          <w:bCs/>
          <w:color w:val="0B5E6E"/>
          <w:sz w:val="26"/>
          <w:szCs w:val="26"/>
        </w:rPr>
        <w:t xml:space="preserve">5.1 Figure of Merit Analysis</w:t>
      </w:r>
    </w:p>
    <w:p>
      <w:pPr>
        <w:spacing w:after="140" w:before="0"/>
        <w:jc w:val="both"/>
      </w:pPr>
      <w:r>
        <w:rPr>
          <w:rFonts w:ascii="Calibri" w:cs="Calibri" w:eastAsia="Calibri" w:hAnsi="Calibri"/>
          <w:b w:val="false"/>
          <w:bCs w:val="false"/>
          <w:color w:val="222222"/>
          <w:sz w:val="22"/>
          <w:szCs w:val="22"/>
        </w:rPr>
        <w:t xml:space="preserve">The Figure of Merit results represent the most significant engineering output of this study: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3A5C" w:sz="18"/>
              <w:bottom w:val="none" w:color="FFFFFF" w:sz="0"/>
              <w:right w:val="none" w:color="FFFFFF" w:sz="0"/>
            </w:tcBorders>
            <w:shd w:fill="EEF3F8" w:val="clear"/>
            <w:tcMar>
              <w:top w:type="dxa" w:w="100"/>
              <w:left w:type="dxa" w:w="200"/>
              <w:bottom w:type="dxa" w:w="100"/>
              <w:right w:type="dxa" w:w="160"/>
            </w:tcMar>
          </w:tcPr>
          <w:p>
            <w:pPr>
              <w:spacing w:after="40" w:before="0"/>
            </w:pPr>
            <w:r>
              <w:rPr>
                <w:rFonts w:ascii="Calibri" w:cs="Calibri" w:eastAsia="Calibri" w:hAnsi="Calibri"/>
                <w:b/>
                <w:bCs/>
                <w:color w:val="1A3A5C"/>
                <w:sz w:val="20"/>
                <w:szCs w:val="20"/>
              </w:rPr>
              <w:t xml:space="preserve">Bell 206B JetRanger — FM = 0.680</w:t>
            </w:r>
          </w:p>
          <w:p>
            <w:pPr>
              <w:spacing w:after="0" w:before="0"/>
            </w:pPr>
            <w:r>
              <w:rPr>
                <w:rFonts w:ascii="Calibri" w:cs="Calibri" w:eastAsia="Calibri" w:hAnsi="Calibri"/>
                <w:i/>
                <w:iCs/>
                <w:color w:val="222222"/>
                <w:sz w:val="21"/>
                <w:szCs w:val="21"/>
              </w:rPr>
              <w:t xml:space="preserve">Below the 0.75 threshold considered excellent for modern rotors. The lower FM reflects the inherent aerodynamic penalty of a two-bladed rotor with smaller disc area and higher disc loading. At 68.0% efficiency, approximately 32% of engine power is lost to aerodynamic inefficiency.</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3A5C" w:sz="18"/>
              <w:bottom w:val="none" w:color="FFFFFF" w:sz="0"/>
              <w:right w:val="none" w:color="FFFFFF" w:sz="0"/>
            </w:tcBorders>
            <w:shd w:fill="EEF3F8" w:val="clear"/>
            <w:tcMar>
              <w:top w:type="dxa" w:w="100"/>
              <w:left w:type="dxa" w:w="200"/>
              <w:bottom w:type="dxa" w:w="100"/>
              <w:right w:type="dxa" w:w="160"/>
            </w:tcMar>
          </w:tcPr>
          <w:p>
            <w:pPr>
              <w:spacing w:after="40" w:before="0"/>
            </w:pPr>
            <w:r>
              <w:rPr>
                <w:rFonts w:ascii="Calibri" w:cs="Calibri" w:eastAsia="Calibri" w:hAnsi="Calibri"/>
                <w:b/>
                <w:bCs/>
                <w:color w:val="1A3A5C"/>
                <w:sz w:val="20"/>
                <w:szCs w:val="20"/>
              </w:rPr>
              <w:t xml:space="preserve">AgustaWestland AW139 — FM = 0.780</w:t>
            </w:r>
          </w:p>
          <w:p>
            <w:pPr>
              <w:spacing w:after="0" w:before="0"/>
            </w:pPr>
            <w:r>
              <w:rPr>
                <w:rFonts w:ascii="Calibri" w:cs="Calibri" w:eastAsia="Calibri" w:hAnsi="Calibri"/>
                <w:i/>
                <w:iCs/>
                <w:color w:val="222222"/>
                <w:sz w:val="21"/>
                <w:szCs w:val="21"/>
              </w:rPr>
              <w:t xml:space="preserve">Above the 0.75 threshold — represents excellent rotor design for a heavy offshore helicopter. The five-bladed configuration, larger disc area, and optimised solidity combine to achieve 78% power efficiency, meaning only 22% of engine power is wasted aerodynamically.</w:t>
            </w:r>
          </w:p>
        </w:tc>
      </w:tr>
    </w:tbl>
    <w:p>
      <w:pPr>
        <w:spacing w:after="120" w:before="0"/>
      </w:pPr>
      <w:r>
        <w:t xml:space="preserve"/>
      </w:r>
    </w:p>
    <w:p>
      <w:pPr>
        <w:spacing w:after="140" w:before="0"/>
        <w:jc w:val="both"/>
      </w:pPr>
      <w:r>
        <w:rPr>
          <w:rFonts w:ascii="Calibri" w:cs="Calibri" w:eastAsia="Calibri" w:hAnsi="Calibri"/>
          <w:b w:val="false"/>
          <w:bCs w:val="false"/>
          <w:color w:val="222222"/>
          <w:sz w:val="22"/>
          <w:szCs w:val="22"/>
        </w:rPr>
        <w:t xml:space="preserve">The FM differential of 0.100 between the two aircraft is significant. This difference is attributable to three primary design factors:</w:t>
      </w:r>
    </w:p>
    <w:p>
      <w:pPr>
        <w:pStyle w:val="ListParagraph"/>
        <w:numPr>
          <w:ilvl w:val="0"/>
          <w:numId w:val="2"/>
        </w:numPr>
        <w:spacing w:after="40" w:before="40"/>
      </w:pPr>
      <w:r>
        <w:rPr>
          <w:rFonts w:ascii="Calibri" w:cs="Calibri" w:eastAsia="Calibri" w:hAnsi="Calibri"/>
          <w:color w:val="222222"/>
          <w:sz w:val="22"/>
          <w:szCs w:val="22"/>
        </w:rPr>
        <w:t xml:space="preserve">Disc loading: The AW139's larger disc area (167.42 m² vs 81.07 m²) reduces disc loading per unit thrust, requiring lower induced velocity and therefore less induced power loss.</w:t>
      </w:r>
    </w:p>
    <w:p>
      <w:pPr>
        <w:pStyle w:val="ListParagraph"/>
        <w:numPr>
          <w:ilvl w:val="0"/>
          <w:numId w:val="2"/>
        </w:numPr>
        <w:spacing w:after="40" w:before="40"/>
      </w:pPr>
      <w:r>
        <w:rPr>
          <w:rFonts w:ascii="Calibri" w:cs="Calibri" w:eastAsia="Calibri" w:hAnsi="Calibri"/>
          <w:color w:val="222222"/>
          <w:sz w:val="22"/>
          <w:szCs w:val="22"/>
        </w:rPr>
        <w:t xml:space="preserve">Blade count and solidity: Five blades provide greater solidity (σ = 0.0874 vs 0.0414), distributing lift across more blade area and reducing individual blade loading.</w:t>
      </w:r>
    </w:p>
    <w:p>
      <w:pPr>
        <w:pStyle w:val="ListParagraph"/>
        <w:numPr>
          <w:ilvl w:val="0"/>
          <w:numId w:val="2"/>
        </w:numPr>
        <w:spacing w:after="40" w:before="40"/>
      </w:pPr>
      <w:r>
        <w:rPr>
          <w:rFonts w:ascii="Calibri" w:cs="Calibri" w:eastAsia="Calibri" w:hAnsi="Calibri"/>
          <w:color w:val="222222"/>
          <w:sz w:val="22"/>
          <w:szCs w:val="22"/>
        </w:rPr>
        <w:t xml:space="preserve">Profile drag optimisation: The AW139's lower Cd0 (0.010 vs 0.012) reflects more advanced aerofoil design and surface finish standards.</w:t>
      </w:r>
    </w:p>
    <w:p>
      <w:pPr>
        <w:pStyle w:val="Heading2"/>
        <w:spacing w:after="80" w:before="240"/>
      </w:pPr>
      <w:r>
        <w:rPr>
          <w:rFonts w:ascii="Calibri" w:cs="Calibri" w:eastAsia="Calibri" w:hAnsi="Calibri"/>
          <w:b/>
          <w:bCs/>
          <w:color w:val="0B5E6E"/>
          <w:sz w:val="26"/>
          <w:szCs w:val="26"/>
        </w:rPr>
        <w:t xml:space="preserve">5.2 Maintenance Engineering Implications</w:t>
      </w:r>
    </w:p>
    <w:p>
      <w:pPr>
        <w:spacing w:after="140" w:before="0"/>
        <w:jc w:val="both"/>
      </w:pPr>
      <w:r>
        <w:rPr>
          <w:rFonts w:ascii="Calibri" w:cs="Calibri" w:eastAsia="Calibri" w:hAnsi="Calibri"/>
          <w:b w:val="false"/>
          <w:bCs w:val="false"/>
          <w:color w:val="222222"/>
          <w:sz w:val="22"/>
          <w:szCs w:val="22"/>
        </w:rPr>
        <w:t xml:space="preserve">From an Aircraft Maintenance Engineering perspective, the results of this analysis have several practical implications:</w:t>
      </w:r>
    </w:p>
    <w:p>
      <w:pPr>
        <w:pStyle w:val="ListParagraph"/>
        <w:numPr>
          <w:ilvl w:val="0"/>
          <w:numId w:val="2"/>
        </w:numPr>
        <w:spacing w:after="40" w:before="40"/>
      </w:pPr>
      <w:r>
        <w:rPr>
          <w:rFonts w:ascii="Calibri" w:cs="Calibri" w:eastAsia="Calibri" w:hAnsi="Calibri"/>
          <w:color w:val="222222"/>
          <w:sz w:val="22"/>
          <w:szCs w:val="22"/>
        </w:rPr>
        <w:t xml:space="preserve">Blade tip condition criticality: The spanwise lift distribution results confirm that blade tip damage has a disproportionate impact on rotor performance. Maintenance inspection programmes should prioritise tip leading-edge condition, erosion protection, and tip cap integrity.</w:t>
      </w:r>
    </w:p>
    <w:p>
      <w:pPr>
        <w:pStyle w:val="ListParagraph"/>
        <w:numPr>
          <w:ilvl w:val="0"/>
          <w:numId w:val="2"/>
        </w:numPr>
        <w:spacing w:after="40" w:before="40"/>
      </w:pPr>
      <w:r>
        <w:rPr>
          <w:rFonts w:ascii="Calibri" w:cs="Calibri" w:eastAsia="Calibri" w:hAnsi="Calibri"/>
          <w:color w:val="222222"/>
          <w:sz w:val="22"/>
          <w:szCs w:val="22"/>
        </w:rPr>
        <w:t xml:space="preserve">Figure of Merit as a condition indicator: A measurable decline in FM from the baseline values established in this report (0.680 for Bell 206B, 0.780 for AW139) would indicate aerodynamic degradation — potentially due to blade surface contamination, erosion, or deformation. FM monitoring, enabled by HUMS data, provides an early warning of rotor performance degradation before it becomes a safety concern.</w:t>
      </w:r>
    </w:p>
    <w:p>
      <w:pPr>
        <w:pStyle w:val="ListParagraph"/>
        <w:numPr>
          <w:ilvl w:val="0"/>
          <w:numId w:val="2"/>
        </w:numPr>
        <w:spacing w:after="40" w:before="40"/>
      </w:pPr>
      <w:r>
        <w:rPr>
          <w:rFonts w:ascii="Calibri" w:cs="Calibri" w:eastAsia="Calibri" w:hAnsi="Calibri"/>
          <w:color w:val="222222"/>
          <w:sz w:val="22"/>
          <w:szCs w:val="22"/>
        </w:rPr>
        <w:t xml:space="preserve">Engine power trend monitoring: The power versus weight fraction curves (Plot 13) provide reference baselines for engine performance trend monitoring. Deviation from these curves during routine power checks may indicate engine degradation, transmission losses, or rotor system inefficiency.</w:t>
      </w:r>
    </w:p>
    <w:p>
      <w:pPr>
        <w:pStyle w:val="ListParagraph"/>
        <w:numPr>
          <w:ilvl w:val="0"/>
          <w:numId w:val="2"/>
        </w:numPr>
        <w:spacing w:after="40" w:before="40"/>
      </w:pPr>
      <w:r>
        <w:rPr>
          <w:rFonts w:ascii="Calibri" w:cs="Calibri" w:eastAsia="Calibri" w:hAnsi="Calibri"/>
          <w:color w:val="222222"/>
          <w:sz w:val="22"/>
          <w:szCs w:val="22"/>
        </w:rPr>
        <w:t xml:space="preserve">RPM operating range: The power versus RPM curves (Plot 11) confirm that both aircraft should be operated at the upper end of their approved RPM ranges for maximum efficiency in hover — information directly relevant to maintenance test flight procedures following rotor system maintenance.</w:t>
      </w:r>
    </w:p>
    <w:p>
      <w:r>
        <w:br w:type="page"/>
      </w:r>
    </w:p>
    <w:p>
      <w:pPr>
        <w:pStyle w:val="Heading1"/>
        <w:pBdr>
          <w:bottom w:val="single" w:color="1A3A5C" w:sz="6"/>
        </w:pBdr>
        <w:spacing w:after="120" w:before="320"/>
      </w:pPr>
      <w:r>
        <w:rPr>
          <w:rFonts w:ascii="Calibri" w:cs="Calibri" w:eastAsia="Calibri" w:hAnsi="Calibri"/>
          <w:b/>
          <w:bCs/>
          <w:color w:val="1A3A5C"/>
          <w:sz w:val="32"/>
          <w:szCs w:val="32"/>
        </w:rPr>
        <w:t xml:space="preserve">6. Conclusion</w:t>
      </w:r>
    </w:p>
    <w:p>
      <w:pPr>
        <w:spacing w:after="140" w:before="0"/>
        <w:jc w:val="both"/>
      </w:pPr>
      <w:r>
        <w:rPr>
          <w:rFonts w:ascii="Calibri" w:cs="Calibri" w:eastAsia="Calibri" w:hAnsi="Calibri"/>
          <w:b w:val="false"/>
          <w:bCs w:val="false"/>
          <w:color w:val="222222"/>
          <w:sz w:val="22"/>
          <w:szCs w:val="22"/>
        </w:rPr>
        <w:t xml:space="preserve">This study successfully developed and validated a four-phase computational aerodynamic model of helicopter rotor systems using Blade Element Theory and Actuator Disc Theory, implemented entirely in MATLAB. The model progressed from a baseline linear lift formulation through stall modelling to a complete power and efficiency analysis of two operationally relevant aircraft types.</w:t>
      </w:r>
    </w:p>
    <w:p>
      <w:pPr>
        <w:spacing w:after="140" w:before="0"/>
        <w:jc w:val="both"/>
      </w:pPr>
      <w:r>
        <w:rPr>
          <w:rFonts w:ascii="Calibri" w:cs="Calibri" w:eastAsia="Calibri" w:hAnsi="Calibri"/>
          <w:b w:val="false"/>
          <w:bCs w:val="false"/>
          <w:color w:val="222222"/>
          <w:sz w:val="22"/>
          <w:szCs w:val="22"/>
        </w:rPr>
        <w:t xml:space="preserve">The AgustaWestland AW139 demonstrated superior rotor efficiency (FM = 0.780) compared to the Bell 206B JetRanger (FM = 0.680), attributed primarily to its larger rotor disc area, five-blade configuration, and higher solidity. Despite requiring significantly more total power in absolute terms due to its greater MTOW, the AW139 converts a greater proportion of engine power into useful thrust — confirming that disc loading and blade geometry are the dominant factors governing rotary-wing aerodynamic efficiency.</w:t>
      </w:r>
    </w:p>
    <w:p>
      <w:pPr>
        <w:spacing w:after="140" w:before="0"/>
        <w:jc w:val="both"/>
      </w:pPr>
      <w:r>
        <w:rPr>
          <w:rFonts w:ascii="Calibri" w:cs="Calibri" w:eastAsia="Calibri" w:hAnsi="Calibri"/>
          <w:b w:val="false"/>
          <w:bCs w:val="false"/>
          <w:color w:val="222222"/>
          <w:sz w:val="22"/>
          <w:szCs w:val="22"/>
        </w:rPr>
        <w:t xml:space="preserve">The stall model validation revealed that linear aerodynamic assumptions — commonly applied in introductory analyses — overestimate rotor lift by up to 67% above the stall angle. Physically accurate modelling requires the non-linear stall representation implemented in Phase 2A.</w:t>
      </w:r>
    </w:p>
    <w:p>
      <w:pPr>
        <w:spacing w:after="140" w:before="0"/>
        <w:jc w:val="both"/>
      </w:pPr>
      <w:r>
        <w:rPr>
          <w:rFonts w:ascii="Calibri" w:cs="Calibri" w:eastAsia="Calibri" w:hAnsi="Calibri"/>
          <w:b w:val="false"/>
          <w:bCs w:val="false"/>
          <w:color w:val="222222"/>
          <w:sz w:val="22"/>
          <w:szCs w:val="22"/>
        </w:rPr>
        <w:t xml:space="preserve">From a maintenance engineering perspective, the results provide quantitative baseline data for rotor performance monitoring, blade inspection prioritisation, and engine power trend analysis — all of direct relevance to the MRO environment in which this analysis is intended to be applied.</w:t>
      </w:r>
    </w:p>
    <w:p>
      <w:pPr>
        <w:pStyle w:val="Heading2"/>
        <w:spacing w:after="80" w:before="240"/>
      </w:pPr>
      <w:r>
        <w:rPr>
          <w:rFonts w:ascii="Calibri" w:cs="Calibri" w:eastAsia="Calibri" w:hAnsi="Calibri"/>
          <w:b/>
          <w:bCs/>
          <w:color w:val="0B5E6E"/>
          <w:sz w:val="26"/>
          <w:szCs w:val="26"/>
        </w:rPr>
        <w:t xml:space="preserve">6.1 Recommendations for Future Work</w:t>
      </w:r>
    </w:p>
    <w:p>
      <w:pPr>
        <w:pStyle w:val="ListParagraph"/>
        <w:numPr>
          <w:ilvl w:val="0"/>
          <w:numId w:val="2"/>
        </w:numPr>
        <w:spacing w:after="40" w:before="40"/>
      </w:pPr>
      <w:r>
        <w:rPr>
          <w:rFonts w:ascii="Calibri" w:cs="Calibri" w:eastAsia="Calibri" w:hAnsi="Calibri"/>
          <w:color w:val="222222"/>
          <w:sz w:val="22"/>
          <w:szCs w:val="22"/>
        </w:rPr>
        <w:t xml:space="preserve">Blade twist modelling: Incorporate geometric and aerodynamic twist distributions along the blade span to improve accuracy, particularly for the AW139's advanced blade design.</w:t>
      </w:r>
    </w:p>
    <w:p>
      <w:pPr>
        <w:pStyle w:val="ListParagraph"/>
        <w:numPr>
          <w:ilvl w:val="0"/>
          <w:numId w:val="2"/>
        </w:numPr>
        <w:spacing w:after="40" w:before="40"/>
      </w:pPr>
      <w:r>
        <w:rPr>
          <w:rFonts w:ascii="Calibri" w:cs="Calibri" w:eastAsia="Calibri" w:hAnsi="Calibri"/>
          <w:color w:val="222222"/>
          <w:sz w:val="22"/>
          <w:szCs w:val="22"/>
        </w:rPr>
        <w:t xml:space="preserve">Forward flight extension: Extend the hover model to forward flight, incorporating blade flapping, lead-lag, and the asymmetric velocity distribution between advancing and retreating blades.</w:t>
      </w:r>
    </w:p>
    <w:p>
      <w:pPr>
        <w:pStyle w:val="ListParagraph"/>
        <w:numPr>
          <w:ilvl w:val="0"/>
          <w:numId w:val="2"/>
        </w:numPr>
        <w:spacing w:after="40" w:before="40"/>
      </w:pPr>
      <w:r>
        <w:rPr>
          <w:rFonts w:ascii="Calibri" w:cs="Calibri" w:eastAsia="Calibri" w:hAnsi="Calibri"/>
          <w:color w:val="222222"/>
          <w:sz w:val="22"/>
          <w:szCs w:val="22"/>
        </w:rPr>
        <w:t xml:space="preserve">Compressibility effects: Add Prandtl-Glauert correction for tip Mach number effects, which become significant at the Bell 206B's higher tip speeds.</w:t>
      </w:r>
    </w:p>
    <w:p>
      <w:pPr>
        <w:pStyle w:val="ListParagraph"/>
        <w:numPr>
          <w:ilvl w:val="0"/>
          <w:numId w:val="2"/>
        </w:numPr>
        <w:spacing w:after="40" w:before="40"/>
      </w:pPr>
      <w:r>
        <w:rPr>
          <w:rFonts w:ascii="Calibri" w:cs="Calibri" w:eastAsia="Calibri" w:hAnsi="Calibri"/>
          <w:color w:val="222222"/>
          <w:sz w:val="22"/>
          <w:szCs w:val="22"/>
        </w:rPr>
        <w:t xml:space="preserve">Experimental validation: Compare computational results against published manufacturer performance data and flight test records to quantify model accuracy.</w:t>
      </w:r>
    </w:p>
    <w:p>
      <w:pPr>
        <w:pStyle w:val="ListParagraph"/>
        <w:numPr>
          <w:ilvl w:val="0"/>
          <w:numId w:val="2"/>
        </w:numPr>
        <w:spacing w:after="40" w:before="40"/>
      </w:pPr>
      <w:r>
        <w:rPr>
          <w:rFonts w:ascii="Calibri" w:cs="Calibri" w:eastAsia="Calibri" w:hAnsi="Calibri"/>
          <w:color w:val="222222"/>
          <w:sz w:val="22"/>
          <w:szCs w:val="22"/>
        </w:rPr>
        <w:t xml:space="preserve">HUMS integration: Develop a vibration signature model (Phase 3) using the signal processing techniques initiated in the concurrent Signal Processing Onramp project, linking aerodynamic performance to HUMS diagnostic thresholds.</w:t>
      </w:r>
    </w:p>
    <w:p>
      <w:r>
        <w:br w:type="page"/>
      </w:r>
    </w:p>
    <w:p>
      <w:pPr>
        <w:pStyle w:val="Heading1"/>
        <w:pBdr>
          <w:bottom w:val="single" w:color="1A3A5C" w:sz="6"/>
        </w:pBdr>
        <w:spacing w:after="120" w:before="320"/>
      </w:pPr>
      <w:r>
        <w:rPr>
          <w:rFonts w:ascii="Calibri" w:cs="Calibri" w:eastAsia="Calibri" w:hAnsi="Calibri"/>
          <w:b/>
          <w:bCs/>
          <w:color w:val="1A3A5C"/>
          <w:sz w:val="32"/>
          <w:szCs w:val="32"/>
        </w:rPr>
        <w:t xml:space="preserve">7. References</w:t>
      </w:r>
    </w:p>
    <w:p>
      <w:pPr>
        <w:pStyle w:val="ListParagraph"/>
        <w:numPr>
          <w:ilvl w:val="0"/>
          <w:numId w:val="3"/>
        </w:numPr>
        <w:spacing w:after="60" w:before="60"/>
      </w:pPr>
      <w:r>
        <w:rPr>
          <w:rFonts w:ascii="Calibri" w:cs="Calibri" w:eastAsia="Calibri" w:hAnsi="Calibri"/>
          <w:color w:val="222222"/>
          <w:sz w:val="20"/>
          <w:szCs w:val="20"/>
        </w:rPr>
        <w:t xml:space="preserve">Leishman, J.G. (2006). Principles of Helicopter Aerodynamics (2nd ed.). Cambridge University Press.</w:t>
      </w:r>
    </w:p>
    <w:p>
      <w:pPr>
        <w:pStyle w:val="ListParagraph"/>
        <w:numPr>
          <w:ilvl w:val="0"/>
          <w:numId w:val="3"/>
        </w:numPr>
        <w:spacing w:after="60" w:before="60"/>
      </w:pPr>
      <w:r>
        <w:rPr>
          <w:rFonts w:ascii="Calibri" w:cs="Calibri" w:eastAsia="Calibri" w:hAnsi="Calibri"/>
          <w:color w:val="222222"/>
          <w:sz w:val="20"/>
          <w:szCs w:val="20"/>
        </w:rPr>
        <w:t xml:space="preserve">Johnson, W. (2013). Rotorcraft Aeromechanics. Cambridge University Press.</w:t>
      </w:r>
    </w:p>
    <w:p>
      <w:pPr>
        <w:pStyle w:val="ListParagraph"/>
        <w:numPr>
          <w:ilvl w:val="0"/>
          <w:numId w:val="3"/>
        </w:numPr>
        <w:spacing w:after="60" w:before="60"/>
      </w:pPr>
      <w:r>
        <w:rPr>
          <w:rFonts w:ascii="Calibri" w:cs="Calibri" w:eastAsia="Calibri" w:hAnsi="Calibri"/>
          <w:color w:val="222222"/>
          <w:sz w:val="20"/>
          <w:szCs w:val="20"/>
        </w:rPr>
        <w:t xml:space="preserve">Prouty, R.W. (2002). Helicopter Performance, Stability and Control. Krieger Publishing Company.</w:t>
      </w:r>
    </w:p>
    <w:p>
      <w:pPr>
        <w:pStyle w:val="ListParagraph"/>
        <w:numPr>
          <w:ilvl w:val="0"/>
          <w:numId w:val="3"/>
        </w:numPr>
        <w:spacing w:after="60" w:before="60"/>
      </w:pPr>
      <w:r>
        <w:rPr>
          <w:rFonts w:ascii="Calibri" w:cs="Calibri" w:eastAsia="Calibri" w:hAnsi="Calibri"/>
          <w:color w:val="222222"/>
          <w:sz w:val="20"/>
          <w:szCs w:val="20"/>
        </w:rPr>
        <w:t xml:space="preserve">MathWorks (2024). MATLAB R2024b Documentation. The MathWorks Inc., Natick, MA.</w:t>
      </w:r>
    </w:p>
    <w:p>
      <w:pPr>
        <w:pStyle w:val="ListParagraph"/>
        <w:numPr>
          <w:ilvl w:val="0"/>
          <w:numId w:val="3"/>
        </w:numPr>
        <w:spacing w:after="60" w:before="60"/>
      </w:pPr>
      <w:r>
        <w:rPr>
          <w:rFonts w:ascii="Calibri" w:cs="Calibri" w:eastAsia="Calibri" w:hAnsi="Calibri"/>
          <w:color w:val="222222"/>
          <w:sz w:val="20"/>
          <w:szCs w:val="20"/>
        </w:rPr>
        <w:t xml:space="preserve">EASA (2023). Certification Specifications for Large Rotorcraft (CS-29). European Union Aviation Safety Agency.</w:t>
      </w:r>
    </w:p>
    <w:p>
      <w:pPr>
        <w:pStyle w:val="ListParagraph"/>
        <w:numPr>
          <w:ilvl w:val="0"/>
          <w:numId w:val="3"/>
        </w:numPr>
        <w:spacing w:after="60" w:before="60"/>
      </w:pPr>
      <w:r>
        <w:rPr>
          <w:rFonts w:ascii="Calibri" w:cs="Calibri" w:eastAsia="Calibri" w:hAnsi="Calibri"/>
          <w:color w:val="222222"/>
          <w:sz w:val="20"/>
          <w:szCs w:val="20"/>
        </w:rPr>
        <w:t xml:space="preserve">Bell Helicopter Textron (2010). Bell 206B JetRanger III Maintenance Manual. Fort Worth, TX.</w:t>
      </w:r>
    </w:p>
    <w:p>
      <w:pPr>
        <w:pStyle w:val="ListParagraph"/>
        <w:numPr>
          <w:ilvl w:val="0"/>
          <w:numId w:val="3"/>
        </w:numPr>
        <w:spacing w:after="60" w:before="60"/>
      </w:pPr>
      <w:r>
        <w:rPr>
          <w:rFonts w:ascii="Calibri" w:cs="Calibri" w:eastAsia="Calibri" w:hAnsi="Calibri"/>
          <w:color w:val="222222"/>
          <w:sz w:val="20"/>
          <w:szCs w:val="20"/>
        </w:rPr>
        <w:t xml:space="preserve">Leonardo S.p.A. (2020). AW139 Maintenance Manual — Issue 5. Cascina Costa di Samarate, Italy.</w:t>
      </w:r>
    </w:p>
    <w:p>
      <w:pPr>
        <w:pStyle w:val="ListParagraph"/>
        <w:numPr>
          <w:ilvl w:val="0"/>
          <w:numId w:val="3"/>
        </w:numPr>
        <w:spacing w:after="60" w:before="60"/>
      </w:pPr>
      <w:r>
        <w:rPr>
          <w:rFonts w:ascii="Calibri" w:cs="Calibri" w:eastAsia="Calibri" w:hAnsi="Calibri"/>
          <w:color w:val="222222"/>
          <w:sz w:val="20"/>
          <w:szCs w:val="20"/>
        </w:rPr>
        <w:t xml:space="preserve">NCAA (2022). Nigerian Civil Aviation Regulations — Part 9: Air Operators Certification. Nigerian Civil Aviation Authority, Abuja.</w:t>
      </w:r>
    </w:p>
    <w:p>
      <w:r>
        <w:br w:type="page"/>
      </w:r>
    </w:p>
    <w:p>
      <w:pPr>
        <w:pStyle w:val="Heading1"/>
        <w:pBdr>
          <w:bottom w:val="single" w:color="1A3A5C" w:sz="6"/>
        </w:pBdr>
        <w:spacing w:after="120" w:before="320"/>
      </w:pPr>
      <w:r>
        <w:rPr>
          <w:rFonts w:ascii="Calibri" w:cs="Calibri" w:eastAsia="Calibri" w:hAnsi="Calibri"/>
          <w:b/>
          <w:bCs/>
          <w:color w:val="1A3A5C"/>
          <w:sz w:val="32"/>
          <w:szCs w:val="32"/>
        </w:rPr>
        <w:t xml:space="preserve">Appendix A — MATLAB Code Structure</w:t>
      </w:r>
    </w:p>
    <w:p>
      <w:pPr>
        <w:spacing w:after="140" w:before="0"/>
        <w:jc w:val="both"/>
      </w:pPr>
      <w:r>
        <w:rPr>
          <w:rFonts w:ascii="Calibri" w:cs="Calibri" w:eastAsia="Calibri" w:hAnsi="Calibri"/>
          <w:b w:val="false"/>
          <w:bCs w:val="false"/>
          <w:color w:val="222222"/>
          <w:sz w:val="22"/>
          <w:szCs w:val="22"/>
        </w:rPr>
        <w:t xml:space="preserve">The complete analysis is implemented across four MATLAB script files, each corresponding to a project phase: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3060"/>
        <w:gridCol w:w="1800"/>
      </w:tblGrid>
      <w:tr>
        <w:trPr>
          <w:tblHeader/>
        </w:trPr>
        <w:tc>
          <w:tcPr>
            <w:tcW w:type="dxa" w:w="3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File</w:t>
            </w:r>
          </w:p>
        </w:tc>
        <w:tc>
          <w:tcPr>
            <w:tcW w:type="dxa" w:w="15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Phase</w:t>
            </w:r>
          </w:p>
        </w:tc>
        <w:tc>
          <w:tcPr>
            <w:tcW w:type="dxa" w:w="30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Key functions</w:t>
            </w:r>
          </w:p>
        </w:tc>
        <w:tc>
          <w:tcPr>
            <w:tcW w:type="dxa" w:w="1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Plots</w:t>
            </w:r>
          </w:p>
        </w:tc>
      </w:tr>
      <w:tr>
        <w:tc>
          <w:tcPr>
            <w:tcW w:type="dxa" w:w="300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pPr>
              <w:jc w:val="left"/>
            </w:pPr>
            <w:r>
              <w:rPr>
                <w:rFonts w:ascii="Calibri" w:cs="Calibri" w:eastAsia="Calibri" w:hAnsi="Calibri"/>
                <w:b/>
                <w:bCs/>
                <w:color w:val="222222"/>
                <w:sz w:val="20"/>
                <w:szCs w:val="20"/>
              </w:rPr>
              <w:t xml:space="preserve">rotor_blade_analysis.m</w:t>
            </w:r>
          </w:p>
        </w:tc>
        <w:tc>
          <w:tcPr>
            <w:tcW w:type="dxa" w:w="150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pPr>
              <w:jc w:val="center"/>
            </w:pPr>
            <w:r>
              <w:rPr>
                <w:rFonts w:ascii="Calibri" w:cs="Calibri" w:eastAsia="Calibri" w:hAnsi="Calibri"/>
                <w:b w:val="false"/>
                <w:bCs w:val="false"/>
                <w:color w:val="222222"/>
                <w:sz w:val="20"/>
                <w:szCs w:val="20"/>
              </w:rPr>
              <w:t xml:space="preserve">Phase 1</w:t>
            </w:r>
          </w:p>
        </w:tc>
        <w:tc>
          <w:tcPr>
            <w:tcW w:type="dxa" w:w="306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pPr>
              <w:jc w:val="center"/>
            </w:pPr>
            <w:r>
              <w:rPr>
                <w:rFonts w:ascii="Calibri" w:cs="Calibri" w:eastAsia="Calibri" w:hAnsi="Calibri"/>
                <w:b w:val="false"/>
                <w:bCs w:val="false"/>
                <w:color w:val="222222"/>
                <w:sz w:val="20"/>
                <w:szCs w:val="20"/>
              </w:rPr>
              <w:t xml:space="preserve">linspace, sum, plot, surf, fprintf</w:t>
            </w:r>
          </w:p>
        </w:tc>
        <w:tc>
          <w:tcPr>
            <w:tcW w:type="dxa" w:w="180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pPr>
              <w:jc w:val="center"/>
            </w:pPr>
            <w:r>
              <w:rPr>
                <w:rFonts w:ascii="Calibri" w:cs="Calibri" w:eastAsia="Calibri" w:hAnsi="Calibri"/>
                <w:b w:val="false"/>
                <w:bCs w:val="false"/>
                <w:color w:val="222222"/>
                <w:sz w:val="20"/>
                <w:szCs w:val="20"/>
              </w:rPr>
              <w:t xml:space="preserve">1–4</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Calibri" w:cs="Calibri" w:eastAsia="Calibri" w:hAnsi="Calibri"/>
                <w:b/>
                <w:bCs/>
                <w:color w:val="222222"/>
                <w:sz w:val="20"/>
                <w:szCs w:val="20"/>
              </w:rPr>
              <w:t xml:space="preserve">phase2A_stall_model.m</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libri" w:cs="Calibri" w:eastAsia="Calibri" w:hAnsi="Calibri"/>
                <w:b w:val="false"/>
                <w:bCs w:val="false"/>
                <w:color w:val="222222"/>
                <w:sz w:val="20"/>
                <w:szCs w:val="20"/>
              </w:rPr>
              <w:t xml:space="preserve">Phase 2A</w:t>
            </w:r>
          </w:p>
        </w:tc>
        <w:tc>
          <w:tcPr>
            <w:tcW w:type="dxa" w:w="3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libri" w:cs="Calibri" w:eastAsia="Calibri" w:hAnsi="Calibri"/>
                <w:b w:val="false"/>
                <w:bCs w:val="false"/>
                <w:color w:val="222222"/>
                <w:sz w:val="20"/>
                <w:szCs w:val="20"/>
              </w:rPr>
              <w:t xml:space="preserve">Piecewise Cl function, meshgrid, area</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libri" w:cs="Calibri" w:eastAsia="Calibri" w:hAnsi="Calibri"/>
                <w:b w:val="false"/>
                <w:bCs w:val="false"/>
                <w:color w:val="222222"/>
                <w:sz w:val="20"/>
                <w:szCs w:val="20"/>
              </w:rPr>
              <w:t xml:space="preserve">5–7</w:t>
            </w:r>
          </w:p>
        </w:tc>
      </w:tr>
      <w:tr>
        <w:tc>
          <w:tcPr>
            <w:tcW w:type="dxa" w:w="300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pPr>
              <w:jc w:val="left"/>
            </w:pPr>
            <w:r>
              <w:rPr>
                <w:rFonts w:ascii="Calibri" w:cs="Calibri" w:eastAsia="Calibri" w:hAnsi="Calibri"/>
                <w:b/>
                <w:bCs/>
                <w:color w:val="222222"/>
                <w:sz w:val="20"/>
                <w:szCs w:val="20"/>
              </w:rPr>
              <w:t xml:space="preserve">phase2B_helicopter_comparison.m</w:t>
            </w:r>
          </w:p>
        </w:tc>
        <w:tc>
          <w:tcPr>
            <w:tcW w:type="dxa" w:w="150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pPr>
              <w:jc w:val="center"/>
            </w:pPr>
            <w:r>
              <w:rPr>
                <w:rFonts w:ascii="Calibri" w:cs="Calibri" w:eastAsia="Calibri" w:hAnsi="Calibri"/>
                <w:b w:val="false"/>
                <w:bCs w:val="false"/>
                <w:color w:val="222222"/>
                <w:sz w:val="20"/>
                <w:szCs w:val="20"/>
              </w:rPr>
              <w:t xml:space="preserve">Phase 2B</w:t>
            </w:r>
          </w:p>
        </w:tc>
        <w:tc>
          <w:tcPr>
            <w:tcW w:type="dxa" w:w="306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pPr>
              <w:jc w:val="center"/>
            </w:pPr>
            <w:r>
              <w:rPr>
                <w:rFonts w:ascii="Calibri" w:cs="Calibri" w:eastAsia="Calibri" w:hAnsi="Calibri"/>
                <w:b w:val="false"/>
                <w:bCs w:val="false"/>
                <w:color w:val="222222"/>
                <w:sz w:val="20"/>
                <w:szCs w:val="20"/>
              </w:rPr>
              <w:t xml:space="preserve">compute_lift() local function, bar</w:t>
            </w:r>
          </w:p>
        </w:tc>
        <w:tc>
          <w:tcPr>
            <w:tcW w:type="dxa" w:w="180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pPr>
              <w:jc w:val="center"/>
            </w:pPr>
            <w:r>
              <w:rPr>
                <w:rFonts w:ascii="Calibri" w:cs="Calibri" w:eastAsia="Calibri" w:hAnsi="Calibri"/>
                <w:b w:val="false"/>
                <w:bCs w:val="false"/>
                <w:color w:val="222222"/>
                <w:sz w:val="20"/>
                <w:szCs w:val="20"/>
              </w:rPr>
              <w:t xml:space="preserve">8–10</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Calibri" w:cs="Calibri" w:eastAsia="Calibri" w:hAnsi="Calibri"/>
                <w:b/>
                <w:bCs/>
                <w:color w:val="222222"/>
                <w:sz w:val="20"/>
                <w:szCs w:val="20"/>
              </w:rPr>
              <w:t xml:space="preserve">phase2C_power_required.m</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libri" w:cs="Calibri" w:eastAsia="Calibri" w:hAnsi="Calibri"/>
                <w:b w:val="false"/>
                <w:bCs w:val="false"/>
                <w:color w:val="222222"/>
                <w:sz w:val="20"/>
                <w:szCs w:val="20"/>
              </w:rPr>
              <w:t xml:space="preserve">Phase 2C</w:t>
            </w:r>
          </w:p>
        </w:tc>
        <w:tc>
          <w:tcPr>
            <w:tcW w:type="dxa" w:w="3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libri" w:cs="Calibri" w:eastAsia="Calibri" w:hAnsi="Calibri"/>
                <w:b w:val="false"/>
                <w:bCs w:val="false"/>
                <w:color w:val="222222"/>
                <w:sz w:val="20"/>
                <w:szCs w:val="20"/>
              </w:rPr>
              <w:t xml:space="preserve">hover_power(), figure_of_merit()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libri" w:cs="Calibri" w:eastAsia="Calibri" w:hAnsi="Calibri"/>
                <w:b w:val="false"/>
                <w:bCs w:val="false"/>
                <w:color w:val="222222"/>
                <w:sz w:val="20"/>
                <w:szCs w:val="20"/>
              </w:rPr>
              <w:t xml:space="preserve">11–14</w:t>
            </w:r>
          </w:p>
        </w:tc>
      </w:tr>
    </w:tbl>
    <w:p>
      <w:pPr>
        <w:spacing w:after="120" w:before="0"/>
      </w:pPr>
      <w:r>
        <w:t xml:space="preserve"/>
      </w:r>
    </w:p>
    <w:p>
      <w:pPr>
        <w:pStyle w:val="Heading1"/>
        <w:pBdr>
          <w:bottom w:val="single" w:color="1A3A5C" w:sz="6"/>
        </w:pBdr>
        <w:spacing w:after="120" w:before="320"/>
      </w:pPr>
      <w:r>
        <w:rPr>
          <w:rFonts w:ascii="Calibri" w:cs="Calibri" w:eastAsia="Calibri" w:hAnsi="Calibri"/>
          <w:b/>
          <w:bCs/>
          <w:color w:val="1A3A5C"/>
          <w:sz w:val="32"/>
          <w:szCs w:val="32"/>
        </w:rPr>
        <w:t xml:space="preserve">Appendix B — Plot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760"/>
        <w:gridCol w:w="1800"/>
      </w:tblGrid>
      <w:tr>
        <w:trPr>
          <w:tblHeader/>
        </w:trPr>
        <w:tc>
          <w:tcPr>
            <w:tcW w:type="dxa" w:w="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Plot</w:t>
            </w:r>
          </w:p>
        </w:tc>
        <w:tc>
          <w:tcPr>
            <w:tcW w:type="dxa" w:w="67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Title</w:t>
            </w:r>
          </w:p>
        </w:tc>
        <w:tc>
          <w:tcPr>
            <w:tcW w:type="dxa" w:w="1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Phase</w:t>
            </w:r>
          </w:p>
        </w:tc>
      </w:tr>
      <w:tr>
        <w:tc>
          <w:tcPr>
            <w:tcW w:type="dxa" w:w="80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pPr>
              <w:jc w:val="left"/>
            </w:pPr>
            <w:r>
              <w:rPr>
                <w:rFonts w:ascii="Calibri" w:cs="Calibri" w:eastAsia="Calibri" w:hAnsi="Calibri"/>
                <w:b/>
                <w:bCs/>
                <w:color w:val="222222"/>
                <w:sz w:val="20"/>
                <w:szCs w:val="20"/>
              </w:rPr>
              <w:t xml:space="preserve">1</w:t>
            </w:r>
          </w:p>
        </w:tc>
        <w:tc>
          <w:tcPr>
            <w:tcW w:type="dxa" w:w="676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pPr>
              <w:jc w:val="center"/>
            </w:pPr>
            <w:r>
              <w:rPr>
                <w:rFonts w:ascii="Calibri" w:cs="Calibri" w:eastAsia="Calibri" w:hAnsi="Calibri"/>
                <w:b w:val="false"/>
                <w:bCs w:val="false"/>
                <w:color w:val="222222"/>
                <w:sz w:val="20"/>
                <w:szCs w:val="20"/>
              </w:rPr>
              <w:t xml:space="preserve">Rotor Lift vs RPM (fixed pitch)</w:t>
            </w:r>
          </w:p>
        </w:tc>
        <w:tc>
          <w:tcPr>
            <w:tcW w:type="dxa" w:w="180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pPr>
              <w:jc w:val="center"/>
            </w:pPr>
            <w:r>
              <w:rPr>
                <w:rFonts w:ascii="Calibri" w:cs="Calibri" w:eastAsia="Calibri" w:hAnsi="Calibri"/>
                <w:b w:val="false"/>
                <w:bCs w:val="false"/>
                <w:color w:val="222222"/>
                <w:sz w:val="20"/>
                <w:szCs w:val="20"/>
              </w:rPr>
              <w:t xml:space="preserve">Phase 1</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Calibri" w:cs="Calibri" w:eastAsia="Calibri" w:hAnsi="Calibri"/>
                <w:b/>
                <w:bCs/>
                <w:color w:val="222222"/>
                <w:sz w:val="20"/>
                <w:szCs w:val="20"/>
              </w:rPr>
              <w:t xml:space="preserve">2</w:t>
            </w:r>
          </w:p>
        </w:tc>
        <w:tc>
          <w:tcPr>
            <w:tcW w:type="dxa" w:w="6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libri" w:cs="Calibri" w:eastAsia="Calibri" w:hAnsi="Calibri"/>
                <w:b w:val="false"/>
                <w:bCs w:val="false"/>
                <w:color w:val="222222"/>
                <w:sz w:val="20"/>
                <w:szCs w:val="20"/>
              </w:rPr>
              <w:t xml:space="preserve">Rotor Lift vs Pitch Angle (fixed RPM)</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libri" w:cs="Calibri" w:eastAsia="Calibri" w:hAnsi="Calibri"/>
                <w:b w:val="false"/>
                <w:bCs w:val="false"/>
                <w:color w:val="222222"/>
                <w:sz w:val="20"/>
                <w:szCs w:val="20"/>
              </w:rPr>
              <w:t xml:space="preserve">Phase 1</w:t>
            </w:r>
          </w:p>
        </w:tc>
      </w:tr>
      <w:tr>
        <w:tc>
          <w:tcPr>
            <w:tcW w:type="dxa" w:w="80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pPr>
              <w:jc w:val="left"/>
            </w:pPr>
            <w:r>
              <w:rPr>
                <w:rFonts w:ascii="Calibri" w:cs="Calibri" w:eastAsia="Calibri" w:hAnsi="Calibri"/>
                <w:b/>
                <w:bCs/>
                <w:color w:val="222222"/>
                <w:sz w:val="20"/>
                <w:szCs w:val="20"/>
              </w:rPr>
              <w:t xml:space="preserve">3</w:t>
            </w:r>
          </w:p>
        </w:tc>
        <w:tc>
          <w:tcPr>
            <w:tcW w:type="dxa" w:w="676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pPr>
              <w:jc w:val="center"/>
            </w:pPr>
            <w:r>
              <w:rPr>
                <w:rFonts w:ascii="Calibri" w:cs="Calibri" w:eastAsia="Calibri" w:hAnsi="Calibri"/>
                <w:b w:val="false"/>
                <w:bCs w:val="false"/>
                <w:color w:val="222222"/>
                <w:sz w:val="20"/>
                <w:szCs w:val="20"/>
              </w:rPr>
              <w:t xml:space="preserve">3D Lift Performance Surface (RPM × Pitch)</w:t>
            </w:r>
          </w:p>
        </w:tc>
        <w:tc>
          <w:tcPr>
            <w:tcW w:type="dxa" w:w="180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pPr>
              <w:jc w:val="center"/>
            </w:pPr>
            <w:r>
              <w:rPr>
                <w:rFonts w:ascii="Calibri" w:cs="Calibri" w:eastAsia="Calibri" w:hAnsi="Calibri"/>
                <w:b w:val="false"/>
                <w:bCs w:val="false"/>
                <w:color w:val="222222"/>
                <w:sz w:val="20"/>
                <w:szCs w:val="20"/>
              </w:rPr>
              <w:t xml:space="preserve">Phase 1</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Calibri" w:cs="Calibri" w:eastAsia="Calibri" w:hAnsi="Calibri"/>
                <w:b/>
                <w:bCs/>
                <w:color w:val="222222"/>
                <w:sz w:val="20"/>
                <w:szCs w:val="20"/>
              </w:rPr>
              <w:t xml:space="preserve">4</w:t>
            </w:r>
          </w:p>
        </w:tc>
        <w:tc>
          <w:tcPr>
            <w:tcW w:type="dxa" w:w="6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libri" w:cs="Calibri" w:eastAsia="Calibri" w:hAnsi="Calibri"/>
                <w:b w:val="false"/>
                <w:bCs w:val="false"/>
                <w:color w:val="222222"/>
                <w:sz w:val="20"/>
                <w:szCs w:val="20"/>
              </w:rPr>
              <w:t xml:space="preserve">Spanwise Lift Distribution — Single blade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libri" w:cs="Calibri" w:eastAsia="Calibri" w:hAnsi="Calibri"/>
                <w:b w:val="false"/>
                <w:bCs w:val="false"/>
                <w:color w:val="222222"/>
                <w:sz w:val="20"/>
                <w:szCs w:val="20"/>
              </w:rPr>
              <w:t xml:space="preserve">Phase 1</w:t>
            </w:r>
          </w:p>
        </w:tc>
      </w:tr>
      <w:tr>
        <w:tc>
          <w:tcPr>
            <w:tcW w:type="dxa" w:w="80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pPr>
              <w:jc w:val="left"/>
            </w:pPr>
            <w:r>
              <w:rPr>
                <w:rFonts w:ascii="Calibri" w:cs="Calibri" w:eastAsia="Calibri" w:hAnsi="Calibri"/>
                <w:b/>
                <w:bCs/>
                <w:color w:val="222222"/>
                <w:sz w:val="20"/>
                <w:szCs w:val="20"/>
              </w:rPr>
              <w:t xml:space="preserve">5</w:t>
            </w:r>
          </w:p>
        </w:tc>
        <w:tc>
          <w:tcPr>
            <w:tcW w:type="dxa" w:w="676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pPr>
              <w:jc w:val="center"/>
            </w:pPr>
            <w:r>
              <w:rPr>
                <w:rFonts w:ascii="Calibri" w:cs="Calibri" w:eastAsia="Calibri" w:hAnsi="Calibri"/>
                <w:b w:val="false"/>
                <w:bCs w:val="false"/>
                <w:color w:val="222222"/>
                <w:sz w:val="20"/>
                <w:szCs w:val="20"/>
              </w:rPr>
              <w:t xml:space="preserve">Non-linear Cl vs Pitch Angle (stall model)</w:t>
            </w:r>
          </w:p>
        </w:tc>
        <w:tc>
          <w:tcPr>
            <w:tcW w:type="dxa" w:w="180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pPr>
              <w:jc w:val="center"/>
            </w:pPr>
            <w:r>
              <w:rPr>
                <w:rFonts w:ascii="Calibri" w:cs="Calibri" w:eastAsia="Calibri" w:hAnsi="Calibri"/>
                <w:b w:val="false"/>
                <w:bCs w:val="false"/>
                <w:color w:val="222222"/>
                <w:sz w:val="20"/>
                <w:szCs w:val="20"/>
              </w:rPr>
              <w:t xml:space="preserve">Phase 2A</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Calibri" w:cs="Calibri" w:eastAsia="Calibri" w:hAnsi="Calibri"/>
                <w:b/>
                <w:bCs/>
                <w:color w:val="222222"/>
                <w:sz w:val="20"/>
                <w:szCs w:val="20"/>
              </w:rPr>
              <w:t xml:space="preserve">6</w:t>
            </w:r>
          </w:p>
        </w:tc>
        <w:tc>
          <w:tcPr>
            <w:tcW w:type="dxa" w:w="6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libri" w:cs="Calibri" w:eastAsia="Calibri" w:hAnsi="Calibri"/>
                <w:b w:val="false"/>
                <w:bCs w:val="false"/>
                <w:color w:val="222222"/>
                <w:sz w:val="20"/>
                <w:szCs w:val="20"/>
              </w:rPr>
              <w:t xml:space="preserve">Lift Comparison: Linear vs Stall Model</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libri" w:cs="Calibri" w:eastAsia="Calibri" w:hAnsi="Calibri"/>
                <w:b w:val="false"/>
                <w:bCs w:val="false"/>
                <w:color w:val="222222"/>
                <w:sz w:val="20"/>
                <w:szCs w:val="20"/>
              </w:rPr>
              <w:t xml:space="preserve">Phase 2A</w:t>
            </w:r>
          </w:p>
        </w:tc>
      </w:tr>
      <w:tr>
        <w:tc>
          <w:tcPr>
            <w:tcW w:type="dxa" w:w="80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pPr>
              <w:jc w:val="left"/>
            </w:pPr>
            <w:r>
              <w:rPr>
                <w:rFonts w:ascii="Calibri" w:cs="Calibri" w:eastAsia="Calibri" w:hAnsi="Calibri"/>
                <w:b/>
                <w:bCs/>
                <w:color w:val="222222"/>
                <w:sz w:val="20"/>
                <w:szCs w:val="20"/>
              </w:rPr>
              <w:t xml:space="preserve">7</w:t>
            </w:r>
          </w:p>
        </w:tc>
        <w:tc>
          <w:tcPr>
            <w:tcW w:type="dxa" w:w="676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pPr>
              <w:jc w:val="center"/>
            </w:pPr>
            <w:r>
              <w:rPr>
                <w:rFonts w:ascii="Calibri" w:cs="Calibri" w:eastAsia="Calibri" w:hAnsi="Calibri"/>
                <w:b w:val="false"/>
                <w:bCs w:val="false"/>
                <w:color w:val="222222"/>
                <w:sz w:val="20"/>
                <w:szCs w:val="20"/>
              </w:rPr>
              <w:t xml:space="preserve">3D Lift Surface with Stall Boundary</w:t>
            </w:r>
          </w:p>
        </w:tc>
        <w:tc>
          <w:tcPr>
            <w:tcW w:type="dxa" w:w="180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pPr>
              <w:jc w:val="center"/>
            </w:pPr>
            <w:r>
              <w:rPr>
                <w:rFonts w:ascii="Calibri" w:cs="Calibri" w:eastAsia="Calibri" w:hAnsi="Calibri"/>
                <w:b w:val="false"/>
                <w:bCs w:val="false"/>
                <w:color w:val="222222"/>
                <w:sz w:val="20"/>
                <w:szCs w:val="20"/>
              </w:rPr>
              <w:t xml:space="preserve">Phase 2A</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Calibri" w:cs="Calibri" w:eastAsia="Calibri" w:hAnsi="Calibri"/>
                <w:b/>
                <w:bCs/>
                <w:color w:val="222222"/>
                <w:sz w:val="20"/>
                <w:szCs w:val="20"/>
              </w:rPr>
              <w:t xml:space="preserve">8</w:t>
            </w:r>
          </w:p>
        </w:tc>
        <w:tc>
          <w:tcPr>
            <w:tcW w:type="dxa" w:w="6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libri" w:cs="Calibri" w:eastAsia="Calibri" w:hAnsi="Calibri"/>
                <w:b w:val="false"/>
                <w:bCs w:val="false"/>
                <w:color w:val="222222"/>
                <w:sz w:val="20"/>
                <w:szCs w:val="20"/>
              </w:rPr>
              <w:t xml:space="preserve">Lift vs RPM: Bell 206B vs AW139</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libri" w:cs="Calibri" w:eastAsia="Calibri" w:hAnsi="Calibri"/>
                <w:b w:val="false"/>
                <w:bCs w:val="false"/>
                <w:color w:val="222222"/>
                <w:sz w:val="20"/>
                <w:szCs w:val="20"/>
              </w:rPr>
              <w:t xml:space="preserve">Phase 2B</w:t>
            </w:r>
          </w:p>
        </w:tc>
      </w:tr>
      <w:tr>
        <w:tc>
          <w:tcPr>
            <w:tcW w:type="dxa" w:w="80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pPr>
              <w:jc w:val="left"/>
            </w:pPr>
            <w:r>
              <w:rPr>
                <w:rFonts w:ascii="Calibri" w:cs="Calibri" w:eastAsia="Calibri" w:hAnsi="Calibri"/>
                <w:b/>
                <w:bCs/>
                <w:color w:val="222222"/>
                <w:sz w:val="20"/>
                <w:szCs w:val="20"/>
              </w:rPr>
              <w:t xml:space="preserve">9</w:t>
            </w:r>
          </w:p>
        </w:tc>
        <w:tc>
          <w:tcPr>
            <w:tcW w:type="dxa" w:w="676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pPr>
              <w:jc w:val="center"/>
            </w:pPr>
            <w:r>
              <w:rPr>
                <w:rFonts w:ascii="Calibri" w:cs="Calibri" w:eastAsia="Calibri" w:hAnsi="Calibri"/>
                <w:b w:val="false"/>
                <w:bCs w:val="false"/>
                <w:color w:val="222222"/>
                <w:sz w:val="20"/>
                <w:szCs w:val="20"/>
              </w:rPr>
              <w:t xml:space="preserve">Lift vs Pitch: Bell 206B vs AW139 at cruise RPM</w:t>
            </w:r>
          </w:p>
        </w:tc>
        <w:tc>
          <w:tcPr>
            <w:tcW w:type="dxa" w:w="180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pPr>
              <w:jc w:val="center"/>
            </w:pPr>
            <w:r>
              <w:rPr>
                <w:rFonts w:ascii="Calibri" w:cs="Calibri" w:eastAsia="Calibri" w:hAnsi="Calibri"/>
                <w:b w:val="false"/>
                <w:bCs w:val="false"/>
                <w:color w:val="222222"/>
                <w:sz w:val="20"/>
                <w:szCs w:val="20"/>
              </w:rPr>
              <w:t xml:space="preserve">Phase 2B</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Calibri" w:cs="Calibri" w:eastAsia="Calibri" w:hAnsi="Calibri"/>
                <w:b/>
                <w:bCs/>
                <w:color w:val="222222"/>
                <w:sz w:val="20"/>
                <w:szCs w:val="20"/>
              </w:rPr>
              <w:t xml:space="preserve">10</w:t>
            </w:r>
          </w:p>
        </w:tc>
        <w:tc>
          <w:tcPr>
            <w:tcW w:type="dxa" w:w="6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libri" w:cs="Calibri" w:eastAsia="Calibri" w:hAnsi="Calibri"/>
                <w:b w:val="false"/>
                <w:bCs w:val="false"/>
                <w:color w:val="222222"/>
                <w:sz w:val="20"/>
                <w:szCs w:val="20"/>
              </w:rPr>
              <w:t xml:space="preserve">Spanwise Lift Distribution: Bell 206B vs AW139</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libri" w:cs="Calibri" w:eastAsia="Calibri" w:hAnsi="Calibri"/>
                <w:b w:val="false"/>
                <w:bCs w:val="false"/>
                <w:color w:val="222222"/>
                <w:sz w:val="20"/>
                <w:szCs w:val="20"/>
              </w:rPr>
              <w:t xml:space="preserve">Phase 2B</w:t>
            </w:r>
          </w:p>
        </w:tc>
      </w:tr>
      <w:tr>
        <w:tc>
          <w:tcPr>
            <w:tcW w:type="dxa" w:w="80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pPr>
              <w:jc w:val="left"/>
            </w:pPr>
            <w:r>
              <w:rPr>
                <w:rFonts w:ascii="Calibri" w:cs="Calibri" w:eastAsia="Calibri" w:hAnsi="Calibri"/>
                <w:b/>
                <w:bCs/>
                <w:color w:val="222222"/>
                <w:sz w:val="20"/>
                <w:szCs w:val="20"/>
              </w:rPr>
              <w:t xml:space="preserve">11</w:t>
            </w:r>
          </w:p>
        </w:tc>
        <w:tc>
          <w:tcPr>
            <w:tcW w:type="dxa" w:w="676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pPr>
              <w:jc w:val="center"/>
            </w:pPr>
            <w:r>
              <w:rPr>
                <w:rFonts w:ascii="Calibri" w:cs="Calibri" w:eastAsia="Calibri" w:hAnsi="Calibri"/>
                <w:b w:val="false"/>
                <w:bCs w:val="false"/>
                <w:color w:val="222222"/>
                <w:sz w:val="20"/>
                <w:szCs w:val="20"/>
              </w:rPr>
              <w:t xml:space="preserve">Engine Power Required vs RPM</w:t>
            </w:r>
          </w:p>
        </w:tc>
        <w:tc>
          <w:tcPr>
            <w:tcW w:type="dxa" w:w="180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pPr>
              <w:jc w:val="center"/>
            </w:pPr>
            <w:r>
              <w:rPr>
                <w:rFonts w:ascii="Calibri" w:cs="Calibri" w:eastAsia="Calibri" w:hAnsi="Calibri"/>
                <w:b w:val="false"/>
                <w:bCs w:val="false"/>
                <w:color w:val="222222"/>
                <w:sz w:val="20"/>
                <w:szCs w:val="20"/>
              </w:rPr>
              <w:t xml:space="preserve">Phase 2C</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Calibri" w:cs="Calibri" w:eastAsia="Calibri" w:hAnsi="Calibri"/>
                <w:b/>
                <w:bCs/>
                <w:color w:val="222222"/>
                <w:sz w:val="20"/>
                <w:szCs w:val="20"/>
              </w:rPr>
              <w:t xml:space="preserve">12</w:t>
            </w:r>
          </w:p>
        </w:tc>
        <w:tc>
          <w:tcPr>
            <w:tcW w:type="dxa" w:w="6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libri" w:cs="Calibri" w:eastAsia="Calibri" w:hAnsi="Calibri"/>
                <w:b w:val="false"/>
                <w:bCs w:val="false"/>
                <w:color w:val="222222"/>
                <w:sz w:val="20"/>
                <w:szCs w:val="20"/>
              </w:rPr>
              <w:t xml:space="preserve">Power Breakdown: Induced vs Profile (grouped bar)</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libri" w:cs="Calibri" w:eastAsia="Calibri" w:hAnsi="Calibri"/>
                <w:b w:val="false"/>
                <w:bCs w:val="false"/>
                <w:color w:val="222222"/>
                <w:sz w:val="20"/>
                <w:szCs w:val="20"/>
              </w:rPr>
              <w:t xml:space="preserve">Phase 2C</w:t>
            </w:r>
          </w:p>
        </w:tc>
      </w:tr>
      <w:tr>
        <w:tc>
          <w:tcPr>
            <w:tcW w:type="dxa" w:w="80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pPr>
              <w:jc w:val="left"/>
            </w:pPr>
            <w:r>
              <w:rPr>
                <w:rFonts w:ascii="Calibri" w:cs="Calibri" w:eastAsia="Calibri" w:hAnsi="Calibri"/>
                <w:b/>
                <w:bCs/>
                <w:color w:val="222222"/>
                <w:sz w:val="20"/>
                <w:szCs w:val="20"/>
              </w:rPr>
              <w:t xml:space="preserve">13</w:t>
            </w:r>
          </w:p>
        </w:tc>
        <w:tc>
          <w:tcPr>
            <w:tcW w:type="dxa" w:w="676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pPr>
              <w:jc w:val="center"/>
            </w:pPr>
            <w:r>
              <w:rPr>
                <w:rFonts w:ascii="Calibri" w:cs="Calibri" w:eastAsia="Calibri" w:hAnsi="Calibri"/>
                <w:b w:val="false"/>
                <w:bCs w:val="false"/>
                <w:color w:val="222222"/>
                <w:sz w:val="20"/>
                <w:szCs w:val="20"/>
              </w:rPr>
              <w:t xml:space="preserve">Hover Power vs Aircraft Weight Fraction</w:t>
            </w:r>
          </w:p>
        </w:tc>
        <w:tc>
          <w:tcPr>
            <w:tcW w:type="dxa" w:w="1800"/>
            <w:tcBorders>
              <w:top w:val="single" w:color="CCCCCC" w:sz="1"/>
              <w:left w:val="single" w:color="CCCCCC" w:sz="1"/>
              <w:bottom w:val="single" w:color="CCCCCC" w:sz="1"/>
              <w:right w:val="single" w:color="CCCCCC" w:sz="1"/>
            </w:tcBorders>
            <w:shd w:fill="EEF3F8" w:val="clear"/>
            <w:tcMar>
              <w:top w:type="dxa" w:w="70"/>
              <w:left w:type="dxa" w:w="120"/>
              <w:bottom w:type="dxa" w:w="70"/>
              <w:right w:type="dxa" w:w="120"/>
            </w:tcMar>
          </w:tcPr>
          <w:p>
            <w:pPr>
              <w:jc w:val="center"/>
            </w:pPr>
            <w:r>
              <w:rPr>
                <w:rFonts w:ascii="Calibri" w:cs="Calibri" w:eastAsia="Calibri" w:hAnsi="Calibri"/>
                <w:b w:val="false"/>
                <w:bCs w:val="false"/>
                <w:color w:val="222222"/>
                <w:sz w:val="20"/>
                <w:szCs w:val="20"/>
              </w:rPr>
              <w:t xml:space="preserve">Phase 2C</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Calibri" w:cs="Calibri" w:eastAsia="Calibri" w:hAnsi="Calibri"/>
                <w:b/>
                <w:bCs/>
                <w:color w:val="222222"/>
                <w:sz w:val="20"/>
                <w:szCs w:val="20"/>
              </w:rPr>
              <w:t xml:space="preserve">14</w:t>
            </w:r>
          </w:p>
        </w:tc>
        <w:tc>
          <w:tcPr>
            <w:tcW w:type="dxa" w:w="6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libri" w:cs="Calibri" w:eastAsia="Calibri" w:hAnsi="Calibri"/>
                <w:b w:val="false"/>
                <w:bCs w:val="false"/>
                <w:color w:val="222222"/>
                <w:sz w:val="20"/>
                <w:szCs w:val="20"/>
              </w:rPr>
              <w:t xml:space="preserve">Figure of Merit Comparison (bar chart)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libri" w:cs="Calibri" w:eastAsia="Calibri" w:hAnsi="Calibri"/>
                <w:b w:val="false"/>
                <w:bCs w:val="false"/>
                <w:color w:val="222222"/>
                <w:sz w:val="20"/>
                <w:szCs w:val="20"/>
              </w:rPr>
              <w:t xml:space="preserve">Phase 2C</w:t>
            </w:r>
          </w:p>
        </w:tc>
      </w:tr>
    </w:tbl>
    <w:sectPr>
      <w:headerReference w:type="default" r:id="rId7"/>
      <w:footerReference w:type="default" r:id="rId8"/>
      <w:pgSz w:w="12240" w:h="15840" w:orient="portrait"/>
      <w:pgMar w:top="108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8"/>
        <w:szCs w:val="18"/>
      </w:rPr>
      <w:t xml:space="preserve">Page </w:t>
    </w:r>
    <w:r>
      <w:rPr>
        <w:rFonts w:ascii="Calibri" w:cs="Calibri" w:eastAsia="Calibri" w:hAnsi="Calibri"/>
        <w:color w:val="555555"/>
        <w:sz w:val="18"/>
        <w:szCs w:val="18"/>
      </w:rPr>
      <w:fldChar w:fldCharType="begin"/>
      <w:instrText xml:space="preserve">PAGE</w:instrText>
      <w:fldChar w:fldCharType="separate"/>
      <w:fldChar w:fldCharType="end"/>
    </w:r>
    <w:r>
      <w:rPr>
        <w:rFonts w:ascii="Calibri" w:cs="Calibri" w:eastAsia="Calibri" w:hAnsi="Calibri"/>
        <w:color w:val="555555"/>
        <w:sz w:val="18"/>
        <w:szCs w:val="18"/>
      </w:rPr>
      <w:t xml:space="preserve"> of </w:t>
    </w:r>
    <w:r>
      <w:rPr>
        <w:rFonts w:ascii="Calibri" w:cs="Calibri" w:eastAsia="Calibri" w:hAnsi="Calibri"/>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4"/>
      </w:pBdr>
      <w:jc w:val="right"/>
    </w:pPr>
    <w:r>
      <w:rPr>
        <w:rFonts w:ascii="Calibri" w:cs="Calibri" w:eastAsia="Calibri" w:hAnsi="Calibri"/>
        <w:color w:val="555555"/>
        <w:sz w:val="16"/>
        <w:szCs w:val="16"/>
      </w:rPr>
      <w:t xml:space="preserve">Helicopter Rotor Aerodynamic Analysis  |  Henry Oghenekeno Richard  |  LASU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abstractNum>
  <w:abstractNum w:abstractNumId="3" w15:restartNumberingAfterBreak="0">
    <w:multiLevelType w:val="hybridMultilevel"/>
    <w:lvl w:ilvl="0" w15:tentative="1">
      <w:start w:val="1"/>
      <w:numFmt w:val="decimal"/>
      <w:lvlText w:val="%1."/>
      <w:lvlJc w:val="left"/>
      <w:pPr>
        <w:ind w:left="4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73023945990e6930c897c69cab01328175b9da0.png"/><Relationship Id="rId10" Type="http://schemas.openxmlformats.org/officeDocument/2006/relationships/image" Target="media/de209c19a3e5567f59b85ae568744f9482a4770c.png"/><Relationship Id="rId11" Type="http://schemas.openxmlformats.org/officeDocument/2006/relationships/image" Target="media/8700bb73c3d32a74c4f177d5d9f72455dc167597.png"/><Relationship Id="rId12" Type="http://schemas.openxmlformats.org/officeDocument/2006/relationships/image" Target="media/bcfaa6d6a16d0b8ce0ac175b6353dd883b5aa520.png"/><Relationship Id="rId13" Type="http://schemas.openxmlformats.org/officeDocument/2006/relationships/image" Target="media/3ac5cab5a2464612dbffec5a9813d17f581d1f45.png"/><Relationship Id="rId14" Type="http://schemas.openxmlformats.org/officeDocument/2006/relationships/image" Target="media/6f9ec96c9de3fcb3e635c6835ee9f15b2af29108.png"/><Relationship Id="rId15" Type="http://schemas.openxmlformats.org/officeDocument/2006/relationships/image" Target="media/c92fa73e0e7b92e0b111b4939e5f7b18cad090a6.png"/><Relationship Id="rId16" Type="http://schemas.openxmlformats.org/officeDocument/2006/relationships/image" Target="media/3669765f6cc96935fe0fec2192a6155a0cf3fe3c.png"/><Relationship Id="rId17" Type="http://schemas.openxmlformats.org/officeDocument/2006/relationships/image" Target="media/8508d33c2f824da4b42ecaa735b4f7eb0519e24b.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2026-07-05T19:36:36.461Z</dcterms:created>
  <dcterms:modified xsi:type="dcterms:W3CDTF">2026-07-05T19:36:36.474Z</dcterms:modified>
</cp:coreProperties>
</file>

<file path=docProps/custom.xml><?xml version="1.0" encoding="utf-8"?>
<Properties xmlns="http://schemas.openxmlformats.org/officeDocument/2006/custom-properties" xmlns:vt="http://schemas.openxmlformats.org/officeDocument/2006/docPropsVTypes"/>
</file>