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b/>
          <w:bCs/>
          <w:color w:val="8A5A2B"/>
          <w:spacing w:val="60"/>
          <w:sz w:val="20"/>
          <w:szCs w:val="20"/>
        </w:rPr>
        <w:t xml:space="preserve">EXHIBITGUIDE</w:t>
      </w:r>
    </w:p>
    <w:p>
      <w:pPr>
        <w:spacing w:after="200"/>
        <w:jc w:val="center"/>
      </w:pPr>
      <w:r>
        <w:rPr>
          <w:b/>
          <w:bCs/>
          <w:color w:val="1C1917"/>
          <w:sz w:val="52"/>
          <w:szCs w:val="52"/>
        </w:rPr>
        <w:t xml:space="preserve">From Idea to Deployed Product</w:t>
      </w:r>
    </w:p>
    <w:p>
      <w:pPr>
        <w:spacing w:after="600"/>
        <w:jc w:val="center"/>
      </w:pPr>
      <w:r>
        <w:rPr>
          <w:i/>
          <w:iCs/>
          <w:color w:val="57534D"/>
          <w:sz w:val="24"/>
          <w:szCs w:val="24"/>
        </w:rPr>
        <w:t xml:space="preserve">A project narrative: conception, pivot, and two builds</w:t>
      </w:r>
    </w:p>
    <w:p>
      <w:pPr>
        <w:spacing w:after="80"/>
        <w:jc w:val="center"/>
      </w:pPr>
      <w:r>
        <w:rPr>
          <w:b/>
          <w:bCs/>
          <w:color w:val="1C1917"/>
          <w:sz w:val="24"/>
          <w:szCs w:val="24"/>
        </w:rPr>
        <w:t xml:space="preserve">Richard Glynn</w:t>
      </w:r>
    </w:p>
    <w:p>
      <w:pPr>
        <w:spacing w:after="1200"/>
        <w:jc w:val="center"/>
      </w:pPr>
      <w:r>
        <w:rPr>
          <w:color w:val="57534D"/>
          <w:sz w:val="20"/>
          <w:szCs w:val="20"/>
        </w:rPr>
        <w:t xml:space="preserve">Final Project Submission · August 2026</w:t>
      </w:r>
    </w:p>
    <w:p>
      <w:pPr>
        <w:pBdr>
          <w:left w:val="single" w:color="8A5A2B" w:sz="12" w:space="12"/>
        </w:pBdr>
        <w:spacing w:after="200" w:before="160" w:line="300"/>
        <w:ind w:left="360"/>
      </w:pPr>
      <w:r>
        <w:rPr>
          <w:i/>
          <w:iCs/>
          <w:color w:val="57534D"/>
          <w:sz w:val="22"/>
          <w:szCs w:val="22"/>
        </w:rPr>
        <w:t xml:space="preserve">This document accompanies the code submission. It explains why the project exists, why it changed direction early, how the work was planned and sequenced, and how a single Django application became two independently deployed products.</w:t>
      </w:r>
    </w:p>
    <w:p>
      <w:r>
        <w:br w:type="page"/>
      </w:r>
    </w:p>
    <w:p>
      <w:pPr>
        <w:pStyle w:val="Heading1"/>
        <w:spacing w:after="200" w:before="400"/>
      </w:pPr>
      <w:r>
        <w:rPr>
          <w:b/>
          <w:bCs/>
          <w:color w:val="1C1917"/>
          <w:sz w:val="34"/>
          <w:szCs w:val="34"/>
        </w:rPr>
        <w:t xml:space="preserve">1. What ExhibitGuide Is</w:t>
      </w:r>
    </w:p>
    <w:p>
      <w:pPr>
        <w:spacing w:after="160" w:line="300"/>
      </w:pPr>
      <w:r>
        <w:rPr>
          <w:color w:val="1C1917"/>
          <w:sz w:val="22"/>
          <w:szCs w:val="22"/>
        </w:rPr>
        <w:t xml:space="preserve">ExhibitGuide is a web application for independent commercial art galleries. A visitor standing in front of an artwork scans a QR code on the wall label and immediately reaches a page about that piece — a short summary, a full curatorial text, an audio guide, and provenance. No app to install, and no account required.</w:t>
      </w:r>
    </w:p>
    <w:p>
      <w:pPr>
        <w:spacing w:after="160" w:line="300"/>
      </w:pPr>
      <w:r>
        <w:rPr>
          <w:color w:val="1C1917"/>
          <w:sz w:val="22"/>
          <w:szCs w:val="22"/>
        </w:rPr>
        <w:t xml:space="preserve">If the visitor is interested in buying, they can express interest in a few taps. That action captures a lead for the gallery: which artwork, which visitor, and how long they spent with the work before enquiring.</w:t>
      </w:r>
    </w:p>
    <w:p>
      <w:pPr>
        <w:spacing w:after="160" w:line="300"/>
      </w:pPr>
      <w:r>
        <w:rPr>
          <w:color w:val="1C1917"/>
          <w:sz w:val="22"/>
          <w:szCs w:val="22"/>
        </w:rPr>
        <w:t xml:space="preserve">That last point is the product, not a feature. The audio guide is the </w:t>
      </w:r>
      <w:r>
        <w:rPr>
          <w:b w:val="false"/>
          <w:bCs w:val="false"/>
          <w:i/>
          <w:iCs/>
          <w:color w:val="1C1917"/>
          <w:sz w:val="22"/>
          <w:szCs w:val="22"/>
        </w:rPr>
        <w:t xml:space="preserve">visible</w:t>
      </w:r>
      <w:r>
        <w:rPr>
          <w:color w:val="1C1917"/>
          <w:sz w:val="22"/>
          <w:szCs w:val="22"/>
        </w:rPr>
        <w:t xml:space="preserve"> half; the </w:t>
      </w:r>
      <w:r>
        <w:rPr>
          <w:b/>
          <w:bCs/>
          <w:i w:val="false"/>
          <w:iCs w:val="false"/>
          <w:color w:val="1C1917"/>
          <w:sz w:val="22"/>
          <w:szCs w:val="22"/>
        </w:rPr>
        <w:t xml:space="preserve">visitor-intelligence and lead-capture layer</w:t>
      </w:r>
      <w:r>
        <w:rPr>
          <w:color w:val="1C1917"/>
          <w:sz w:val="22"/>
          <w:szCs w:val="22"/>
        </w:rPr>
        <w:t xml:space="preserve"> underneath it is the half a gallery would actually pay for.</w:t>
      </w:r>
    </w:p>
    <w:p>
      <w:pPr>
        <w:pStyle w:val="Heading2"/>
        <w:spacing w:after="140" w:before="300"/>
      </w:pPr>
      <w:r>
        <w:rPr>
          <w:b/>
          <w:bCs/>
          <w:color w:val="8A5A2B"/>
          <w:sz w:val="26"/>
          <w:szCs w:val="26"/>
        </w:rPr>
        <w:t xml:space="preserve">Delivered in two versions</w:t>
      </w:r>
    </w:p>
    <w:p>
      <w:pPr>
        <w:spacing w:after="160" w:line="300"/>
      </w:pPr>
      <w:r>
        <w:rPr>
          <w:color w:val="1C1917"/>
          <w:sz w:val="22"/>
          <w:szCs w:val="22"/>
        </w:rPr>
        <w:t xml:space="preserve">The submission contains two complete, independently deployed applications, built in sequence and maintained on separate branches:</w:t>
      </w:r>
    </w:p>
    <w:p>
      <w:pPr>
        <w:spacing w:after="80"/>
      </w:pPr>
    </w:p>
    <w:tbl>
      <w:tblPr>
        <w:tblW w:type="dxa" w:w="9360"/>
        <w:tblBorders>
          <w:top w:val="single" w:color="D6D3D1" w:sz="4"/>
          <w:left w:val="none"/>
          <w:bottom w:val="single" w:color="D6D3D1" w:sz="4"/>
          <w:right w:val="none"/>
          <w:insideH w:val="single" w:color="D6D3D1" w:sz="2"/>
          <w:insideV w:val="none"/>
        </w:tblBorders>
      </w:tblPr>
      <w:tblGrid>
        <w:gridCol w:w="1900"/>
        <w:gridCol w:w="3730"/>
        <w:gridCol w:w="3730"/>
      </w:tblGrid>
      <w:tr>
        <w:trPr>
          <w:tblHeader/>
        </w:trPr>
        <w:tc>
          <w:tcPr>
            <w:tcW w:type="dxa" w:w="1900"/>
            <w:shd w:fill="F2EDE4" w:val="clear"/>
            <w:tcMar>
              <w:top w:type="dxa" w:w="90"/>
              <w:left w:type="dxa" w:w="120"/>
              <w:bottom w:type="dxa" w:w="90"/>
              <w:right w:type="dxa" w:w="120"/>
            </w:tcMar>
          </w:tcPr>
          <w:p>
            <w:pPr>
              <w:spacing w:after="0" w:line="270"/>
            </w:pPr>
            <w:r>
              <w:rPr>
                <w:b/>
                <w:bCs/>
                <w:color w:val="1C1917"/>
                <w:sz w:val="20"/>
                <w:szCs w:val="20"/>
              </w:rPr>
              <w:t xml:space="preserve"/>
            </w:r>
          </w:p>
        </w:tc>
        <w:tc>
          <w:tcPr>
            <w:tcW w:type="dxa" w:w="3730"/>
            <w:shd w:fill="F2EDE4" w:val="clear"/>
            <w:tcMar>
              <w:top w:type="dxa" w:w="90"/>
              <w:left w:type="dxa" w:w="120"/>
              <w:bottom w:type="dxa" w:w="90"/>
              <w:right w:type="dxa" w:w="120"/>
            </w:tcMar>
          </w:tcPr>
          <w:p>
            <w:pPr>
              <w:spacing w:after="0" w:line="270"/>
            </w:pPr>
            <w:r>
              <w:rPr>
                <w:b/>
                <w:bCs/>
                <w:color w:val="1C1917"/>
                <w:sz w:val="20"/>
                <w:szCs w:val="20"/>
              </w:rPr>
              <w:t xml:space="preserve">Version 1</w:t>
            </w:r>
          </w:p>
        </w:tc>
        <w:tc>
          <w:tcPr>
            <w:tcW w:type="dxa" w:w="3730"/>
            <w:shd w:fill="F2EDE4" w:val="clear"/>
            <w:tcMar>
              <w:top w:type="dxa" w:w="90"/>
              <w:left w:type="dxa" w:w="120"/>
              <w:bottom w:type="dxa" w:w="90"/>
              <w:right w:type="dxa" w:w="120"/>
            </w:tcMar>
          </w:tcPr>
          <w:p>
            <w:pPr>
              <w:spacing w:after="0" w:line="270"/>
            </w:pPr>
            <w:r>
              <w:rPr>
                <w:b/>
                <w:bCs/>
                <w:color w:val="1C1917"/>
                <w:sz w:val="20"/>
                <w:szCs w:val="20"/>
              </w:rPr>
              <w:t xml:space="preserve">Version 2</w:t>
            </w:r>
          </w:p>
        </w:tc>
      </w:tr>
      <w:tr>
        <w:tc>
          <w:tcPr>
            <w:tcW w:type="dxa" w:w="1900"/>
            <w:tcMar>
              <w:top w:type="dxa" w:w="90"/>
              <w:left w:type="dxa" w:w="120"/>
              <w:bottom w:type="dxa" w:w="90"/>
              <w:right w:type="dxa" w:w="120"/>
            </w:tcMar>
          </w:tcPr>
          <w:p>
            <w:pPr>
              <w:spacing w:after="0" w:line="270"/>
            </w:pPr>
            <w:r>
              <w:rPr>
                <w:b/>
                <w:bCs/>
                <w:color w:val="57534D"/>
                <w:sz w:val="20"/>
                <w:szCs w:val="20"/>
              </w:rPr>
              <w:t xml:space="preserve">Architecture</w:t>
            </w:r>
          </w:p>
        </w:tc>
        <w:tc>
          <w:tcPr>
            <w:tcW w:type="dxa" w:w="3730"/>
            <w:tcMar>
              <w:top w:type="dxa" w:w="90"/>
              <w:left w:type="dxa" w:w="120"/>
              <w:bottom w:type="dxa" w:w="90"/>
              <w:right w:type="dxa" w:w="120"/>
            </w:tcMar>
          </w:tcPr>
          <w:p>
            <w:pPr>
              <w:spacing w:after="0" w:line="270"/>
            </w:pPr>
            <w:r>
              <w:rPr>
                <w:b w:val="false"/>
                <w:bCs w:val="false"/>
                <w:color w:val="57534D"/>
                <w:sz w:val="20"/>
                <w:szCs w:val="20"/>
              </w:rPr>
              <w:t xml:space="preserve">Django monolith, server-rendered templates</w:t>
            </w:r>
          </w:p>
        </w:tc>
        <w:tc>
          <w:tcPr>
            <w:tcW w:type="dxa" w:w="3730"/>
            <w:tcMar>
              <w:top w:type="dxa" w:w="90"/>
              <w:left w:type="dxa" w:w="120"/>
              <w:bottom w:type="dxa" w:w="90"/>
              <w:right w:type="dxa" w:w="120"/>
            </w:tcMar>
          </w:tcPr>
          <w:p>
            <w:pPr>
              <w:spacing w:after="0" w:line="270"/>
            </w:pPr>
            <w:r>
              <w:rPr>
                <w:b w:val="false"/>
                <w:bCs w:val="false"/>
                <w:color w:val="57534D"/>
                <w:sz w:val="20"/>
                <w:szCs w:val="20"/>
              </w:rPr>
              <w:t xml:space="preserve">Django REST API + React single-page app</w:t>
            </w:r>
          </w:p>
        </w:tc>
      </w:tr>
      <w:tr>
        <w:tc>
          <w:tcPr>
            <w:tcW w:type="dxa" w:w="1900"/>
            <w:tcMar>
              <w:top w:type="dxa" w:w="90"/>
              <w:left w:type="dxa" w:w="120"/>
              <w:bottom w:type="dxa" w:w="90"/>
              <w:right w:type="dxa" w:w="120"/>
            </w:tcMar>
          </w:tcPr>
          <w:p>
            <w:pPr>
              <w:spacing w:after="0" w:line="270"/>
            </w:pPr>
            <w:r>
              <w:rPr>
                <w:b/>
                <w:bCs/>
                <w:color w:val="57534D"/>
                <w:sz w:val="20"/>
                <w:szCs w:val="20"/>
              </w:rPr>
              <w:t xml:space="preserve">Branch</w:t>
            </w:r>
          </w:p>
        </w:tc>
        <w:tc>
          <w:tcPr>
            <w:tcW w:type="dxa" w:w="3730"/>
            <w:tcMar>
              <w:top w:type="dxa" w:w="90"/>
              <w:left w:type="dxa" w:w="120"/>
              <w:bottom w:type="dxa" w:w="90"/>
              <w:right w:type="dxa" w:w="120"/>
            </w:tcMar>
          </w:tcPr>
          <w:p>
            <w:pPr>
              <w:spacing w:after="0" w:line="270"/>
            </w:pPr>
            <w:r>
              <w:rPr>
                <w:b w:val="false"/>
                <w:bCs w:val="false"/>
                <w:color w:val="57534D"/>
                <w:sz w:val="20"/>
                <w:szCs w:val="20"/>
              </w:rPr>
              <w:t xml:space="preserve">main</w:t>
            </w:r>
          </w:p>
        </w:tc>
        <w:tc>
          <w:tcPr>
            <w:tcW w:type="dxa" w:w="3730"/>
            <w:tcMar>
              <w:top w:type="dxa" w:w="90"/>
              <w:left w:type="dxa" w:w="120"/>
              <w:bottom w:type="dxa" w:w="90"/>
              <w:right w:type="dxa" w:w="120"/>
            </w:tcMar>
          </w:tcPr>
          <w:p>
            <w:pPr>
              <w:spacing w:after="0" w:line="270"/>
            </w:pPr>
            <w:r>
              <w:rPr>
                <w:b w:val="false"/>
                <w:bCs w:val="false"/>
                <w:color w:val="57534D"/>
                <w:sz w:val="20"/>
                <w:szCs w:val="20"/>
              </w:rPr>
              <w:t xml:space="preserve">react-and-rest-version</w:t>
            </w:r>
          </w:p>
        </w:tc>
      </w:tr>
      <w:tr>
        <w:tc>
          <w:tcPr>
            <w:tcW w:type="dxa" w:w="1900"/>
            <w:tcMar>
              <w:top w:type="dxa" w:w="90"/>
              <w:left w:type="dxa" w:w="120"/>
              <w:bottom w:type="dxa" w:w="90"/>
              <w:right w:type="dxa" w:w="120"/>
            </w:tcMar>
          </w:tcPr>
          <w:p>
            <w:pPr>
              <w:spacing w:after="0" w:line="270"/>
            </w:pPr>
            <w:r>
              <w:rPr>
                <w:b/>
                <w:bCs/>
                <w:color w:val="57534D"/>
                <w:sz w:val="20"/>
                <w:szCs w:val="20"/>
              </w:rPr>
              <w:t xml:space="preserve">Tag</w:t>
            </w:r>
          </w:p>
        </w:tc>
        <w:tc>
          <w:tcPr>
            <w:tcW w:type="dxa" w:w="3730"/>
            <w:tcMar>
              <w:top w:type="dxa" w:w="90"/>
              <w:left w:type="dxa" w:w="120"/>
              <w:bottom w:type="dxa" w:w="90"/>
              <w:right w:type="dxa" w:w="120"/>
            </w:tcMar>
          </w:tcPr>
          <w:p>
            <w:pPr>
              <w:spacing w:after="0" w:line="270"/>
            </w:pPr>
            <w:r>
              <w:rPr>
                <w:b w:val="false"/>
                <w:bCs w:val="false"/>
                <w:color w:val="57534D"/>
                <w:sz w:val="20"/>
                <w:szCs w:val="20"/>
              </w:rPr>
              <w:t xml:space="preserve">v1.0</w:t>
            </w:r>
          </w:p>
        </w:tc>
        <w:tc>
          <w:tcPr>
            <w:tcW w:type="dxa" w:w="3730"/>
            <w:tcMar>
              <w:top w:type="dxa" w:w="90"/>
              <w:left w:type="dxa" w:w="120"/>
              <w:bottom w:type="dxa" w:w="90"/>
              <w:right w:type="dxa" w:w="120"/>
            </w:tcMar>
          </w:tcPr>
          <w:p>
            <w:pPr>
              <w:spacing w:after="0" w:line="270"/>
            </w:pPr>
            <w:r>
              <w:rPr>
                <w:b w:val="false"/>
                <w:bCs w:val="false"/>
                <w:color w:val="57534D"/>
                <w:sz w:val="20"/>
                <w:szCs w:val="20"/>
              </w:rPr>
              <w:t xml:space="preserve">v2.0</w:t>
            </w:r>
          </w:p>
        </w:tc>
      </w:tr>
      <w:tr>
        <w:tc>
          <w:tcPr>
            <w:tcW w:type="dxa" w:w="1900"/>
            <w:tcMar>
              <w:top w:type="dxa" w:w="90"/>
              <w:left w:type="dxa" w:w="120"/>
              <w:bottom w:type="dxa" w:w="90"/>
              <w:right w:type="dxa" w:w="120"/>
            </w:tcMar>
          </w:tcPr>
          <w:p>
            <w:pPr>
              <w:spacing w:after="0" w:line="270"/>
            </w:pPr>
            <w:r>
              <w:rPr>
                <w:b/>
                <w:bCs/>
                <w:color w:val="57534D"/>
                <w:sz w:val="20"/>
                <w:szCs w:val="20"/>
              </w:rPr>
              <w:t xml:space="preserve">Frontend</w:t>
            </w:r>
          </w:p>
        </w:tc>
        <w:tc>
          <w:tcPr>
            <w:tcW w:type="dxa" w:w="3730"/>
            <w:tcMar>
              <w:top w:type="dxa" w:w="90"/>
              <w:left w:type="dxa" w:w="120"/>
              <w:bottom w:type="dxa" w:w="90"/>
              <w:right w:type="dxa" w:w="120"/>
            </w:tcMar>
          </w:tcPr>
          <w:p>
            <w:pPr>
              <w:spacing w:after="0" w:line="270"/>
            </w:pPr>
            <w:r>
              <w:rPr>
                <w:b w:val="false"/>
                <w:bCs w:val="false"/>
                <w:color w:val="57534D"/>
                <w:sz w:val="20"/>
                <w:szCs w:val="20"/>
              </w:rPr>
              <w:t xml:space="preserve">Django templates, crispy-forms</w:t>
            </w:r>
          </w:p>
        </w:tc>
        <w:tc>
          <w:tcPr>
            <w:tcW w:type="dxa" w:w="3730"/>
            <w:tcMar>
              <w:top w:type="dxa" w:w="90"/>
              <w:left w:type="dxa" w:w="120"/>
              <w:bottom w:type="dxa" w:w="90"/>
              <w:right w:type="dxa" w:w="120"/>
            </w:tcMar>
          </w:tcPr>
          <w:p>
            <w:pPr>
              <w:spacing w:after="0" w:line="270"/>
            </w:pPr>
            <w:r>
              <w:rPr>
                <w:b w:val="false"/>
                <w:bCs w:val="false"/>
                <w:color w:val="57534D"/>
                <w:sz w:val="20"/>
                <w:szCs w:val="20"/>
              </w:rPr>
              <w:t xml:space="preserve">React 19 + Vite, custom design system</w:t>
            </w:r>
          </w:p>
        </w:tc>
      </w:tr>
      <w:tr>
        <w:tc>
          <w:tcPr>
            <w:tcW w:type="dxa" w:w="1900"/>
            <w:tcMar>
              <w:top w:type="dxa" w:w="90"/>
              <w:left w:type="dxa" w:w="120"/>
              <w:bottom w:type="dxa" w:w="90"/>
              <w:right w:type="dxa" w:w="120"/>
            </w:tcMar>
          </w:tcPr>
          <w:p>
            <w:pPr>
              <w:spacing w:after="0" w:line="270"/>
            </w:pPr>
            <w:r>
              <w:rPr>
                <w:b/>
                <w:bCs/>
                <w:color w:val="57534D"/>
                <w:sz w:val="20"/>
                <w:szCs w:val="20"/>
              </w:rPr>
              <w:t xml:space="preserve">Status</w:t>
            </w:r>
          </w:p>
        </w:tc>
        <w:tc>
          <w:tcPr>
            <w:tcW w:type="dxa" w:w="3730"/>
            <w:tcMar>
              <w:top w:type="dxa" w:w="90"/>
              <w:left w:type="dxa" w:w="120"/>
              <w:bottom w:type="dxa" w:w="90"/>
              <w:right w:type="dxa" w:w="120"/>
            </w:tcMar>
          </w:tcPr>
          <w:p>
            <w:pPr>
              <w:spacing w:after="0" w:line="270"/>
            </w:pPr>
            <w:r>
              <w:rPr>
                <w:b w:val="false"/>
                <w:bCs w:val="false"/>
                <w:color w:val="57534D"/>
                <w:sz w:val="20"/>
                <w:szCs w:val="20"/>
              </w:rPr>
              <w:t xml:space="preserve">Complete and deployed</w:t>
            </w:r>
          </w:p>
        </w:tc>
        <w:tc>
          <w:tcPr>
            <w:tcW w:type="dxa" w:w="3730"/>
            <w:tcMar>
              <w:top w:type="dxa" w:w="90"/>
              <w:left w:type="dxa" w:w="120"/>
              <w:bottom w:type="dxa" w:w="90"/>
              <w:right w:type="dxa" w:w="120"/>
            </w:tcMar>
          </w:tcPr>
          <w:p>
            <w:pPr>
              <w:spacing w:after="0" w:line="270"/>
            </w:pPr>
            <w:r>
              <w:rPr>
                <w:b w:val="false"/>
                <w:bCs w:val="false"/>
                <w:color w:val="57534D"/>
                <w:sz w:val="20"/>
                <w:szCs w:val="20"/>
              </w:rPr>
              <w:t xml:space="preserve">Complete and deployed</w:t>
            </w:r>
          </w:p>
        </w:tc>
      </w:tr>
    </w:tbl>
    <w:p>
      <w:pPr>
        <w:spacing w:after="200"/>
      </w:pPr>
    </w:p>
    <w:p>
      <w:pPr>
        <w:spacing w:after="160" w:line="300"/>
      </w:pPr>
      <w:r>
        <w:rPr>
          <w:color w:val="1C1917"/>
          <w:sz w:val="22"/>
          <w:szCs w:val="22"/>
        </w:rPr>
        <w:t xml:space="preserve">Version 2 is not a replacement that made Version 1 obsolete. Both are live, both are assessable, and the migration between them is itself part of what is being submitted.</w:t>
      </w:r>
    </w:p>
    <w:p>
      <w:r>
        <w:br w:type="page"/>
      </w:r>
    </w:p>
    <w:p>
      <w:pPr>
        <w:pStyle w:val="Heading1"/>
        <w:spacing w:after="200" w:before="400"/>
      </w:pPr>
      <w:r>
        <w:rPr>
          <w:b/>
          <w:bCs/>
          <w:color w:val="1C1917"/>
          <w:sz w:val="34"/>
          <w:szCs w:val="34"/>
        </w:rPr>
        <w:t xml:space="preserve">2. Conception: The Original Idea</w:t>
      </w:r>
    </w:p>
    <w:p>
      <w:pPr>
        <w:spacing w:after="160" w:line="300"/>
      </w:pPr>
      <w:r>
        <w:rPr>
          <w:color w:val="1C1917"/>
          <w:sz w:val="22"/>
          <w:szCs w:val="22"/>
        </w:rPr>
        <w:t xml:space="preserve">The project began with museums. The observation was straightforward: museum audio guides are usually a rented handset or a heavyweight app download, and most visitors use neither. A QR code on a wall label that opens a good mobile page requires nothing of the visitor but a camera they already have in their hand.</w:t>
      </w:r>
    </w:p>
    <w:p>
      <w:pPr>
        <w:spacing w:after="160" w:line="300"/>
      </w:pPr>
      <w:r>
        <w:rPr>
          <w:color w:val="1C1917"/>
          <w:sz w:val="22"/>
          <w:szCs w:val="22"/>
        </w:rPr>
        <w:t xml:space="preserve">The original framing was business-to-business software sold to cultural institutions — a modern replacement for the audio guide, licensed per venue.</w:t>
      </w:r>
    </w:p>
    <w:p>
      <w:pPr>
        <w:spacing w:after="160" w:line="300"/>
      </w:pPr>
      <w:r>
        <w:rPr>
          <w:color w:val="1C1917"/>
          <w:sz w:val="22"/>
          <w:szCs w:val="22"/>
        </w:rPr>
        <w:t xml:space="preserve">The core technical hypothesis was narrow enough to test: that a visitor would scan a code and consume content without being asked to log in first. Everything else — accounts, collections, annotations — sat on top of that and only mattered if the base behaviour worked.</w:t>
      </w:r>
    </w:p>
    <w:p>
      <w:pPr>
        <w:pStyle w:val="Heading2"/>
        <w:spacing w:after="140" w:before="300"/>
      </w:pPr>
      <w:r>
        <w:rPr>
          <w:b/>
          <w:bCs/>
          <w:color w:val="8A5A2B"/>
          <w:sz w:val="26"/>
          <w:szCs w:val="26"/>
        </w:rPr>
        <w:t xml:space="preserve">Why it did not survive contact with the market</w:t>
      </w:r>
    </w:p>
    <w:p>
      <w:pPr>
        <w:spacing w:after="160" w:line="300"/>
      </w:pPr>
      <w:r>
        <w:rPr>
          <w:color w:val="1C1917"/>
          <w:sz w:val="22"/>
          <w:szCs w:val="22"/>
        </w:rPr>
        <w:t xml:space="preserve">Two structural problems emerged during the early business analysis, and neither was solvable by building better software.</w:t>
      </w:r>
    </w:p>
    <w:p>
      <w:pPr>
        <w:spacing w:after="80"/>
      </w:pPr>
    </w:p>
    <w:p>
      <w:pPr>
        <w:pStyle w:val="ListParagraph"/>
        <w:numPr>
          <w:ilvl w:val="0"/>
          <w:numId w:val="2"/>
        </w:numPr>
        <w:spacing w:after="90" w:line="290"/>
      </w:pPr>
      <w:r>
        <w:rPr>
          <w:color w:val="1C1917"/>
          <w:sz w:val="22"/>
          <w:szCs w:val="22"/>
        </w:rPr>
        <w:t xml:space="preserve">A free incumbent. Bloomberg Connects is a philanthropically funded museum guide app used by over 1,500 institutions, offered at no cost. Competing on features against a well-resourced product that is free to the customer is not a winnable position for a new entrant.</w:t>
      </w:r>
    </w:p>
    <w:p>
      <w:pPr>
        <w:pStyle w:val="ListParagraph"/>
        <w:numPr>
          <w:ilvl w:val="0"/>
          <w:numId w:val="2"/>
        </w:numPr>
        <w:spacing w:after="90" w:line="290"/>
      </w:pPr>
      <w:r>
        <w:rPr>
          <w:color w:val="1C1917"/>
          <w:sz w:val="22"/>
          <w:szCs w:val="22"/>
        </w:rPr>
        <w:t xml:space="preserve">Procurement timelines. Museum purchasing cycles typically run six to eighteen months. For a product with no runway to speak of, a sales cycle longer than the project itself is fatal regardless of product quality.</w:t>
      </w:r>
    </w:p>
    <w:p>
      <w:pPr>
        <w:spacing w:after="140"/>
      </w:pPr>
    </w:p>
    <w:p>
      <w:pPr>
        <w:spacing w:after="160" w:line="300"/>
      </w:pPr>
      <w:r>
        <w:rPr>
          <w:color w:val="1C1917"/>
          <w:sz w:val="22"/>
          <w:szCs w:val="22"/>
        </w:rPr>
        <w:t xml:space="preserve">The conclusion was not that the idea was wrong, but that the customer was.</w:t>
      </w:r>
    </w:p>
    <w:p>
      <w:r>
        <w:br w:type="page"/>
      </w:r>
    </w:p>
    <w:p>
      <w:pPr>
        <w:pStyle w:val="Heading1"/>
        <w:spacing w:after="200" w:before="400"/>
      </w:pPr>
      <w:r>
        <w:rPr>
          <w:b/>
          <w:bCs/>
          <w:color w:val="1C1917"/>
          <w:sz w:val="34"/>
          <w:szCs w:val="34"/>
        </w:rPr>
        <w:t xml:space="preserve">3. The Pivot: From Museums to Commercial Galleries</w:t>
      </w:r>
    </w:p>
    <w:p>
      <w:pPr>
        <w:spacing w:after="160" w:line="300"/>
      </w:pPr>
      <w:r>
        <w:rPr>
          <w:color w:val="1C1917"/>
          <w:sz w:val="22"/>
          <w:szCs w:val="22"/>
        </w:rPr>
        <w:t xml:space="preserve">The pivot moved the product from public museums to independent commercial art galleries. It was made deliberately and early — before significant build effort had been committed — and it changed the product's reason for existing.</w:t>
      </w:r>
    </w:p>
    <w:p>
      <w:pPr>
        <w:pStyle w:val="Heading2"/>
        <w:spacing w:after="140" w:before="300"/>
      </w:pPr>
      <w:r>
        <w:rPr>
          <w:b/>
          <w:bCs/>
          <w:color w:val="8A5A2B"/>
          <w:sz w:val="26"/>
          <w:szCs w:val="26"/>
        </w:rPr>
        <w:t xml:space="preserve">Why galleries are a better target</w:t>
      </w:r>
    </w:p>
    <w:p>
      <w:pPr>
        <w:pStyle w:val="ListParagraph"/>
        <w:numPr>
          <w:ilvl w:val="0"/>
          <w:numId w:val="2"/>
        </w:numPr>
        <w:spacing w:after="90" w:line="290"/>
      </w:pPr>
      <w:r>
        <w:rPr>
          <w:color w:val="1C1917"/>
          <w:sz w:val="22"/>
          <w:szCs w:val="22"/>
        </w:rPr>
        <w:t xml:space="preserve">The incumbent structurally cannot follow. Bloomberg Connects operates under a philanthropic mandate that prevents it from charging for-profit art dealers. This is not a gap a competitor might close next quarter; it is a constraint written into how the incumbent is funded.</w:t>
      </w:r>
    </w:p>
    <w:p>
      <w:pPr>
        <w:pStyle w:val="ListParagraph"/>
        <w:numPr>
          <w:ilvl w:val="0"/>
          <w:numId w:val="2"/>
        </w:numPr>
        <w:spacing w:after="90" w:line="290"/>
      </w:pPr>
      <w:r>
        <w:rPr>
          <w:color w:val="1C1917"/>
          <w:sz w:val="22"/>
          <w:szCs w:val="22"/>
        </w:rPr>
        <w:t xml:space="preserve">Galleries have measurable pain. A visitor stands in front of a work, is interested, and leaves without speaking to anyone. The gallery never learns it happened. That is a lost sale at the moment of peak intent.</w:t>
      </w:r>
    </w:p>
    <w:p>
      <w:pPr>
        <w:pStyle w:val="ListParagraph"/>
        <w:numPr>
          <w:ilvl w:val="0"/>
          <w:numId w:val="2"/>
        </w:numPr>
        <w:spacing w:after="90" w:line="290"/>
      </w:pPr>
      <w:r>
        <w:rPr>
          <w:color w:val="1C1917"/>
          <w:sz w:val="22"/>
          <w:szCs w:val="22"/>
        </w:rPr>
        <w:t xml:space="preserve">There is a budget and a short decision cycle. Galleries hold sales budgets, and the decision belongs to a director who can say yes in weeks rather than quarters.</w:t>
      </w:r>
    </w:p>
    <w:p>
      <w:pPr>
        <w:pStyle w:val="Heading2"/>
        <w:spacing w:after="140" w:before="300"/>
      </w:pPr>
      <w:r>
        <w:rPr>
          <w:b/>
          <w:bCs/>
          <w:color w:val="8A5A2B"/>
          <w:sz w:val="26"/>
          <w:szCs w:val="26"/>
        </w:rPr>
        <w:t xml:space="preserve">The reframe that followed</w:t>
      </w:r>
    </w:p>
    <w:p>
      <w:pPr>
        <w:spacing w:after="160" w:line="300"/>
      </w:pPr>
      <w:r>
        <w:rPr>
          <w:color w:val="1C1917"/>
          <w:sz w:val="22"/>
          <w:szCs w:val="22"/>
        </w:rPr>
        <w:t xml:space="preserve">The pivot changed what the product </w:t>
      </w:r>
      <w:r>
        <w:rPr>
          <w:b w:val="false"/>
          <w:bCs w:val="false"/>
          <w:i/>
          <w:iCs/>
          <w:color w:val="1C1917"/>
          <w:sz w:val="22"/>
          <w:szCs w:val="22"/>
        </w:rPr>
        <w:t xml:space="preserve">is</w:t>
      </w:r>
      <w:r>
        <w:rPr>
          <w:color w:val="1C1917"/>
          <w:sz w:val="22"/>
          <w:szCs w:val="22"/>
        </w:rPr>
        <w:t xml:space="preserve">, not just who buys it. Instead of selling an audio guide, ExhibitGuide sells a </w:t>
      </w:r>
      <w:r>
        <w:rPr>
          <w:b/>
          <w:bCs/>
          <w:i w:val="false"/>
          <w:iCs w:val="false"/>
          <w:color w:val="1C1917"/>
          <w:sz w:val="22"/>
          <w:szCs w:val="22"/>
        </w:rPr>
        <w:t xml:space="preserve">visitor-intelligence and lead-capture layer</w:t>
      </w:r>
      <w:r>
        <w:rPr>
          <w:color w:val="1C1917"/>
          <w:sz w:val="22"/>
          <w:szCs w:val="22"/>
        </w:rPr>
        <w:t xml:space="preserve">. Every scan is a location-and-intent event. An opt-in turns that event into a qualified lead. Sales staff follow up already knowing which work held the visitor's attention and for how long.</w:t>
      </w:r>
    </w:p>
    <w:p>
      <w:pPr>
        <w:pBdr>
          <w:left w:val="single" w:color="8A5A2B" w:sz="12" w:space="12"/>
        </w:pBdr>
        <w:spacing w:after="200" w:before="160" w:line="300"/>
        <w:ind w:left="360"/>
      </w:pPr>
      <w:r>
        <w:rPr>
          <w:i/>
          <w:iCs/>
          <w:color w:val="57534D"/>
          <w:sz w:val="22"/>
          <w:szCs w:val="22"/>
        </w:rPr>
        <w:t xml:space="preserve">The moat is the accumulated engagement and lead data, not the audio. It compounds into a switching cost, and competitors constrained by a non-commercial mandate cannot replicate it.</w:t>
      </w:r>
    </w:p>
    <w:p>
      <w:pPr>
        <w:pStyle w:val="Heading2"/>
        <w:spacing w:after="140" w:before="300"/>
      </w:pPr>
      <w:r>
        <w:rPr>
          <w:b/>
          <w:bCs/>
          <w:color w:val="8A5A2B"/>
          <w:sz w:val="26"/>
          <w:szCs w:val="26"/>
        </w:rPr>
        <w:t xml:space="preserve">What changed in the build — and what did not</w:t>
      </w:r>
    </w:p>
    <w:p>
      <w:pPr>
        <w:spacing w:after="80"/>
      </w:pPr>
    </w:p>
    <w:tbl>
      <w:tblPr>
        <w:tblW w:type="dxa" w:w="9360"/>
        <w:tblBorders>
          <w:top w:val="single" w:color="D6D3D1" w:sz="4"/>
          <w:left w:val="none"/>
          <w:bottom w:val="single" w:color="D6D3D1" w:sz="4"/>
          <w:right w:val="none"/>
          <w:insideH w:val="single" w:color="D6D3D1" w:sz="2"/>
          <w:insideV w:val="none"/>
        </w:tblBorders>
      </w:tblPr>
      <w:tblGrid>
        <w:gridCol w:w="2100"/>
        <w:gridCol w:w="3630"/>
        <w:gridCol w:w="3630"/>
      </w:tblGrid>
      <w:tr>
        <w:trPr>
          <w:tblHeader/>
        </w:trPr>
        <w:tc>
          <w:tcPr>
            <w:tcW w:type="dxa" w:w="2100"/>
            <w:shd w:fill="F2EDE4" w:val="clear"/>
            <w:tcMar>
              <w:top w:type="dxa" w:w="90"/>
              <w:left w:type="dxa" w:w="120"/>
              <w:bottom w:type="dxa" w:w="90"/>
              <w:right w:type="dxa" w:w="120"/>
            </w:tcMar>
          </w:tcPr>
          <w:p>
            <w:pPr>
              <w:spacing w:after="0" w:line="270"/>
            </w:pPr>
            <w:r>
              <w:rPr>
                <w:b/>
                <w:bCs/>
                <w:color w:val="1C1917"/>
                <w:sz w:val="20"/>
                <w:szCs w:val="20"/>
              </w:rPr>
              <w:t xml:space="preserve">Aspect</w:t>
            </w:r>
          </w:p>
        </w:tc>
        <w:tc>
          <w:tcPr>
            <w:tcW w:type="dxa" w:w="3630"/>
            <w:shd w:fill="F2EDE4" w:val="clear"/>
            <w:tcMar>
              <w:top w:type="dxa" w:w="90"/>
              <w:left w:type="dxa" w:w="120"/>
              <w:bottom w:type="dxa" w:w="90"/>
              <w:right w:type="dxa" w:w="120"/>
            </w:tcMar>
          </w:tcPr>
          <w:p>
            <w:pPr>
              <w:spacing w:after="0" w:line="270"/>
            </w:pPr>
            <w:r>
              <w:rPr>
                <w:b/>
                <w:bCs/>
                <w:color w:val="1C1917"/>
                <w:sz w:val="20"/>
                <w:szCs w:val="20"/>
              </w:rPr>
              <w:t xml:space="preserve">Before (museums)</w:t>
            </w:r>
          </w:p>
        </w:tc>
        <w:tc>
          <w:tcPr>
            <w:tcW w:type="dxa" w:w="3630"/>
            <w:shd w:fill="F2EDE4" w:val="clear"/>
            <w:tcMar>
              <w:top w:type="dxa" w:w="90"/>
              <w:left w:type="dxa" w:w="120"/>
              <w:bottom w:type="dxa" w:w="90"/>
              <w:right w:type="dxa" w:w="120"/>
            </w:tcMar>
          </w:tcPr>
          <w:p>
            <w:pPr>
              <w:spacing w:after="0" w:line="270"/>
            </w:pPr>
            <w:r>
              <w:rPr>
                <w:b/>
                <w:bCs/>
                <w:color w:val="1C1917"/>
                <w:sz w:val="20"/>
                <w:szCs w:val="20"/>
              </w:rPr>
              <w:t xml:space="preserve">After (galleries)</w:t>
            </w:r>
          </w:p>
        </w:tc>
      </w:tr>
      <w:tr>
        <w:tc>
          <w:tcPr>
            <w:tcW w:type="dxa" w:w="2100"/>
            <w:tcMar>
              <w:top w:type="dxa" w:w="90"/>
              <w:left w:type="dxa" w:w="120"/>
              <w:bottom w:type="dxa" w:w="90"/>
              <w:right w:type="dxa" w:w="120"/>
            </w:tcMar>
          </w:tcPr>
          <w:p>
            <w:pPr>
              <w:spacing w:after="0" w:line="270"/>
            </w:pPr>
            <w:r>
              <w:rPr>
                <w:b/>
                <w:bCs/>
                <w:color w:val="57534D"/>
                <w:sz w:val="20"/>
                <w:szCs w:val="20"/>
              </w:rPr>
              <w:t xml:space="preserve">Operator</w:t>
            </w:r>
          </w:p>
        </w:tc>
        <w:tc>
          <w:tcPr>
            <w:tcW w:type="dxa" w:w="3630"/>
            <w:tcMar>
              <w:top w:type="dxa" w:w="90"/>
              <w:left w:type="dxa" w:w="120"/>
              <w:bottom w:type="dxa" w:w="90"/>
              <w:right w:type="dxa" w:w="120"/>
            </w:tcMar>
          </w:tcPr>
          <w:p>
            <w:pPr>
              <w:spacing w:after="0" w:line="270"/>
            </w:pPr>
            <w:r>
              <w:rPr>
                <w:b w:val="false"/>
                <w:bCs w:val="false"/>
                <w:color w:val="57534D"/>
                <w:sz w:val="20"/>
                <w:szCs w:val="20"/>
              </w:rPr>
              <w:t xml:space="preserve">Museum digital team</w:t>
            </w:r>
          </w:p>
        </w:tc>
        <w:tc>
          <w:tcPr>
            <w:tcW w:type="dxa" w:w="3630"/>
            <w:tcMar>
              <w:top w:type="dxa" w:w="90"/>
              <w:left w:type="dxa" w:w="120"/>
              <w:bottom w:type="dxa" w:w="90"/>
              <w:right w:type="dxa" w:w="120"/>
            </w:tcMar>
          </w:tcPr>
          <w:p>
            <w:pPr>
              <w:spacing w:after="0" w:line="270"/>
            </w:pPr>
            <w:r>
              <w:rPr>
                <w:b w:val="false"/>
                <w:bCs w:val="false"/>
                <w:color w:val="57534D"/>
                <w:sz w:val="20"/>
                <w:szCs w:val="20"/>
              </w:rPr>
              <w:t xml:space="preserve">Gallery director / sales lead</w:t>
            </w:r>
          </w:p>
        </w:tc>
      </w:tr>
      <w:tr>
        <w:tc>
          <w:tcPr>
            <w:tcW w:type="dxa" w:w="2100"/>
            <w:tcMar>
              <w:top w:type="dxa" w:w="90"/>
              <w:left w:type="dxa" w:w="120"/>
              <w:bottom w:type="dxa" w:w="90"/>
              <w:right w:type="dxa" w:w="120"/>
            </w:tcMar>
          </w:tcPr>
          <w:p>
            <w:pPr>
              <w:spacing w:after="0" w:line="270"/>
            </w:pPr>
            <w:r>
              <w:rPr>
                <w:b/>
                <w:bCs/>
                <w:color w:val="57534D"/>
                <w:sz w:val="20"/>
                <w:szCs w:val="20"/>
              </w:rPr>
              <w:t xml:space="preserve">Visitor</w:t>
            </w:r>
          </w:p>
        </w:tc>
        <w:tc>
          <w:tcPr>
            <w:tcW w:type="dxa" w:w="3630"/>
            <w:tcMar>
              <w:top w:type="dxa" w:w="90"/>
              <w:left w:type="dxa" w:w="120"/>
              <w:bottom w:type="dxa" w:w="90"/>
              <w:right w:type="dxa" w:w="120"/>
            </w:tcMar>
          </w:tcPr>
          <w:p>
            <w:pPr>
              <w:spacing w:after="0" w:line="270"/>
            </w:pPr>
            <w:r>
              <w:rPr>
                <w:b w:val="false"/>
                <w:bCs w:val="false"/>
                <w:color w:val="57534D"/>
                <w:sz w:val="20"/>
                <w:szCs w:val="20"/>
              </w:rPr>
              <w:t xml:space="preserve">General public</w:t>
            </w:r>
          </w:p>
        </w:tc>
        <w:tc>
          <w:tcPr>
            <w:tcW w:type="dxa" w:w="3630"/>
            <w:tcMar>
              <w:top w:type="dxa" w:w="90"/>
              <w:left w:type="dxa" w:w="120"/>
              <w:bottom w:type="dxa" w:w="90"/>
              <w:right w:type="dxa" w:w="120"/>
            </w:tcMar>
          </w:tcPr>
          <w:p>
            <w:pPr>
              <w:spacing w:after="0" w:line="270"/>
            </w:pPr>
            <w:r>
              <w:rPr>
                <w:b w:val="false"/>
                <w:bCs w:val="false"/>
                <w:color w:val="57534D"/>
                <w:sz w:val="20"/>
                <w:szCs w:val="20"/>
              </w:rPr>
              <w:t xml:space="preserve">Prospect / collector</w:t>
            </w:r>
          </w:p>
        </w:tc>
      </w:tr>
      <w:tr>
        <w:tc>
          <w:tcPr>
            <w:tcW w:type="dxa" w:w="2100"/>
            <w:tcMar>
              <w:top w:type="dxa" w:w="90"/>
              <w:left w:type="dxa" w:w="120"/>
              <w:bottom w:type="dxa" w:w="90"/>
              <w:right w:type="dxa" w:w="120"/>
            </w:tcMar>
          </w:tcPr>
          <w:p>
            <w:pPr>
              <w:spacing w:after="0" w:line="270"/>
            </w:pPr>
            <w:r>
              <w:rPr>
                <w:b/>
                <w:bCs/>
                <w:color w:val="57534D"/>
                <w:sz w:val="20"/>
                <w:szCs w:val="20"/>
              </w:rPr>
              <w:t xml:space="preserve">"Save" means</w:t>
            </w:r>
          </w:p>
        </w:tc>
        <w:tc>
          <w:tcPr>
            <w:tcW w:type="dxa" w:w="3630"/>
            <w:tcMar>
              <w:top w:type="dxa" w:w="90"/>
              <w:left w:type="dxa" w:w="120"/>
              <w:bottom w:type="dxa" w:w="90"/>
              <w:right w:type="dxa" w:w="120"/>
            </w:tcMar>
          </w:tcPr>
          <w:p>
            <w:pPr>
              <w:spacing w:after="0" w:line="270"/>
            </w:pPr>
            <w:r>
              <w:rPr>
                <w:b w:val="false"/>
                <w:bCs w:val="false"/>
                <w:color w:val="57534D"/>
                <w:sz w:val="20"/>
                <w:szCs w:val="20"/>
              </w:rPr>
              <w:t xml:space="preserve">Bookmark for later</w:t>
            </w:r>
          </w:p>
        </w:tc>
        <w:tc>
          <w:tcPr>
            <w:tcW w:type="dxa" w:w="3630"/>
            <w:tcMar>
              <w:top w:type="dxa" w:w="90"/>
              <w:left w:type="dxa" w:w="120"/>
              <w:bottom w:type="dxa" w:w="90"/>
              <w:right w:type="dxa" w:w="120"/>
            </w:tcMar>
          </w:tcPr>
          <w:p>
            <w:pPr>
              <w:spacing w:after="0" w:line="270"/>
            </w:pPr>
            <w:r>
              <w:rPr>
                <w:b w:val="false"/>
                <w:bCs w:val="false"/>
                <w:color w:val="57534D"/>
                <w:sz w:val="20"/>
                <w:szCs w:val="20"/>
              </w:rPr>
              <w:t xml:space="preserve">A lead signal</w:t>
            </w:r>
          </w:p>
        </w:tc>
      </w:tr>
      <w:tr>
        <w:tc>
          <w:tcPr>
            <w:tcW w:type="dxa" w:w="2100"/>
            <w:tcMar>
              <w:top w:type="dxa" w:w="90"/>
              <w:left w:type="dxa" w:w="120"/>
              <w:bottom w:type="dxa" w:w="90"/>
              <w:right w:type="dxa" w:w="120"/>
            </w:tcMar>
          </w:tcPr>
          <w:p>
            <w:pPr>
              <w:spacing w:after="0" w:line="270"/>
            </w:pPr>
            <w:r>
              <w:rPr>
                <w:b/>
                <w:bCs/>
                <w:color w:val="57534D"/>
                <w:sz w:val="20"/>
                <w:szCs w:val="20"/>
              </w:rPr>
              <w:t xml:space="preserve">Data model</w:t>
            </w:r>
          </w:p>
        </w:tc>
        <w:tc>
          <w:tcPr>
            <w:tcW w:type="dxa" w:w="3630"/>
            <w:tcMar>
              <w:top w:type="dxa" w:w="90"/>
              <w:left w:type="dxa" w:w="120"/>
              <w:bottom w:type="dxa" w:w="90"/>
              <w:right w:type="dxa" w:w="120"/>
            </w:tcMar>
          </w:tcPr>
          <w:p>
            <w:pPr>
              <w:spacing w:after="0" w:line="270"/>
            </w:pPr>
            <w:r>
              <w:rPr>
                <w:b w:val="false"/>
                <w:bCs w:val="false"/>
                <w:color w:val="57534D"/>
                <w:sz w:val="20"/>
                <w:szCs w:val="20"/>
              </w:rPr>
              <w:t xml:space="preserve">Institution → Exhibit</w:t>
            </w:r>
          </w:p>
        </w:tc>
        <w:tc>
          <w:tcPr>
            <w:tcW w:type="dxa" w:w="3630"/>
            <w:tcMar>
              <w:top w:type="dxa" w:w="90"/>
              <w:left w:type="dxa" w:w="120"/>
              <w:bottom w:type="dxa" w:w="90"/>
              <w:right w:type="dxa" w:w="120"/>
            </w:tcMar>
          </w:tcPr>
          <w:p>
            <w:pPr>
              <w:spacing w:after="0" w:line="270"/>
            </w:pPr>
            <w:r>
              <w:rPr>
                <w:b w:val="false"/>
                <w:bCs w:val="false"/>
                <w:color w:val="57534D"/>
                <w:sz w:val="20"/>
                <w:szCs w:val="20"/>
              </w:rPr>
              <w:t xml:space="preserve">Gallery → Show → Artwork, plus engagement events and leads</w:t>
            </w:r>
          </w:p>
        </w:tc>
      </w:tr>
      <w:tr>
        <w:tc>
          <w:tcPr>
            <w:tcW w:type="dxa" w:w="2100"/>
            <w:tcMar>
              <w:top w:type="dxa" w:w="90"/>
              <w:left w:type="dxa" w:w="120"/>
              <w:bottom w:type="dxa" w:w="90"/>
              <w:right w:type="dxa" w:w="120"/>
            </w:tcMar>
          </w:tcPr>
          <w:p>
            <w:pPr>
              <w:spacing w:after="0" w:line="270"/>
            </w:pPr>
            <w:r>
              <w:rPr>
                <w:b/>
                <w:bCs/>
                <w:color w:val="57534D"/>
                <w:sz w:val="20"/>
                <w:szCs w:val="20"/>
              </w:rPr>
              <w:t xml:space="preserve">Success measured by</w:t>
            </w:r>
          </w:p>
        </w:tc>
        <w:tc>
          <w:tcPr>
            <w:tcW w:type="dxa" w:w="3630"/>
            <w:tcMar>
              <w:top w:type="dxa" w:w="90"/>
              <w:left w:type="dxa" w:w="120"/>
              <w:bottom w:type="dxa" w:w="90"/>
              <w:right w:type="dxa" w:w="120"/>
            </w:tcMar>
          </w:tcPr>
          <w:p>
            <w:pPr>
              <w:spacing w:after="0" w:line="270"/>
            </w:pPr>
            <w:r>
              <w:rPr>
                <w:b w:val="false"/>
                <w:bCs w:val="false"/>
                <w:color w:val="57534D"/>
                <w:sz w:val="20"/>
                <w:szCs w:val="20"/>
              </w:rPr>
              <w:t xml:space="preserve">Engagement volume</w:t>
            </w:r>
          </w:p>
        </w:tc>
        <w:tc>
          <w:tcPr>
            <w:tcW w:type="dxa" w:w="3630"/>
            <w:tcMar>
              <w:top w:type="dxa" w:w="90"/>
              <w:left w:type="dxa" w:w="120"/>
              <w:bottom w:type="dxa" w:w="90"/>
              <w:right w:type="dxa" w:w="120"/>
            </w:tcMar>
          </w:tcPr>
          <w:p>
            <w:pPr>
              <w:spacing w:after="0" w:line="270"/>
            </w:pPr>
            <w:r>
              <w:rPr>
                <w:b w:val="false"/>
                <w:bCs w:val="false"/>
                <w:color w:val="57534D"/>
                <w:sz w:val="20"/>
                <w:szCs w:val="20"/>
              </w:rPr>
              <w:t xml:space="preserve">Lead-capture rate and follow-up conversion</w:t>
            </w:r>
          </w:p>
        </w:tc>
      </w:tr>
    </w:tbl>
    <w:p>
      <w:pPr>
        <w:spacing w:after="200"/>
      </w:pPr>
    </w:p>
    <w:p>
      <w:pPr>
        <w:spacing w:after="160" w:line="300"/>
      </w:pPr>
      <w:r>
        <w:rPr>
          <w:color w:val="1C1917"/>
          <w:sz w:val="22"/>
          <w:szCs w:val="22"/>
        </w:rPr>
        <w:t xml:space="preserve">Two decisions were preserved through the pivot because they were sound regardless of customer: the </w:t>
      </w:r>
      <w:r>
        <w:rPr>
          <w:b/>
          <w:bCs/>
          <w:i w:val="false"/>
          <w:iCs w:val="false"/>
          <w:color w:val="1C1917"/>
          <w:sz w:val="22"/>
          <w:szCs w:val="22"/>
        </w:rPr>
        <w:t xml:space="preserve">CRUD model</w:t>
      </w:r>
      <w:r>
        <w:rPr>
          <w:color w:val="1C1917"/>
          <w:sz w:val="22"/>
          <w:szCs w:val="22"/>
        </w:rPr>
        <w:t xml:space="preserve"> (create = save to a collection, read = view in text, audio or video, update = annotate, delete = remove), and the </w:t>
      </w:r>
      <w:r>
        <w:rPr>
          <w:b/>
          <w:bCs/>
          <w:i w:val="false"/>
          <w:iCs w:val="false"/>
          <w:color w:val="1C1917"/>
          <w:sz w:val="22"/>
          <w:szCs w:val="22"/>
        </w:rPr>
        <w:t xml:space="preserve">build order</w:t>
      </w:r>
      <w:r>
        <w:rPr>
          <w:color w:val="1C1917"/>
          <w:sz w:val="22"/>
          <w:szCs w:val="22"/>
        </w:rPr>
        <w:t xml:space="preserve"> — public read before authentication.</w:t>
      </w:r>
    </w:p>
    <w:p>
      <w:pPr>
        <w:spacing w:after="160" w:line="300"/>
      </w:pPr>
      <w:r>
        <w:rPr>
          <w:color w:val="1C1917"/>
          <w:sz w:val="22"/>
          <w:szCs w:val="22"/>
        </w:rPr>
        <w:t xml:space="preserve">That second decision mattered more than it might appear. Building the scan-to-content flow first meant the riskiest assumption in the whole product was tested before a single line of account management was written. Authentication was introduced only when there was something that genuinely required it.</w:t>
      </w:r>
    </w:p>
    <w:p>
      <w:r>
        <w:br w:type="page"/>
      </w:r>
    </w:p>
    <w:p>
      <w:pPr>
        <w:pStyle w:val="Heading1"/>
        <w:spacing w:after="200" w:before="400"/>
      </w:pPr>
      <w:r>
        <w:rPr>
          <w:b/>
          <w:bCs/>
          <w:color w:val="1C1917"/>
          <w:sz w:val="34"/>
          <w:szCs w:val="34"/>
        </w:rPr>
        <w:t xml:space="preserve">4. Planning: The Schedule and User Stories</w:t>
      </w:r>
    </w:p>
    <w:p>
      <w:pPr>
        <w:spacing w:after="160" w:line="300"/>
      </w:pPr>
      <w:r>
        <w:rPr>
          <w:color w:val="1C1917"/>
          <w:sz w:val="22"/>
          <w:szCs w:val="22"/>
        </w:rPr>
        <w:t xml:space="preserve">The work was planned on a FigJam board holding a feature list, a sprint timeline, a full epic breakdown, and user stories written in standard form with acceptance criteria. The board is a live artefact and is linked at the end of this document.</w:t>
      </w:r>
    </w:p>
    <w:p>
      <w:pPr>
        <w:spacing w:after="120" w:line="300"/>
      </w:pPr>
      <w:hyperlink w:history="1" r:id="rId5hof6034tmyiwodppyji9">
        <w:r>
          <w:rPr>
            <w:color w:val="1155CC"/>
            <w:sz w:val="22"/>
            <w:szCs w:val="22"/>
            <w:u w:val="single"/>
          </w:rPr>
          <w:t xml:space="preserve">FigJam — the planning board</w:t>
        </w:r>
      </w:hyperlink>
    </w:p>
    <w:p>
      <w:pPr>
        <w:pStyle w:val="Heading2"/>
        <w:spacing w:after="140" w:before="300"/>
      </w:pPr>
      <w:r>
        <w:rPr>
          <w:b/>
          <w:bCs/>
          <w:color w:val="8A5A2B"/>
          <w:sz w:val="26"/>
          <w:szCs w:val="26"/>
        </w:rPr>
        <w:t xml:space="preserve">The timeline</w:t>
      </w:r>
    </w:p>
    <w:p>
      <w:pPr>
        <w:spacing w:after="160" w:line="300"/>
      </w:pPr>
      <w:r>
        <w:rPr>
          <w:color w:val="1C1917"/>
          <w:sz w:val="22"/>
          <w:szCs w:val="22"/>
        </w:rPr>
        <w:t xml:space="preserve">The project ran across five sprints between June and August 2026, with a presentation checkpoint roughly every week:</w:t>
      </w:r>
    </w:p>
    <w:p>
      <w:pPr>
        <w:spacing w:after="80"/>
      </w:pPr>
    </w:p>
    <w:tbl>
      <w:tblPr>
        <w:tblW w:type="dxa" w:w="9360"/>
        <w:tblBorders>
          <w:top w:val="single" w:color="D6D3D1" w:sz="4"/>
          <w:left w:val="none"/>
          <w:bottom w:val="single" w:color="D6D3D1" w:sz="4"/>
          <w:right w:val="none"/>
          <w:insideH w:val="single" w:color="D6D3D1" w:sz="2"/>
          <w:insideV w:val="none"/>
        </w:tblBorders>
      </w:tblPr>
      <w:tblGrid>
        <w:gridCol w:w="2600"/>
        <w:gridCol w:w="1800"/>
        <w:gridCol w:w="4960"/>
      </w:tblGrid>
      <w:tr>
        <w:trPr>
          <w:tblHeader/>
        </w:trPr>
        <w:tc>
          <w:tcPr>
            <w:tcW w:type="dxa" w:w="2600"/>
            <w:shd w:fill="F2EDE4" w:val="clear"/>
            <w:tcMar>
              <w:top w:type="dxa" w:w="90"/>
              <w:left w:type="dxa" w:w="120"/>
              <w:bottom w:type="dxa" w:w="90"/>
              <w:right w:type="dxa" w:w="120"/>
            </w:tcMar>
          </w:tcPr>
          <w:p>
            <w:pPr>
              <w:spacing w:after="0" w:line="270"/>
            </w:pPr>
            <w:r>
              <w:rPr>
                <w:b/>
                <w:bCs/>
                <w:color w:val="1C1917"/>
                <w:sz w:val="20"/>
                <w:szCs w:val="20"/>
              </w:rPr>
              <w:t xml:space="preserve">Checkpoint</w:t>
            </w:r>
          </w:p>
        </w:tc>
        <w:tc>
          <w:tcPr>
            <w:tcW w:type="dxa" w:w="1800"/>
            <w:shd w:fill="F2EDE4" w:val="clear"/>
            <w:tcMar>
              <w:top w:type="dxa" w:w="90"/>
              <w:left w:type="dxa" w:w="120"/>
              <w:bottom w:type="dxa" w:w="90"/>
              <w:right w:type="dxa" w:w="120"/>
            </w:tcMar>
          </w:tcPr>
          <w:p>
            <w:pPr>
              <w:spacing w:after="0" w:line="270"/>
            </w:pPr>
            <w:r>
              <w:rPr>
                <w:b/>
                <w:bCs/>
                <w:color w:val="1C1917"/>
                <w:sz w:val="20"/>
                <w:szCs w:val="20"/>
              </w:rPr>
              <w:t xml:space="preserve">Date</w:t>
            </w:r>
          </w:p>
        </w:tc>
        <w:tc>
          <w:tcPr>
            <w:tcW w:type="dxa" w:w="4960"/>
            <w:shd w:fill="F2EDE4" w:val="clear"/>
            <w:tcMar>
              <w:top w:type="dxa" w:w="90"/>
              <w:left w:type="dxa" w:w="120"/>
              <w:bottom w:type="dxa" w:w="90"/>
              <w:right w:type="dxa" w:w="120"/>
            </w:tcMar>
          </w:tcPr>
          <w:p>
            <w:pPr>
              <w:spacing w:after="0" w:line="270"/>
            </w:pPr>
            <w:r>
              <w:rPr>
                <w:b/>
                <w:bCs/>
                <w:color w:val="1C1917"/>
                <w:sz w:val="20"/>
                <w:szCs w:val="20"/>
              </w:rPr>
              <w:t xml:space="preserve">Focus</w:t>
            </w:r>
          </w:p>
        </w:tc>
      </w:tr>
      <w:tr>
        <w:tc>
          <w:tcPr>
            <w:tcW w:type="dxa" w:w="2600"/>
            <w:tcMar>
              <w:top w:type="dxa" w:w="90"/>
              <w:left w:type="dxa" w:w="120"/>
              <w:bottom w:type="dxa" w:w="90"/>
              <w:right w:type="dxa" w:w="120"/>
            </w:tcMar>
          </w:tcPr>
          <w:p>
            <w:pPr>
              <w:spacing w:after="0" w:line="270"/>
            </w:pPr>
            <w:r>
              <w:rPr>
                <w:b/>
                <w:bCs/>
                <w:color w:val="57534D"/>
                <w:sz w:val="20"/>
                <w:szCs w:val="20"/>
              </w:rPr>
              <w:t xml:space="preserve">Presentation 0</w:t>
            </w:r>
          </w:p>
        </w:tc>
        <w:tc>
          <w:tcPr>
            <w:tcW w:type="dxa" w:w="1800"/>
            <w:tcMar>
              <w:top w:type="dxa" w:w="90"/>
              <w:left w:type="dxa" w:w="120"/>
              <w:bottom w:type="dxa" w:w="90"/>
              <w:right w:type="dxa" w:w="120"/>
            </w:tcMar>
          </w:tcPr>
          <w:p>
            <w:pPr>
              <w:spacing w:after="0" w:line="270"/>
            </w:pPr>
            <w:r>
              <w:rPr>
                <w:b w:val="false"/>
                <w:bCs w:val="false"/>
                <w:color w:val="57534D"/>
                <w:sz w:val="20"/>
                <w:szCs w:val="20"/>
              </w:rPr>
              <w:t xml:space="preserve">11 June</w:t>
            </w:r>
          </w:p>
        </w:tc>
        <w:tc>
          <w:tcPr>
            <w:tcW w:type="dxa" w:w="4960"/>
            <w:tcMar>
              <w:top w:type="dxa" w:w="90"/>
              <w:left w:type="dxa" w:w="120"/>
              <w:bottom w:type="dxa" w:w="90"/>
              <w:right w:type="dxa" w:w="120"/>
            </w:tcMar>
          </w:tcPr>
          <w:p>
            <w:pPr>
              <w:spacing w:after="0" w:line="270"/>
            </w:pPr>
            <w:r>
              <w:rPr>
                <w:b w:val="false"/>
                <w:bCs w:val="false"/>
                <w:color w:val="57534D"/>
                <w:sz w:val="20"/>
                <w:szCs w:val="20"/>
              </w:rPr>
              <w:t xml:space="preserve">Concept and problem framing</w:t>
            </w:r>
          </w:p>
        </w:tc>
      </w:tr>
      <w:tr>
        <w:tc>
          <w:tcPr>
            <w:tcW w:type="dxa" w:w="2600"/>
            <w:tcMar>
              <w:top w:type="dxa" w:w="90"/>
              <w:left w:type="dxa" w:w="120"/>
              <w:bottom w:type="dxa" w:w="90"/>
              <w:right w:type="dxa" w:w="120"/>
            </w:tcMar>
          </w:tcPr>
          <w:p>
            <w:pPr>
              <w:spacing w:after="0" w:line="270"/>
            </w:pPr>
            <w:r>
              <w:rPr>
                <w:b/>
                <w:bCs/>
                <w:color w:val="57534D"/>
                <w:sz w:val="20"/>
                <w:szCs w:val="20"/>
              </w:rPr>
              <w:t xml:space="preserve">Presentation 1</w:t>
            </w:r>
          </w:p>
        </w:tc>
        <w:tc>
          <w:tcPr>
            <w:tcW w:type="dxa" w:w="1800"/>
            <w:tcMar>
              <w:top w:type="dxa" w:w="90"/>
              <w:left w:type="dxa" w:w="120"/>
              <w:bottom w:type="dxa" w:w="90"/>
              <w:right w:type="dxa" w:w="120"/>
            </w:tcMar>
          </w:tcPr>
          <w:p>
            <w:pPr>
              <w:spacing w:after="0" w:line="270"/>
            </w:pPr>
            <w:r>
              <w:rPr>
                <w:b w:val="false"/>
                <w:bCs w:val="false"/>
                <w:color w:val="57534D"/>
                <w:sz w:val="20"/>
                <w:szCs w:val="20"/>
              </w:rPr>
              <w:t xml:space="preserve">18 June</w:t>
            </w:r>
          </w:p>
        </w:tc>
        <w:tc>
          <w:tcPr>
            <w:tcW w:type="dxa" w:w="4960"/>
            <w:tcMar>
              <w:top w:type="dxa" w:w="90"/>
              <w:left w:type="dxa" w:w="120"/>
              <w:bottom w:type="dxa" w:w="90"/>
              <w:right w:type="dxa" w:w="120"/>
            </w:tcMar>
          </w:tcPr>
          <w:p>
            <w:pPr>
              <w:spacing w:after="0" w:line="270"/>
            </w:pPr>
            <w:r>
              <w:rPr>
                <w:b w:val="false"/>
                <w:bCs w:val="false"/>
                <w:color w:val="57534D"/>
                <w:sz w:val="20"/>
                <w:szCs w:val="20"/>
              </w:rPr>
              <w:t xml:space="preserve">Post-pivot positioning; Epic 0 scaffolding</w:t>
            </w:r>
          </w:p>
        </w:tc>
      </w:tr>
      <w:tr>
        <w:tc>
          <w:tcPr>
            <w:tcW w:type="dxa" w:w="2600"/>
            <w:tcMar>
              <w:top w:type="dxa" w:w="90"/>
              <w:left w:type="dxa" w:w="120"/>
              <w:bottom w:type="dxa" w:w="90"/>
              <w:right w:type="dxa" w:w="120"/>
            </w:tcMar>
          </w:tcPr>
          <w:p>
            <w:pPr>
              <w:spacing w:after="0" w:line="270"/>
            </w:pPr>
            <w:r>
              <w:rPr>
                <w:b/>
                <w:bCs/>
                <w:color w:val="57534D"/>
                <w:sz w:val="20"/>
                <w:szCs w:val="20"/>
              </w:rPr>
              <w:t xml:space="preserve">Presentation 2</w:t>
            </w:r>
          </w:p>
        </w:tc>
        <w:tc>
          <w:tcPr>
            <w:tcW w:type="dxa" w:w="1800"/>
            <w:tcMar>
              <w:top w:type="dxa" w:w="90"/>
              <w:left w:type="dxa" w:w="120"/>
              <w:bottom w:type="dxa" w:w="90"/>
              <w:right w:type="dxa" w:w="120"/>
            </w:tcMar>
          </w:tcPr>
          <w:p>
            <w:pPr>
              <w:spacing w:after="0" w:line="270"/>
            </w:pPr>
            <w:r>
              <w:rPr>
                <w:b w:val="false"/>
                <w:bCs w:val="false"/>
                <w:color w:val="57534D"/>
                <w:sz w:val="20"/>
                <w:szCs w:val="20"/>
              </w:rPr>
              <w:t xml:space="preserve">25 June</w:t>
            </w:r>
          </w:p>
        </w:tc>
        <w:tc>
          <w:tcPr>
            <w:tcW w:type="dxa" w:w="4960"/>
            <w:tcMar>
              <w:top w:type="dxa" w:w="90"/>
              <w:left w:type="dxa" w:w="120"/>
              <w:bottom w:type="dxa" w:w="90"/>
              <w:right w:type="dxa" w:w="120"/>
            </w:tcMar>
          </w:tcPr>
          <w:p>
            <w:pPr>
              <w:spacing w:after="0" w:line="270"/>
            </w:pPr>
            <w:r>
              <w:rPr>
                <w:b w:val="false"/>
                <w:bCs w:val="false"/>
                <w:color w:val="57534D"/>
                <w:sz w:val="20"/>
                <w:szCs w:val="20"/>
              </w:rPr>
              <w:t xml:space="preserve">Read flow and gallery CMS</w:t>
            </w:r>
          </w:p>
        </w:tc>
      </w:tr>
      <w:tr>
        <w:tc>
          <w:tcPr>
            <w:tcW w:type="dxa" w:w="2600"/>
            <w:tcMar>
              <w:top w:type="dxa" w:w="90"/>
              <w:left w:type="dxa" w:w="120"/>
              <w:bottom w:type="dxa" w:w="90"/>
              <w:right w:type="dxa" w:w="120"/>
            </w:tcMar>
          </w:tcPr>
          <w:p>
            <w:pPr>
              <w:spacing w:after="0" w:line="270"/>
            </w:pPr>
            <w:r>
              <w:rPr>
                <w:b/>
                <w:bCs/>
                <w:color w:val="57534D"/>
                <w:sz w:val="20"/>
                <w:szCs w:val="20"/>
              </w:rPr>
              <w:t xml:space="preserve">Presentation 3</w:t>
            </w:r>
          </w:p>
        </w:tc>
        <w:tc>
          <w:tcPr>
            <w:tcW w:type="dxa" w:w="1800"/>
            <w:tcMar>
              <w:top w:type="dxa" w:w="90"/>
              <w:left w:type="dxa" w:w="120"/>
              <w:bottom w:type="dxa" w:w="90"/>
              <w:right w:type="dxa" w:w="120"/>
            </w:tcMar>
          </w:tcPr>
          <w:p>
            <w:pPr>
              <w:spacing w:after="0" w:line="270"/>
            </w:pPr>
            <w:r>
              <w:rPr>
                <w:b w:val="false"/>
                <w:bCs w:val="false"/>
                <w:color w:val="57534D"/>
                <w:sz w:val="20"/>
                <w:szCs w:val="20"/>
              </w:rPr>
              <w:t xml:space="preserve">2 July</w:t>
            </w:r>
          </w:p>
        </w:tc>
        <w:tc>
          <w:tcPr>
            <w:tcW w:type="dxa" w:w="4960"/>
            <w:tcMar>
              <w:top w:type="dxa" w:w="90"/>
              <w:left w:type="dxa" w:w="120"/>
              <w:bottom w:type="dxa" w:w="90"/>
              <w:right w:type="dxa" w:w="120"/>
            </w:tcMar>
          </w:tcPr>
          <w:p>
            <w:pPr>
              <w:spacing w:after="0" w:line="270"/>
            </w:pPr>
            <w:r>
              <w:rPr>
                <w:b w:val="false"/>
                <w:bCs w:val="false"/>
                <w:color w:val="57534D"/>
                <w:sz w:val="20"/>
                <w:szCs w:val="20"/>
              </w:rPr>
              <w:t xml:space="preserve">Authentication, save and collections</w:t>
            </w:r>
          </w:p>
        </w:tc>
      </w:tr>
      <w:tr>
        <w:tc>
          <w:tcPr>
            <w:tcW w:type="dxa" w:w="2600"/>
            <w:tcMar>
              <w:top w:type="dxa" w:w="90"/>
              <w:left w:type="dxa" w:w="120"/>
              <w:bottom w:type="dxa" w:w="90"/>
              <w:right w:type="dxa" w:w="120"/>
            </w:tcMar>
          </w:tcPr>
          <w:p>
            <w:pPr>
              <w:spacing w:after="0" w:line="270"/>
            </w:pPr>
            <w:r>
              <w:rPr>
                <w:b/>
                <w:bCs/>
                <w:color w:val="57534D"/>
                <w:sz w:val="20"/>
                <w:szCs w:val="20"/>
              </w:rPr>
              <w:t xml:space="preserve">Presentation 4</w:t>
            </w:r>
          </w:p>
        </w:tc>
        <w:tc>
          <w:tcPr>
            <w:tcW w:type="dxa" w:w="1800"/>
            <w:tcMar>
              <w:top w:type="dxa" w:w="90"/>
              <w:left w:type="dxa" w:w="120"/>
              <w:bottom w:type="dxa" w:w="90"/>
              <w:right w:type="dxa" w:w="120"/>
            </w:tcMar>
          </w:tcPr>
          <w:p>
            <w:pPr>
              <w:spacing w:after="0" w:line="270"/>
            </w:pPr>
            <w:r>
              <w:rPr>
                <w:b w:val="false"/>
                <w:bCs w:val="false"/>
                <w:color w:val="57534D"/>
                <w:sz w:val="20"/>
                <w:szCs w:val="20"/>
              </w:rPr>
              <w:t xml:space="preserve">9 July</w:t>
            </w:r>
          </w:p>
        </w:tc>
        <w:tc>
          <w:tcPr>
            <w:tcW w:type="dxa" w:w="4960"/>
            <w:tcMar>
              <w:top w:type="dxa" w:w="90"/>
              <w:left w:type="dxa" w:w="120"/>
              <w:bottom w:type="dxa" w:w="90"/>
              <w:right w:type="dxa" w:w="120"/>
            </w:tcMar>
          </w:tcPr>
          <w:p>
            <w:pPr>
              <w:spacing w:after="0" w:line="270"/>
            </w:pPr>
            <w:r>
              <w:rPr>
                <w:b w:val="false"/>
                <w:bCs w:val="false"/>
                <w:color w:val="57534D"/>
                <w:sz w:val="20"/>
                <w:szCs w:val="20"/>
              </w:rPr>
              <w:t xml:space="preserve">QR scanner; React and REST migration begins</w:t>
            </w:r>
          </w:p>
        </w:tc>
      </w:tr>
      <w:tr>
        <w:tc>
          <w:tcPr>
            <w:tcW w:type="dxa" w:w="2600"/>
            <w:tcMar>
              <w:top w:type="dxa" w:w="90"/>
              <w:left w:type="dxa" w:w="120"/>
              <w:bottom w:type="dxa" w:w="90"/>
              <w:right w:type="dxa" w:w="120"/>
            </w:tcMar>
          </w:tcPr>
          <w:p>
            <w:pPr>
              <w:spacing w:after="0" w:line="270"/>
            </w:pPr>
            <w:r>
              <w:rPr>
                <w:b/>
                <w:bCs/>
                <w:color w:val="57534D"/>
                <w:sz w:val="20"/>
                <w:szCs w:val="20"/>
              </w:rPr>
              <w:t xml:space="preserve">Final Submission</w:t>
            </w:r>
          </w:p>
        </w:tc>
        <w:tc>
          <w:tcPr>
            <w:tcW w:type="dxa" w:w="1800"/>
            <w:tcMar>
              <w:top w:type="dxa" w:w="90"/>
              <w:left w:type="dxa" w:w="120"/>
              <w:bottom w:type="dxa" w:w="90"/>
              <w:right w:type="dxa" w:w="120"/>
            </w:tcMar>
          </w:tcPr>
          <w:p>
            <w:pPr>
              <w:spacing w:after="0" w:line="270"/>
            </w:pPr>
            <w:r>
              <w:rPr>
                <w:b w:val="false"/>
                <w:bCs w:val="false"/>
                <w:color w:val="57534D"/>
                <w:sz w:val="20"/>
                <w:szCs w:val="20"/>
              </w:rPr>
              <w:t xml:space="preserve">1 August</w:t>
            </w:r>
          </w:p>
        </w:tc>
        <w:tc>
          <w:tcPr>
            <w:tcW w:type="dxa" w:w="4960"/>
            <w:tcMar>
              <w:top w:type="dxa" w:w="90"/>
              <w:left w:type="dxa" w:w="120"/>
              <w:bottom w:type="dxa" w:w="90"/>
              <w:right w:type="dxa" w:w="120"/>
            </w:tcMar>
          </w:tcPr>
          <w:p>
            <w:pPr>
              <w:spacing w:after="0" w:line="270"/>
            </w:pPr>
            <w:r>
              <w:rPr>
                <w:b w:val="false"/>
                <w:bCs w:val="false"/>
                <w:color w:val="57534D"/>
                <w:sz w:val="20"/>
                <w:szCs w:val="20"/>
              </w:rPr>
              <w:t xml:space="preserve">Both versions deployed and documented</w:t>
            </w:r>
          </w:p>
        </w:tc>
      </w:tr>
    </w:tbl>
    <w:p>
      <w:pPr>
        <w:pStyle w:val="Heading2"/>
        <w:spacing w:after="140" w:before="300"/>
      </w:pPr>
      <w:r>
        <w:rPr>
          <w:b/>
          <w:bCs/>
          <w:color w:val="8A5A2B"/>
          <w:sz w:val="26"/>
          <w:szCs w:val="26"/>
        </w:rPr>
        <w:t xml:space="preserve">The epic breakdown</w:t>
      </w:r>
    </w:p>
    <w:p>
      <w:pPr>
        <w:spacing w:after="160" w:line="300"/>
      </w:pPr>
      <w:r>
        <w:rPr>
          <w:color w:val="1C1917"/>
          <w:sz w:val="22"/>
          <w:szCs w:val="22"/>
        </w:rPr>
        <w:t xml:space="preserve">Epics were numbered to match build order, so the sequence of work is legible from the numbering alone:</w:t>
      </w:r>
    </w:p>
    <w:p>
      <w:pPr>
        <w:spacing w:after="80"/>
      </w:pPr>
    </w:p>
    <w:p>
      <w:pPr>
        <w:pStyle w:val="ListParagraph"/>
        <w:numPr>
          <w:ilvl w:val="0"/>
          <w:numId w:val="2"/>
        </w:numPr>
        <w:spacing w:after="90" w:line="290"/>
      </w:pPr>
      <w:r>
        <w:rPr>
          <w:color w:val="1C1917"/>
          <w:sz w:val="22"/>
          <w:szCs w:val="22"/>
        </w:rPr>
        <w:t xml:space="preserve">Epic 0 — Project scaffolding: Django project, REST API skeleton, data model</w:t>
      </w:r>
    </w:p>
    <w:p>
      <w:pPr>
        <w:pStyle w:val="ListParagraph"/>
        <w:numPr>
          <w:ilvl w:val="0"/>
          <w:numId w:val="2"/>
        </w:numPr>
        <w:spacing w:after="90" w:line="290"/>
      </w:pPr>
      <w:r>
        <w:rPr>
          <w:color w:val="1C1917"/>
          <w:sz w:val="22"/>
          <w:szCs w:val="22"/>
        </w:rPr>
        <w:t xml:space="preserve">Epic 1 — Read / view content in three formats: the core MVP hypothesis</w:t>
      </w:r>
    </w:p>
    <w:p>
      <w:pPr>
        <w:pStyle w:val="ListParagraph"/>
        <w:numPr>
          <w:ilvl w:val="0"/>
          <w:numId w:val="2"/>
        </w:numPr>
        <w:spacing w:after="90" w:line="290"/>
      </w:pPr>
      <w:r>
        <w:rPr>
          <w:color w:val="1C1917"/>
          <w:sz w:val="22"/>
          <w:szCs w:val="22"/>
        </w:rPr>
        <w:t xml:space="preserve">Epic 2 — Gallery CMS via Django admin: staff create and publish shows and artworks</w:t>
      </w:r>
    </w:p>
    <w:p>
      <w:pPr>
        <w:pStyle w:val="ListParagraph"/>
        <w:numPr>
          <w:ilvl w:val="0"/>
          <w:numId w:val="2"/>
        </w:numPr>
        <w:spacing w:after="90" w:line="290"/>
      </w:pPr>
      <w:r>
        <w:rPr>
          <w:color w:val="1C1917"/>
          <w:sz w:val="22"/>
          <w:szCs w:val="22"/>
        </w:rPr>
        <w:t xml:space="preserve">Epic 3 — Authentication: registration, login, logout, password reset</w:t>
      </w:r>
    </w:p>
    <w:p>
      <w:pPr>
        <w:pStyle w:val="ListParagraph"/>
        <w:numPr>
          <w:ilvl w:val="0"/>
          <w:numId w:val="2"/>
        </w:numPr>
        <w:spacing w:after="90" w:line="290"/>
      </w:pPr>
      <w:r>
        <w:rPr>
          <w:color w:val="1C1917"/>
          <w:sz w:val="22"/>
          <w:szCs w:val="22"/>
        </w:rPr>
        <w:t xml:space="preserve">Epic 4 — Create collection: save an artwork, which doubles as the lead signal</w:t>
      </w:r>
    </w:p>
    <w:p>
      <w:pPr>
        <w:pStyle w:val="ListParagraph"/>
        <w:numPr>
          <w:ilvl w:val="0"/>
          <w:numId w:val="2"/>
        </w:numPr>
        <w:spacing w:after="90" w:line="290"/>
      </w:pPr>
      <w:r>
        <w:rPr>
          <w:color w:val="1C1917"/>
          <w:sz w:val="22"/>
          <w:szCs w:val="22"/>
        </w:rPr>
        <w:t xml:space="preserve">Epic 5 — Update: annotations and private notes</w:t>
      </w:r>
    </w:p>
    <w:p>
      <w:pPr>
        <w:pStyle w:val="ListParagraph"/>
        <w:numPr>
          <w:ilvl w:val="0"/>
          <w:numId w:val="2"/>
        </w:numPr>
        <w:spacing w:after="90" w:line="290"/>
      </w:pPr>
      <w:r>
        <w:rPr>
          <w:color w:val="1C1917"/>
          <w:sz w:val="22"/>
          <w:szCs w:val="22"/>
        </w:rPr>
        <w:t xml:space="preserve">Epic 6 — Delete: remove saved artworks and collections</w:t>
      </w:r>
    </w:p>
    <w:p>
      <w:pPr>
        <w:pStyle w:val="ListParagraph"/>
        <w:numPr>
          <w:ilvl w:val="0"/>
          <w:numId w:val="2"/>
        </w:numPr>
        <w:spacing w:after="90" w:line="290"/>
      </w:pPr>
      <w:r>
        <w:rPr>
          <w:color w:val="1C1917"/>
          <w:sz w:val="22"/>
          <w:szCs w:val="22"/>
        </w:rPr>
        <w:t xml:space="preserve">Epic 7 — QR scanner: deep-link routing from a printed code to an artwork page</w:t>
      </w:r>
    </w:p>
    <w:p>
      <w:pPr>
        <w:pStyle w:val="ListParagraph"/>
        <w:numPr>
          <w:ilvl w:val="0"/>
          <w:numId w:val="2"/>
        </w:numPr>
        <w:spacing w:after="90" w:line="290"/>
      </w:pPr>
      <w:r>
        <w:rPr>
          <w:color w:val="1C1917"/>
          <w:sz w:val="22"/>
          <w:szCs w:val="22"/>
        </w:rPr>
        <w:t xml:space="preserve">Epic 8 — React and Django REST: the architectural migration</w:t>
      </w:r>
    </w:p>
    <w:p>
      <w:pPr>
        <w:pStyle w:val="ListParagraph"/>
        <w:numPr>
          <w:ilvl w:val="0"/>
          <w:numId w:val="2"/>
        </w:numPr>
        <w:spacing w:after="90" w:line="290"/>
      </w:pPr>
      <w:r>
        <w:rPr>
          <w:color w:val="1C1917"/>
          <w:sz w:val="22"/>
          <w:szCs w:val="22"/>
        </w:rPr>
        <w:t xml:space="preserve">Epic 8b — Visitor intelligence and lead capture: the commercial differentiator (partially delivered — see section 8)</w:t>
      </w:r>
    </w:p>
    <w:p>
      <w:pPr>
        <w:pStyle w:val="ListParagraph"/>
        <w:numPr>
          <w:ilvl w:val="0"/>
          <w:numId w:val="2"/>
        </w:numPr>
        <w:spacing w:after="90" w:line="290"/>
      </w:pPr>
      <w:r>
        <w:rPr>
          <w:color w:val="1C1917"/>
          <w:sz w:val="22"/>
          <w:szCs w:val="22"/>
        </w:rPr>
        <w:t xml:space="preserve">Epic 9 — PWA resilience: offline caching for patchy gallery wifi (not started — see section 8)</w:t>
      </w:r>
    </w:p>
    <w:p>
      <w:pPr>
        <w:pStyle w:val="Heading2"/>
        <w:spacing w:after="140" w:before="300"/>
      </w:pPr>
      <w:r>
        <w:rPr>
          <w:b/>
          <w:bCs/>
          <w:color w:val="8A5A2B"/>
          <w:sz w:val="26"/>
          <w:szCs w:val="26"/>
        </w:rPr>
        <w:t xml:space="preserve">User stories</w:t>
      </w:r>
    </w:p>
    <w:p>
      <w:pPr>
        <w:spacing w:after="160" w:line="300"/>
      </w:pPr>
      <w:r>
        <w:rPr>
          <w:color w:val="1C1917"/>
          <w:sz w:val="22"/>
          <w:szCs w:val="22"/>
        </w:rPr>
        <w:t xml:space="preserve">Stories were written from the perspective of the two personas the pivot defined — the prospect (visitor) and the gallery operator — each with explicit acceptance criteria. Representative examples:</w:t>
      </w:r>
    </w:p>
    <w:p>
      <w:pPr>
        <w:spacing w:after="120"/>
      </w:pPr>
    </w:p>
    <w:p>
      <w:pPr>
        <w:pBdr>
          <w:left w:val="single" w:color="8A5A2B" w:sz="12" w:space="12"/>
        </w:pBdr>
        <w:spacing w:after="200" w:before="160" w:line="300"/>
        <w:ind w:left="360"/>
      </w:pPr>
      <w:r>
        <w:rPr>
          <w:i/>
          <w:iCs/>
          <w:color w:val="57534D"/>
          <w:sz w:val="22"/>
          <w:szCs w:val="22"/>
        </w:rPr>
        <w:t xml:space="preserve">US-1.1 — As a visitor, I want to scan a QR code so that I can see the exhibit information/story instantly.</w:t>
      </w:r>
    </w:p>
    <w:p>
      <w:pPr>
        <w:pBdr>
          <w:left w:val="single" w:color="8A5A2B" w:sz="12" w:space="12"/>
        </w:pBdr>
        <w:spacing w:after="200" w:before="160" w:line="300"/>
        <w:ind w:left="360"/>
      </w:pPr>
      <w:r>
        <w:rPr>
          <w:i/>
          <w:iCs/>
          <w:color w:val="57534D"/>
          <w:sz w:val="22"/>
          <w:szCs w:val="22"/>
        </w:rPr>
        <w:t xml:space="preserve">US-4.1 — As a logged-in prospect, I want to save an artwork to my collection so that I can revisit it and signal my interest.</w:t>
      </w:r>
    </w:p>
    <w:p>
      <w:pPr>
        <w:pBdr>
          <w:left w:val="single" w:color="8A5A2B" w:sz="12" w:space="12"/>
        </w:pBdr>
        <w:spacing w:after="200" w:before="160" w:line="300"/>
        <w:ind w:left="360"/>
      </w:pPr>
      <w:r>
        <w:rPr>
          <w:i/>
          <w:iCs/>
          <w:color w:val="57534D"/>
          <w:sz w:val="22"/>
          <w:szCs w:val="22"/>
        </w:rPr>
        <w:t xml:space="preserve">US-0.3 — As a developer, I want to define the data model and migrations so that Gallery, Show, Artwork, Collection, EngagementEvent and Lead records exist and are related.</w:t>
      </w:r>
    </w:p>
    <w:p>
      <w:pPr>
        <w:spacing w:after="160" w:line="300"/>
      </w:pPr>
      <w:r>
        <w:rPr>
          <w:color w:val="1C1917"/>
          <w:sz w:val="22"/>
          <w:szCs w:val="22"/>
        </w:rPr>
        <w:t xml:space="preserve">Writing the developer-facing scaffolding work as user stories alongside the visitor-facing ones kept the whole board in one currency, and made sequencing decisions explicit rather than implicit.</w:t>
      </w:r>
    </w:p>
    <w:p>
      <w:pPr>
        <w:pStyle w:val="Heading2"/>
        <w:spacing w:after="140" w:before="300"/>
      </w:pPr>
      <w:r>
        <w:rPr>
          <w:b/>
          <w:bCs/>
          <w:color w:val="8A5A2B"/>
          <w:sz w:val="26"/>
          <w:szCs w:val="26"/>
        </w:rPr>
        <w:t xml:space="preserve">Testing with users at every checkpoint</w:t>
      </w:r>
    </w:p>
    <w:p>
      <w:pPr>
        <w:spacing w:after="160" w:line="300"/>
      </w:pPr>
      <w:r>
        <w:rPr>
          <w:color w:val="1C1917"/>
          <w:sz w:val="22"/>
          <w:szCs w:val="22"/>
        </w:rPr>
        <w:t xml:space="preserve">The board carries a dedicated </w:t>
      </w:r>
      <w:r>
        <w:rPr>
          <w:b/>
          <w:bCs/>
          <w:i w:val="false"/>
          <w:iCs w:val="false"/>
          <w:color w:val="1C1917"/>
          <w:sz w:val="22"/>
          <w:szCs w:val="22"/>
        </w:rPr>
        <w:t xml:space="preserve">Learning</w:t>
      </w:r>
      <w:r>
        <w:rPr>
          <w:color w:val="1C1917"/>
          <w:sz w:val="22"/>
          <w:szCs w:val="22"/>
        </w:rPr>
        <w:t xml:space="preserve"> swimlane, and it is not decoration. User testing was carried out at each of the points marked on it, and the findings fed directly back into the next sprint.</w:t>
      </w:r>
    </w:p>
    <w:p>
      <w:pPr>
        <w:spacing w:after="160" w:line="300"/>
      </w:pPr>
      <w:r>
        <w:rPr>
          <w:color w:val="1C1917"/>
          <w:sz w:val="22"/>
          <w:szCs w:val="22"/>
        </w:rPr>
        <w:t xml:space="preserve">This is the mechanism that shaped the visitor experience. Each round surfaced friction that was not visible from the inside of the build — where people hesitated, what they expected to happen after a scan, which parts of the interface they simply did not notice. Functionality and design were refined in response rather than to a fixed specification written at the start.</w:t>
      </w:r>
    </w:p>
    <w:p>
      <w:pPr>
        <w:spacing w:after="160" w:line="300"/>
      </w:pPr>
      <w:r>
        <w:rPr>
          <w:color w:val="1C1917"/>
          <w:sz w:val="22"/>
          <w:szCs w:val="22"/>
        </w:rPr>
        <w:t xml:space="preserve">Running the testing in step with the sprint cadence, rather than saving it for the end, meant corrections were cheap. A misunderstanding found in week two changed a screen; the same misunderstanding found in week six would have changed a build.</w:t>
      </w:r>
    </w:p>
    <w:p>
      <w:r>
        <w:br w:type="page"/>
      </w:r>
    </w:p>
    <w:p>
      <w:pPr>
        <w:pStyle w:val="Heading1"/>
        <w:spacing w:after="200" w:before="400"/>
      </w:pPr>
      <w:r>
        <w:rPr>
          <w:b/>
          <w:bCs/>
          <w:color w:val="1C1917"/>
          <w:sz w:val="34"/>
          <w:szCs w:val="34"/>
        </w:rPr>
        <w:t xml:space="preserve">5. The First Build: Django</w:t>
      </w:r>
    </w:p>
    <w:p>
      <w:pPr>
        <w:spacing w:after="160" w:line="300"/>
      </w:pPr>
      <w:r>
        <w:rPr>
          <w:color w:val="1C1917"/>
          <w:sz w:val="22"/>
          <w:szCs w:val="22"/>
        </w:rPr>
        <w:t xml:space="preserve">Version 1 was a conventional Django application. Django was chosen because it supplies, out of the box, most of what the product needed at this stage: an ORM, migrations, authentication, and, critically, an admin interface capable of acting as the gallery CMS with no custom build work.</w:t>
      </w:r>
    </w:p>
    <w:p>
      <w:pPr>
        <w:pStyle w:val="Heading2"/>
        <w:spacing w:after="140" w:before="300"/>
      </w:pPr>
      <w:r>
        <w:rPr>
          <w:b/>
          <w:bCs/>
          <w:color w:val="8A5A2B"/>
          <w:sz w:val="26"/>
          <w:szCs w:val="26"/>
        </w:rPr>
        <w:t xml:space="preserve">What was built</w:t>
      </w:r>
    </w:p>
    <w:p>
      <w:pPr>
        <w:pStyle w:val="ListParagraph"/>
        <w:numPr>
          <w:ilvl w:val="0"/>
          <w:numId w:val="2"/>
        </w:numPr>
        <w:spacing w:after="90" w:line="290"/>
      </w:pPr>
      <w:r>
        <w:rPr>
          <w:color w:val="1C1917"/>
          <w:sz w:val="22"/>
          <w:szCs w:val="22"/>
        </w:rPr>
        <w:t xml:space="preserve">A normalised data model: Artist, Show, Artwork, and Exhibit, with visitor-side models for saved exhibits, collections, enquiries and prospects.</w:t>
      </w:r>
    </w:p>
    <w:p>
      <w:pPr>
        <w:pStyle w:val="ListParagraph"/>
        <w:numPr>
          <w:ilvl w:val="0"/>
          <w:numId w:val="2"/>
        </w:numPr>
        <w:spacing w:after="90" w:line="290"/>
      </w:pPr>
      <w:r>
        <w:rPr>
          <w:color w:val="1C1917"/>
          <w:sz w:val="22"/>
          <w:szCs w:val="22"/>
        </w:rPr>
        <w:t xml:space="preserve">A QR entry route resolving a printed identifier to a public artwork page, reachable without an account.</w:t>
      </w:r>
    </w:p>
    <w:p>
      <w:pPr>
        <w:pStyle w:val="ListParagraph"/>
        <w:numPr>
          <w:ilvl w:val="0"/>
          <w:numId w:val="2"/>
        </w:numPr>
        <w:spacing w:after="90" w:line="290"/>
      </w:pPr>
      <w:r>
        <w:rPr>
          <w:color w:val="1C1917"/>
          <w:sz w:val="22"/>
          <w:szCs w:val="22"/>
        </w:rPr>
        <w:t xml:space="preserve">Registration, login, logout and password reset using Django's auth system.</w:t>
      </w:r>
    </w:p>
    <w:p>
      <w:pPr>
        <w:pStyle w:val="ListParagraph"/>
        <w:numPr>
          <w:ilvl w:val="0"/>
          <w:numId w:val="2"/>
        </w:numPr>
        <w:spacing w:after="90" w:line="290"/>
      </w:pPr>
      <w:r>
        <w:rPr>
          <w:color w:val="1C1917"/>
          <w:sz w:val="22"/>
          <w:szCs w:val="22"/>
        </w:rPr>
        <w:t xml:space="preserve">A collector dashboard with a watchlist, enquiry submission, and status filters.</w:t>
      </w:r>
    </w:p>
    <w:p>
      <w:pPr>
        <w:pStyle w:val="ListParagraph"/>
        <w:numPr>
          <w:ilvl w:val="0"/>
          <w:numId w:val="2"/>
        </w:numPr>
        <w:spacing w:after="90" w:line="290"/>
      </w:pPr>
      <w:r>
        <w:rPr>
          <w:color w:val="1C1917"/>
          <w:sz w:val="22"/>
          <w:szCs w:val="22"/>
        </w:rPr>
        <w:t xml:space="preserve">The Django admin configured as the gallery CMS, with inline visibility of enquiries and prospects per artwork.</w:t>
      </w:r>
    </w:p>
    <w:p>
      <w:pPr>
        <w:pStyle w:val="ListParagraph"/>
        <w:numPr>
          <w:ilvl w:val="0"/>
          <w:numId w:val="2"/>
        </w:numPr>
        <w:spacing w:after="90" w:line="290"/>
      </w:pPr>
      <w:r>
        <w:rPr>
          <w:color w:val="1C1917"/>
          <w:sz w:val="22"/>
          <w:szCs w:val="22"/>
        </w:rPr>
        <w:t xml:space="preserve">Deployment to Render with PostgreSQL, WhiteNoise and Gunicorn.</w:t>
      </w:r>
    </w:p>
    <w:p>
      <w:pPr>
        <w:pStyle w:val="Heading2"/>
        <w:spacing w:after="140" w:before="300"/>
      </w:pPr>
      <w:r>
        <w:rPr>
          <w:b/>
          <w:bCs/>
          <w:color w:val="8A5A2B"/>
          <w:sz w:val="26"/>
          <w:szCs w:val="26"/>
        </w:rPr>
        <w:t xml:space="preserve">The data model: from first draft to normalised schema</w:t>
      </w:r>
    </w:p>
    <w:p>
      <w:pPr>
        <w:spacing w:after="160" w:line="300"/>
      </w:pPr>
      <w:r>
        <w:rPr>
          <w:color w:val="1C1917"/>
          <w:sz w:val="22"/>
          <w:szCs w:val="22"/>
        </w:rPr>
        <w:t xml:space="preserve">The first entity-relationship diagram (</w:t>
      </w:r>
      <w:r>
        <w:rPr>
          <w:b w:val="false"/>
          <w:bCs w:val="false"/>
          <w:i/>
          <w:iCs/>
          <w:color w:val="1C1917"/>
          <w:sz w:val="22"/>
          <w:szCs w:val="22"/>
        </w:rPr>
        <w:t xml:space="preserve">ERD_models/Original_ERD.png</w:t>
      </w:r>
      <w:r>
        <w:rPr>
          <w:color w:val="1C1917"/>
          <w:sz w:val="22"/>
          <w:szCs w:val="22"/>
        </w:rPr>
        <w:t xml:space="preserve">) modelled the domain with three tables: User, Exhibit and Prospect. Everything about a work lived on the Exhibit row — the show it appeared in, the artwork title, the artist, the medium, the dimensions and the provenance were all free-text columns on a single wide table.</w:t>
      </w:r>
    </w:p>
    <w:p>
      <w:pPr>
        <w:spacing w:after="160" w:line="300"/>
      </w:pPr>
      <w:r>
        <w:rPr>
          <w:color w:val="1C1917"/>
          <w:sz w:val="22"/>
          <w:szCs w:val="22"/>
        </w:rPr>
        <w:t xml:space="preserve">It was a reasonable first sketch, and it would have worked for a demonstration. It would not have survived a real gallery, for four related reasons:</w:t>
      </w:r>
    </w:p>
    <w:p>
      <w:pPr>
        <w:pStyle w:val="ListParagraph"/>
        <w:numPr>
          <w:ilvl w:val="0"/>
          <w:numId w:val="2"/>
        </w:numPr>
        <w:spacing w:after="90" w:line="290"/>
      </w:pPr>
      <w:r>
        <w:rPr>
          <w:color w:val="1C1917"/>
          <w:sz w:val="22"/>
          <w:szCs w:val="22"/>
        </w:rPr>
        <w:t xml:space="preserve">Repetition. A gallery showing eight works by one artist would store that artist's name eight times, retyped each time.</w:t>
      </w:r>
    </w:p>
    <w:p>
      <w:pPr>
        <w:pStyle w:val="ListParagraph"/>
        <w:numPr>
          <w:ilvl w:val="0"/>
          <w:numId w:val="2"/>
        </w:numPr>
        <w:spacing w:after="90" w:line="290"/>
      </w:pPr>
      <w:r>
        <w:rPr>
          <w:color w:val="1C1917"/>
          <w:sz w:val="22"/>
          <w:szCs w:val="22"/>
        </w:rPr>
        <w:t xml:space="preserve">No integrity. Because the artist was text rather than a record, "Vincent van Gogh" and "Vincent Van Gogh" would be two different artists as far as the database was concerned. Nothing prevents the typo, and nothing detects it afterwards.</w:t>
      </w:r>
    </w:p>
    <w:p>
      <w:pPr>
        <w:pStyle w:val="ListParagraph"/>
        <w:numPr>
          <w:ilvl w:val="0"/>
          <w:numId w:val="2"/>
        </w:numPr>
        <w:spacing w:after="90" w:line="290"/>
      </w:pPr>
      <w:r>
        <w:rPr>
          <w:color w:val="1C1917"/>
          <w:sz w:val="22"/>
          <w:szCs w:val="22"/>
        </w:rPr>
        <w:t xml:space="preserve">Queries the product needs become impossible. "Show me every work by this artist" or "filter this collection by show" cannot be answered reliably against free text — which matters, because the collector dashboard does exactly that.</w:t>
      </w:r>
    </w:p>
    <w:p>
      <w:pPr>
        <w:pStyle w:val="ListParagraph"/>
        <w:numPr>
          <w:ilvl w:val="0"/>
          <w:numId w:val="2"/>
        </w:numPr>
        <w:spacing w:after="90" w:line="290"/>
      </w:pPr>
      <w:r>
        <w:rPr>
          <w:color w:val="1C1917"/>
          <w:sz w:val="22"/>
          <w:szCs w:val="22"/>
        </w:rPr>
        <w:t xml:space="preserve">Update anomalies. Renaming a show, or correcting an artist's nationality, would mean editing every affected row rather than a single record.</w:t>
      </w:r>
    </w:p>
    <w:p>
      <w:pPr>
        <w:spacing w:after="140"/>
      </w:pPr>
    </w:p>
    <w:p>
      <w:pPr>
        <w:spacing w:after="160" w:line="300"/>
      </w:pPr>
      <w:r>
        <w:rPr>
          <w:color w:val="1C1917"/>
          <w:sz w:val="22"/>
          <w:szCs w:val="22"/>
        </w:rPr>
        <w:t xml:space="preserve">The schema was therefore normalised (</w:t>
      </w:r>
      <w:r>
        <w:rPr>
          <w:b w:val="false"/>
          <w:bCs w:val="false"/>
          <w:i/>
          <w:iCs/>
          <w:color w:val="1C1917"/>
          <w:sz w:val="22"/>
          <w:szCs w:val="22"/>
        </w:rPr>
        <w:t xml:space="preserve">ERD_models/normalized_erd.svg</w:t>
      </w:r>
      <w:r>
        <w:rPr>
          <w:color w:val="1C1917"/>
          <w:sz w:val="22"/>
          <w:szCs w:val="22"/>
        </w:rPr>
        <w:t xml:space="preserve">) before the build went further. The repeating groups were extracted into entities of their own, related by foreign keys:</w:t>
      </w:r>
    </w:p>
    <w:p>
      <w:pPr>
        <w:spacing w:after="80"/>
      </w:pPr>
    </w:p>
    <w:tbl>
      <w:tblPr>
        <w:tblW w:type="dxa" w:w="9360"/>
        <w:tblBorders>
          <w:top w:val="single" w:color="D6D3D1" w:sz="4"/>
          <w:left w:val="none"/>
          <w:bottom w:val="single" w:color="D6D3D1" w:sz="4"/>
          <w:right w:val="none"/>
          <w:insideH w:val="single" w:color="D6D3D1" w:sz="2"/>
          <w:insideV w:val="none"/>
        </w:tblBorders>
      </w:tblPr>
      <w:tblGrid>
        <w:gridCol w:w="1500"/>
        <w:gridCol w:w="4430"/>
        <w:gridCol w:w="3430"/>
      </w:tblGrid>
      <w:tr>
        <w:trPr>
          <w:tblHeader/>
        </w:trPr>
        <w:tc>
          <w:tcPr>
            <w:tcW w:type="dxa" w:w="1500"/>
            <w:shd w:fill="F2EDE4" w:val="clear"/>
            <w:tcMar>
              <w:top w:type="dxa" w:w="90"/>
              <w:left w:type="dxa" w:w="120"/>
              <w:bottom w:type="dxa" w:w="90"/>
              <w:right w:type="dxa" w:w="120"/>
            </w:tcMar>
          </w:tcPr>
          <w:p>
            <w:pPr>
              <w:spacing w:after="0" w:line="270"/>
            </w:pPr>
            <w:r>
              <w:rPr>
                <w:b/>
                <w:bCs/>
                <w:color w:val="1C1917"/>
                <w:sz w:val="20"/>
                <w:szCs w:val="20"/>
              </w:rPr>
              <w:t xml:space="preserve">Entity</w:t>
            </w:r>
          </w:p>
        </w:tc>
        <w:tc>
          <w:tcPr>
            <w:tcW w:type="dxa" w:w="4430"/>
            <w:shd w:fill="F2EDE4" w:val="clear"/>
            <w:tcMar>
              <w:top w:type="dxa" w:w="90"/>
              <w:left w:type="dxa" w:w="120"/>
              <w:bottom w:type="dxa" w:w="90"/>
              <w:right w:type="dxa" w:w="120"/>
            </w:tcMar>
          </w:tcPr>
          <w:p>
            <w:pPr>
              <w:spacing w:after="0" w:line="270"/>
            </w:pPr>
            <w:r>
              <w:rPr>
                <w:b/>
                <w:bCs/>
                <w:color w:val="1C1917"/>
                <w:sz w:val="20"/>
                <w:szCs w:val="20"/>
              </w:rPr>
              <w:t xml:space="preserve">Holds</w:t>
            </w:r>
          </w:p>
        </w:tc>
        <w:tc>
          <w:tcPr>
            <w:tcW w:type="dxa" w:w="3430"/>
            <w:shd w:fill="F2EDE4" w:val="clear"/>
            <w:tcMar>
              <w:top w:type="dxa" w:w="90"/>
              <w:left w:type="dxa" w:w="120"/>
              <w:bottom w:type="dxa" w:w="90"/>
              <w:right w:type="dxa" w:w="120"/>
            </w:tcMar>
          </w:tcPr>
          <w:p>
            <w:pPr>
              <w:spacing w:after="0" w:line="270"/>
            </w:pPr>
            <w:r>
              <w:rPr>
                <w:b/>
                <w:bCs/>
                <w:color w:val="1C1917"/>
                <w:sz w:val="20"/>
                <w:szCs w:val="20"/>
              </w:rPr>
              <w:t xml:space="preserve">Relationship</w:t>
            </w:r>
          </w:p>
        </w:tc>
      </w:tr>
      <w:tr>
        <w:tc>
          <w:tcPr>
            <w:tcW w:type="dxa" w:w="1500"/>
            <w:tcMar>
              <w:top w:type="dxa" w:w="90"/>
              <w:left w:type="dxa" w:w="120"/>
              <w:bottom w:type="dxa" w:w="90"/>
              <w:right w:type="dxa" w:w="120"/>
            </w:tcMar>
          </w:tcPr>
          <w:p>
            <w:pPr>
              <w:spacing w:after="0" w:line="270"/>
            </w:pPr>
            <w:r>
              <w:rPr>
                <w:b/>
                <w:bCs/>
                <w:color w:val="57534D"/>
                <w:sz w:val="20"/>
                <w:szCs w:val="20"/>
              </w:rPr>
              <w:t xml:space="preserve">Artist</w:t>
            </w:r>
          </w:p>
        </w:tc>
        <w:tc>
          <w:tcPr>
            <w:tcW w:type="dxa" w:w="4430"/>
            <w:tcMar>
              <w:top w:type="dxa" w:w="90"/>
              <w:left w:type="dxa" w:w="120"/>
              <w:bottom w:type="dxa" w:w="90"/>
              <w:right w:type="dxa" w:w="120"/>
            </w:tcMar>
          </w:tcPr>
          <w:p>
            <w:pPr>
              <w:spacing w:after="0" w:line="270"/>
            </w:pPr>
            <w:r>
              <w:rPr>
                <w:b w:val="false"/>
                <w:bCs w:val="false"/>
                <w:color w:val="57534D"/>
                <w:sz w:val="20"/>
                <w:szCs w:val="20"/>
              </w:rPr>
              <w:t xml:space="preserve">First and last name, nationality</w:t>
            </w:r>
          </w:p>
        </w:tc>
        <w:tc>
          <w:tcPr>
            <w:tcW w:type="dxa" w:w="3430"/>
            <w:tcMar>
              <w:top w:type="dxa" w:w="90"/>
              <w:left w:type="dxa" w:w="120"/>
              <w:bottom w:type="dxa" w:w="90"/>
              <w:right w:type="dxa" w:w="120"/>
            </w:tcMar>
          </w:tcPr>
          <w:p>
            <w:pPr>
              <w:spacing w:after="0" w:line="270"/>
            </w:pPr>
            <w:r>
              <w:rPr>
                <w:b w:val="false"/>
                <w:bCs w:val="false"/>
                <w:color w:val="57534D"/>
                <w:sz w:val="20"/>
                <w:szCs w:val="20"/>
              </w:rPr>
              <w:t xml:space="preserve">One artist has many artworks</w:t>
            </w:r>
          </w:p>
        </w:tc>
      </w:tr>
      <w:tr>
        <w:tc>
          <w:tcPr>
            <w:tcW w:type="dxa" w:w="1500"/>
            <w:tcMar>
              <w:top w:type="dxa" w:w="90"/>
              <w:left w:type="dxa" w:w="120"/>
              <w:bottom w:type="dxa" w:w="90"/>
              <w:right w:type="dxa" w:w="120"/>
            </w:tcMar>
          </w:tcPr>
          <w:p>
            <w:pPr>
              <w:spacing w:after="0" w:line="270"/>
            </w:pPr>
            <w:r>
              <w:rPr>
                <w:b/>
                <w:bCs/>
                <w:color w:val="57534D"/>
                <w:sz w:val="20"/>
                <w:szCs w:val="20"/>
              </w:rPr>
              <w:t xml:space="preserve">Show</w:t>
            </w:r>
          </w:p>
        </w:tc>
        <w:tc>
          <w:tcPr>
            <w:tcW w:type="dxa" w:w="4430"/>
            <w:tcMar>
              <w:top w:type="dxa" w:w="90"/>
              <w:left w:type="dxa" w:w="120"/>
              <w:bottom w:type="dxa" w:w="90"/>
              <w:right w:type="dxa" w:w="120"/>
            </w:tcMar>
          </w:tcPr>
          <w:p>
            <w:pPr>
              <w:spacing w:after="0" w:line="270"/>
            </w:pPr>
            <w:r>
              <w:rPr>
                <w:b w:val="false"/>
                <w:bCs w:val="false"/>
                <w:color w:val="57534D"/>
                <w:sz w:val="20"/>
                <w:szCs w:val="20"/>
              </w:rPr>
              <w:t xml:space="preserve">Title, start and end dates</w:t>
            </w:r>
          </w:p>
        </w:tc>
        <w:tc>
          <w:tcPr>
            <w:tcW w:type="dxa" w:w="3430"/>
            <w:tcMar>
              <w:top w:type="dxa" w:w="90"/>
              <w:left w:type="dxa" w:w="120"/>
              <w:bottom w:type="dxa" w:w="90"/>
              <w:right w:type="dxa" w:w="120"/>
            </w:tcMar>
          </w:tcPr>
          <w:p>
            <w:pPr>
              <w:spacing w:after="0" w:line="270"/>
            </w:pPr>
            <w:r>
              <w:rPr>
                <w:b w:val="false"/>
                <w:bCs w:val="false"/>
                <w:color w:val="57534D"/>
                <w:sz w:val="20"/>
                <w:szCs w:val="20"/>
              </w:rPr>
              <w:t xml:space="preserve">One show has many exhibits</w:t>
            </w:r>
          </w:p>
        </w:tc>
      </w:tr>
      <w:tr>
        <w:tc>
          <w:tcPr>
            <w:tcW w:type="dxa" w:w="1500"/>
            <w:tcMar>
              <w:top w:type="dxa" w:w="90"/>
              <w:left w:type="dxa" w:w="120"/>
              <w:bottom w:type="dxa" w:w="90"/>
              <w:right w:type="dxa" w:w="120"/>
            </w:tcMar>
          </w:tcPr>
          <w:p>
            <w:pPr>
              <w:spacing w:after="0" w:line="270"/>
            </w:pPr>
            <w:r>
              <w:rPr>
                <w:b/>
                <w:bCs/>
                <w:color w:val="57534D"/>
                <w:sz w:val="20"/>
                <w:szCs w:val="20"/>
              </w:rPr>
              <w:t xml:space="preserve">Artwork</w:t>
            </w:r>
          </w:p>
        </w:tc>
        <w:tc>
          <w:tcPr>
            <w:tcW w:type="dxa" w:w="4430"/>
            <w:tcMar>
              <w:top w:type="dxa" w:w="90"/>
              <w:left w:type="dxa" w:w="120"/>
              <w:bottom w:type="dxa" w:w="90"/>
              <w:right w:type="dxa" w:w="120"/>
            </w:tcMar>
          </w:tcPr>
          <w:p>
            <w:pPr>
              <w:spacing w:after="0" w:line="270"/>
            </w:pPr>
            <w:r>
              <w:rPr>
                <w:b w:val="false"/>
                <w:bCs w:val="false"/>
                <w:color w:val="57534D"/>
                <w:sz w:val="20"/>
                <w:szCs w:val="20"/>
              </w:rPr>
              <w:t xml:space="preserve">Title, medium, dimensions, provenance</w:t>
            </w:r>
          </w:p>
        </w:tc>
        <w:tc>
          <w:tcPr>
            <w:tcW w:type="dxa" w:w="3430"/>
            <w:tcMar>
              <w:top w:type="dxa" w:w="90"/>
              <w:left w:type="dxa" w:w="120"/>
              <w:bottom w:type="dxa" w:w="90"/>
              <w:right w:type="dxa" w:w="120"/>
            </w:tcMar>
          </w:tcPr>
          <w:p>
            <w:pPr>
              <w:spacing w:after="0" w:line="270"/>
            </w:pPr>
            <w:r>
              <w:rPr>
                <w:b w:val="false"/>
                <w:bCs w:val="false"/>
                <w:color w:val="57534D"/>
                <w:sz w:val="20"/>
                <w:szCs w:val="20"/>
              </w:rPr>
              <w:t xml:space="preserve">Belongs to one artist; may appear in many exhibits</w:t>
            </w:r>
          </w:p>
        </w:tc>
      </w:tr>
      <w:tr>
        <w:tc>
          <w:tcPr>
            <w:tcW w:type="dxa" w:w="1500"/>
            <w:tcMar>
              <w:top w:type="dxa" w:w="90"/>
              <w:left w:type="dxa" w:w="120"/>
              <w:bottom w:type="dxa" w:w="90"/>
              <w:right w:type="dxa" w:w="120"/>
            </w:tcMar>
          </w:tcPr>
          <w:p>
            <w:pPr>
              <w:spacing w:after="0" w:line="270"/>
            </w:pPr>
            <w:r>
              <w:rPr>
                <w:b/>
                <w:bCs/>
                <w:color w:val="57534D"/>
                <w:sz w:val="20"/>
                <w:szCs w:val="20"/>
              </w:rPr>
              <w:t xml:space="preserve">Exhibit</w:t>
            </w:r>
          </w:p>
        </w:tc>
        <w:tc>
          <w:tcPr>
            <w:tcW w:type="dxa" w:w="4430"/>
            <w:tcMar>
              <w:top w:type="dxa" w:w="90"/>
              <w:left w:type="dxa" w:w="120"/>
              <w:bottom w:type="dxa" w:w="90"/>
              <w:right w:type="dxa" w:w="120"/>
            </w:tcMar>
          </w:tcPr>
          <w:p>
            <w:pPr>
              <w:spacing w:after="0" w:line="270"/>
            </w:pPr>
            <w:r>
              <w:rPr>
                <w:b w:val="false"/>
                <w:bCs w:val="false"/>
                <w:color w:val="57534D"/>
                <w:sz w:val="20"/>
                <w:szCs w:val="20"/>
              </w:rPr>
              <w:t xml:space="preserve">Gallery, price, currency, summary, full text, media links, QR identifier</w:t>
            </w:r>
          </w:p>
        </w:tc>
        <w:tc>
          <w:tcPr>
            <w:tcW w:type="dxa" w:w="3430"/>
            <w:tcMar>
              <w:top w:type="dxa" w:w="90"/>
              <w:left w:type="dxa" w:w="120"/>
              <w:bottom w:type="dxa" w:w="90"/>
              <w:right w:type="dxa" w:w="120"/>
            </w:tcMar>
          </w:tcPr>
          <w:p>
            <w:pPr>
              <w:spacing w:after="0" w:line="270"/>
            </w:pPr>
            <w:r>
              <w:rPr>
                <w:b w:val="false"/>
                <w:bCs w:val="false"/>
                <w:color w:val="57534D"/>
                <w:sz w:val="20"/>
                <w:szCs w:val="20"/>
              </w:rPr>
              <w:t xml:space="preserve">Links one artwork to one show</w:t>
            </w:r>
          </w:p>
        </w:tc>
      </w:tr>
      <w:tr>
        <w:tc>
          <w:tcPr>
            <w:tcW w:type="dxa" w:w="1500"/>
            <w:tcMar>
              <w:top w:type="dxa" w:w="90"/>
              <w:left w:type="dxa" w:w="120"/>
              <w:bottom w:type="dxa" w:w="90"/>
              <w:right w:type="dxa" w:w="120"/>
            </w:tcMar>
          </w:tcPr>
          <w:p>
            <w:pPr>
              <w:spacing w:after="0" w:line="270"/>
            </w:pPr>
            <w:r>
              <w:rPr>
                <w:b/>
                <w:bCs/>
                <w:color w:val="57534D"/>
                <w:sz w:val="20"/>
                <w:szCs w:val="20"/>
              </w:rPr>
              <w:t xml:space="preserve">Prospect</w:t>
            </w:r>
          </w:p>
        </w:tc>
        <w:tc>
          <w:tcPr>
            <w:tcW w:type="dxa" w:w="4430"/>
            <w:tcMar>
              <w:top w:type="dxa" w:w="90"/>
              <w:left w:type="dxa" w:w="120"/>
              <w:bottom w:type="dxa" w:w="90"/>
              <w:right w:type="dxa" w:w="120"/>
            </w:tcMar>
          </w:tcPr>
          <w:p>
            <w:pPr>
              <w:spacing w:after="0" w:line="270"/>
            </w:pPr>
            <w:r>
              <w:rPr>
                <w:b w:val="false"/>
                <w:bCs w:val="false"/>
                <w:color w:val="57534D"/>
                <w:sz w:val="20"/>
                <w:szCs w:val="20"/>
              </w:rPr>
              <w:t xml:space="preserve">Contact details, dwell time, callback preference</w:t>
            </w:r>
          </w:p>
        </w:tc>
        <w:tc>
          <w:tcPr>
            <w:tcW w:type="dxa" w:w="3430"/>
            <w:tcMar>
              <w:top w:type="dxa" w:w="90"/>
              <w:left w:type="dxa" w:w="120"/>
              <w:bottom w:type="dxa" w:w="90"/>
              <w:right w:type="dxa" w:w="120"/>
            </w:tcMar>
          </w:tcPr>
          <w:p>
            <w:pPr>
              <w:spacing w:after="0" w:line="270"/>
            </w:pPr>
            <w:r>
              <w:rPr>
                <w:b w:val="false"/>
                <w:bCs w:val="false"/>
                <w:color w:val="57534D"/>
                <w:sz w:val="20"/>
                <w:szCs w:val="20"/>
              </w:rPr>
              <w:t xml:space="preserve">Many prospects per exhibit</w:t>
            </w:r>
          </w:p>
        </w:tc>
      </w:tr>
    </w:tbl>
    <w:p>
      <w:pPr>
        <w:spacing w:after="200"/>
      </w:pPr>
    </w:p>
    <w:p>
      <w:pPr>
        <w:spacing w:after="160" w:line="300"/>
      </w:pPr>
      <w:r>
        <w:rPr>
          <w:color w:val="1C1917"/>
          <w:sz w:val="22"/>
          <w:szCs w:val="22"/>
        </w:rPr>
        <w:t xml:space="preserve">The distinction that unlocked the rest is between an artwork and an exhibit. An artwork is a permanent fact about a painting — its title, artist, medium and provenance do not change. An exhibit is a presentation of that artwork: this gallery, this show, this price, this QR code, this run of dates. Commercial shows rotate every few weeks, and the same work may return in a later show at a different price. Separating the two lets that happen without duplicating the artwork or losing its history.</w:t>
      </w:r>
    </w:p>
    <w:p>
      <w:pPr>
        <w:spacing w:after="160" w:line="300"/>
      </w:pPr>
      <w:r>
        <w:rPr>
          <w:color w:val="1C1917"/>
          <w:sz w:val="22"/>
          <w:szCs w:val="22"/>
        </w:rPr>
        <w:t xml:space="preserve">The practical payoff appeared later. The collector dashboard's </w:t>
      </w:r>
      <w:r>
        <w:rPr>
          <w:b/>
          <w:bCs/>
          <w:i w:val="false"/>
          <w:iCs w:val="false"/>
          <w:color w:val="1C1917"/>
          <w:sz w:val="22"/>
          <w:szCs w:val="22"/>
        </w:rPr>
        <w:t xml:space="preserve">filter by show</w:t>
      </w:r>
      <w:r>
        <w:rPr>
          <w:color w:val="1C1917"/>
          <w:sz w:val="22"/>
          <w:szCs w:val="22"/>
        </w:rPr>
        <w:t xml:space="preserve"> works because Show is an entity rather than a string. The API exposes artists and artworks as first-class resources because they are first-class records. The staff form can offer a dropdown of existing artworks instead of asking someone to retype a title. None of that would have been available from the original design without significant rework.</w:t>
      </w:r>
    </w:p>
    <w:p>
      <w:pPr>
        <w:spacing w:after="160" w:line="300"/>
      </w:pPr>
      <w:r>
        <w:rPr>
          <w:color w:val="1C1917"/>
          <w:sz w:val="22"/>
          <w:szCs w:val="22"/>
        </w:rPr>
        <w:t xml:space="preserve">Normalising early cost perhaps an afternoon. Doing it after the API, the React frontend and the seed data had been built on the flat model would have cost considerably more, and would have meant migrating live data.</w:t>
      </w:r>
    </w:p>
    <w:p>
      <w:pPr>
        <w:pStyle w:val="Heading2"/>
        <w:spacing w:after="140" w:before="300"/>
      </w:pPr>
      <w:r>
        <w:rPr>
          <w:b/>
          <w:bCs/>
          <w:color w:val="8A5A2B"/>
          <w:sz w:val="26"/>
          <w:szCs w:val="26"/>
        </w:rPr>
        <w:t xml:space="preserve">Design decisions worth noting</w:t>
      </w:r>
    </w:p>
    <w:p>
      <w:pPr>
        <w:spacing w:after="160" w:line="300"/>
      </w:pPr>
      <w:r>
        <w:rPr>
          <w:color w:val="1C1917"/>
          <w:sz w:val="22"/>
          <w:szCs w:val="22"/>
        </w:rPr>
        <w:t xml:space="preserve">A stable </w:t>
      </w:r>
      <w:r>
        <w:rPr>
          <w:b/>
          <w:bCs/>
          <w:i w:val="false"/>
          <w:iCs w:val="false"/>
          <w:color w:val="1C1917"/>
          <w:sz w:val="22"/>
          <w:szCs w:val="22"/>
        </w:rPr>
        <w:t xml:space="preserve">printed identifier</w:t>
      </w:r>
      <w:r>
        <w:rPr>
          <w:color w:val="1C1917"/>
          <w:sz w:val="22"/>
          <w:szCs w:val="22"/>
        </w:rPr>
        <w:t xml:space="preserve"> was generated for each artwork on first save, deliberately separate from the database primary key. Printed wall labels therefore carry a predictable number, and internal record identifiers are never exposed on gallery signage. This decision survived into Version 2 unchanged.</w:t>
      </w:r>
    </w:p>
    <w:p>
      <w:pPr>
        <w:spacing w:after="160" w:line="300"/>
      </w:pPr>
      <w:r>
        <w:rPr>
          <w:color w:val="1C1917"/>
          <w:sz w:val="22"/>
          <w:szCs w:val="22"/>
        </w:rPr>
        <w:t xml:space="preserve">Environment-driven settings were used from the outset, so the same codebase runs on SQLite locally and PostgreSQL in production with no code changes — the presence of a database URL decides.</w:t>
      </w:r>
    </w:p>
    <w:p>
      <w:r>
        <w:br w:type="page"/>
      </w:r>
    </w:p>
    <w:p>
      <w:pPr>
        <w:pStyle w:val="Heading1"/>
        <w:spacing w:after="200" w:before="400"/>
      </w:pPr>
      <w:r>
        <w:rPr>
          <w:b/>
          <w:bCs/>
          <w:color w:val="1C1917"/>
          <w:sz w:val="34"/>
          <w:szCs w:val="34"/>
        </w:rPr>
        <w:t xml:space="preserve">6. The Second Build: React and Django REST</w:t>
      </w:r>
    </w:p>
    <w:p>
      <w:pPr>
        <w:spacing w:after="160" w:line="300"/>
      </w:pPr>
      <w:r>
        <w:rPr>
          <w:color w:val="1C1917"/>
          <w:sz w:val="22"/>
          <w:szCs w:val="22"/>
        </w:rPr>
        <w:t xml:space="preserve">Version 2 separates the application into two independently deployed pieces: a Django REST API with no user-facing pages, and a React single-page application that consumes it.</w:t>
      </w:r>
    </w:p>
    <w:p>
      <w:pPr>
        <w:pStyle w:val="Heading2"/>
        <w:spacing w:after="140" w:before="300"/>
      </w:pPr>
      <w:r>
        <w:rPr>
          <w:b/>
          <w:bCs/>
          <w:color w:val="8A5A2B"/>
          <w:sz w:val="26"/>
          <w:szCs w:val="26"/>
        </w:rPr>
        <w:t xml:space="preserve">Why migrate at all</w:t>
      </w:r>
    </w:p>
    <w:p>
      <w:pPr>
        <w:pStyle w:val="ListParagraph"/>
        <w:numPr>
          <w:ilvl w:val="0"/>
          <w:numId w:val="2"/>
        </w:numPr>
        <w:spacing w:after="90" w:line="290"/>
      </w:pPr>
      <w:r>
        <w:rPr>
          <w:color w:val="1C1917"/>
          <w:sz w:val="22"/>
          <w:szCs w:val="22"/>
        </w:rPr>
        <w:t xml:space="preserve">The product is mobile-first by nature, a visitor holding a phone in a gallery, and a single-page app gives a far better experience than full page reloads over gallery wifi.</w:t>
      </w:r>
    </w:p>
    <w:p>
      <w:pPr>
        <w:pStyle w:val="ListParagraph"/>
        <w:numPr>
          <w:ilvl w:val="0"/>
          <w:numId w:val="2"/>
        </w:numPr>
        <w:spacing w:after="90" w:line="290"/>
      </w:pPr>
      <w:r>
        <w:rPr>
          <w:color w:val="1C1917"/>
          <w:sz w:val="22"/>
          <w:szCs w:val="22"/>
        </w:rPr>
        <w:t xml:space="preserve">An API-first backend serves any future client, including the PWA planned in Epic 9.</w:t>
      </w:r>
    </w:p>
    <w:p>
      <w:pPr>
        <w:pStyle w:val="ListParagraph"/>
        <w:numPr>
          <w:ilvl w:val="0"/>
          <w:numId w:val="2"/>
        </w:numPr>
        <w:spacing w:after="90" w:line="290"/>
      </w:pPr>
      <w:r>
        <w:rPr>
          <w:color w:val="1C1917"/>
          <w:sz w:val="22"/>
          <w:szCs w:val="22"/>
        </w:rPr>
        <w:t xml:space="preserve">Separating the layers allowed the interface to be rebuilt to the Figma designs without being constrained by template rendering.</w:t>
      </w:r>
    </w:p>
    <w:p>
      <w:pPr>
        <w:pStyle w:val="Heading2"/>
        <w:spacing w:after="140" w:before="300"/>
      </w:pPr>
      <w:r>
        <w:rPr>
          <w:b/>
          <w:bCs/>
          <w:color w:val="8A5A2B"/>
          <w:sz w:val="26"/>
          <w:szCs w:val="26"/>
        </w:rPr>
        <w:t xml:space="preserve">How it was sequenced</w:t>
      </w:r>
    </w:p>
    <w:p>
      <w:pPr>
        <w:spacing w:after="160" w:line="300"/>
      </w:pPr>
      <w:r>
        <w:rPr>
          <w:color w:val="1C1917"/>
          <w:sz w:val="22"/>
          <w:szCs w:val="22"/>
        </w:rPr>
        <w:t xml:space="preserve">The migration was staged across ten phases, each delivering something verifiable before the next began, and the original application stayed deployable throughout. A separate document, DJANGO_TO_REACT_MIGRATION_PLAN.md, records the full plan; in summary:</w:t>
      </w:r>
    </w:p>
    <w:p>
      <w:pPr>
        <w:spacing w:after="80"/>
      </w:pPr>
    </w:p>
    <w:tbl>
      <w:tblPr>
        <w:tblW w:type="dxa" w:w="9360"/>
        <w:tblBorders>
          <w:top w:val="single" w:color="D6D3D1" w:sz="4"/>
          <w:left w:val="none"/>
          <w:bottom w:val="single" w:color="D6D3D1" w:sz="4"/>
          <w:right w:val="none"/>
          <w:insideH w:val="single" w:color="D6D3D1" w:sz="2"/>
          <w:insideV w:val="none"/>
        </w:tblBorders>
      </w:tblPr>
      <w:tblGrid>
        <w:gridCol w:w="1500"/>
        <w:gridCol w:w="7860"/>
      </w:tblGrid>
      <w:tr>
        <w:trPr>
          <w:tblHeader/>
        </w:trPr>
        <w:tc>
          <w:tcPr>
            <w:tcW w:type="dxa" w:w="1500"/>
            <w:shd w:fill="F2EDE4" w:val="clear"/>
            <w:tcMar>
              <w:top w:type="dxa" w:w="90"/>
              <w:left w:type="dxa" w:w="120"/>
              <w:bottom w:type="dxa" w:w="90"/>
              <w:right w:type="dxa" w:w="120"/>
            </w:tcMar>
          </w:tcPr>
          <w:p>
            <w:pPr>
              <w:spacing w:after="0" w:line="270"/>
            </w:pPr>
            <w:r>
              <w:rPr>
                <w:b/>
                <w:bCs/>
                <w:color w:val="1C1917"/>
                <w:sz w:val="20"/>
                <w:szCs w:val="20"/>
              </w:rPr>
              <w:t xml:space="preserve">Phase</w:t>
            </w:r>
          </w:p>
        </w:tc>
        <w:tc>
          <w:tcPr>
            <w:tcW w:type="dxa" w:w="7860"/>
            <w:shd w:fill="F2EDE4" w:val="clear"/>
            <w:tcMar>
              <w:top w:type="dxa" w:w="90"/>
              <w:left w:type="dxa" w:w="120"/>
              <w:bottom w:type="dxa" w:w="90"/>
              <w:right w:type="dxa" w:w="120"/>
            </w:tcMar>
          </w:tcPr>
          <w:p>
            <w:pPr>
              <w:spacing w:after="0" w:line="270"/>
            </w:pPr>
            <w:r>
              <w:rPr>
                <w:b/>
                <w:bCs/>
                <w:color w:val="1C1917"/>
                <w:sz w:val="20"/>
                <w:szCs w:val="20"/>
              </w:rPr>
              <w:t xml:space="preserve">Delivered</w:t>
            </w:r>
          </w:p>
        </w:tc>
      </w:tr>
      <w:tr>
        <w:tc>
          <w:tcPr>
            <w:tcW w:type="dxa" w:w="1500"/>
            <w:tcMar>
              <w:top w:type="dxa" w:w="90"/>
              <w:left w:type="dxa" w:w="120"/>
              <w:bottom w:type="dxa" w:w="90"/>
              <w:right w:type="dxa" w:w="120"/>
            </w:tcMar>
          </w:tcPr>
          <w:p>
            <w:pPr>
              <w:spacing w:after="0" w:line="270"/>
            </w:pPr>
            <w:r>
              <w:rPr>
                <w:b/>
                <w:bCs/>
                <w:color w:val="57534D"/>
                <w:sz w:val="20"/>
                <w:szCs w:val="20"/>
              </w:rPr>
              <w:t xml:space="preserve">0–1</w:t>
            </w:r>
          </w:p>
        </w:tc>
        <w:tc>
          <w:tcPr>
            <w:tcW w:type="dxa" w:w="7860"/>
            <w:tcMar>
              <w:top w:type="dxa" w:w="90"/>
              <w:left w:type="dxa" w:w="120"/>
              <w:bottom w:type="dxa" w:w="90"/>
              <w:right w:type="dxa" w:w="120"/>
            </w:tcMar>
          </w:tcPr>
          <w:p>
            <w:pPr>
              <w:spacing w:after="0" w:line="270"/>
            </w:pPr>
            <w:r>
              <w:rPr>
                <w:b w:val="false"/>
                <w:bCs w:val="false"/>
                <w:color w:val="57534D"/>
                <w:sz w:val="20"/>
                <w:szCs w:val="20"/>
              </w:rPr>
              <w:t xml:space="preserve">Branch and folder restructure; Django REST Framework installed</w:t>
            </w:r>
          </w:p>
        </w:tc>
      </w:tr>
      <w:tr>
        <w:tc>
          <w:tcPr>
            <w:tcW w:type="dxa" w:w="1500"/>
            <w:tcMar>
              <w:top w:type="dxa" w:w="90"/>
              <w:left w:type="dxa" w:w="120"/>
              <w:bottom w:type="dxa" w:w="90"/>
              <w:right w:type="dxa" w:w="120"/>
            </w:tcMar>
          </w:tcPr>
          <w:p>
            <w:pPr>
              <w:spacing w:after="0" w:line="270"/>
            </w:pPr>
            <w:r>
              <w:rPr>
                <w:b/>
                <w:bCs/>
                <w:color w:val="57534D"/>
                <w:sz w:val="20"/>
                <w:szCs w:val="20"/>
              </w:rPr>
              <w:t xml:space="preserve">2–3</w:t>
            </w:r>
          </w:p>
        </w:tc>
        <w:tc>
          <w:tcPr>
            <w:tcW w:type="dxa" w:w="7860"/>
            <w:tcMar>
              <w:top w:type="dxa" w:w="90"/>
              <w:left w:type="dxa" w:w="120"/>
              <w:bottom w:type="dxa" w:w="90"/>
              <w:right w:type="dxa" w:w="120"/>
            </w:tcMar>
          </w:tcPr>
          <w:p>
            <w:pPr>
              <w:spacing w:after="0" w:line="270"/>
            </w:pPr>
            <w:r>
              <w:rPr>
                <w:b w:val="false"/>
                <w:bCs w:val="false"/>
                <w:color w:val="57534D"/>
                <w:sz w:val="20"/>
                <w:szCs w:val="20"/>
              </w:rPr>
              <w:t xml:space="preserve">First endpoint end-to-end, then the full read API</w:t>
            </w:r>
          </w:p>
        </w:tc>
      </w:tr>
      <w:tr>
        <w:tc>
          <w:tcPr>
            <w:tcW w:type="dxa" w:w="1500"/>
            <w:tcMar>
              <w:top w:type="dxa" w:w="90"/>
              <w:left w:type="dxa" w:w="120"/>
              <w:bottom w:type="dxa" w:w="90"/>
              <w:right w:type="dxa" w:w="120"/>
            </w:tcMar>
          </w:tcPr>
          <w:p>
            <w:pPr>
              <w:spacing w:after="0" w:line="270"/>
            </w:pPr>
            <w:r>
              <w:rPr>
                <w:b/>
                <w:bCs/>
                <w:color w:val="57534D"/>
                <w:sz w:val="20"/>
                <w:szCs w:val="20"/>
              </w:rPr>
              <w:t xml:space="preserve">4–5</w:t>
            </w:r>
          </w:p>
        </w:tc>
        <w:tc>
          <w:tcPr>
            <w:tcW w:type="dxa" w:w="7860"/>
            <w:tcMar>
              <w:top w:type="dxa" w:w="90"/>
              <w:left w:type="dxa" w:w="120"/>
              <w:bottom w:type="dxa" w:w="90"/>
              <w:right w:type="dxa" w:w="120"/>
            </w:tcMar>
          </w:tcPr>
          <w:p>
            <w:pPr>
              <w:spacing w:after="0" w:line="270"/>
            </w:pPr>
            <w:r>
              <w:rPr>
                <w:b w:val="false"/>
                <w:bCs w:val="false"/>
                <w:color w:val="57534D"/>
                <w:sz w:val="20"/>
                <w:szCs w:val="20"/>
              </w:rPr>
              <w:t xml:space="preserve">React app created; CORS configured; live data rendering</w:t>
            </w:r>
          </w:p>
        </w:tc>
      </w:tr>
      <w:tr>
        <w:tc>
          <w:tcPr>
            <w:tcW w:type="dxa" w:w="1500"/>
            <w:tcMar>
              <w:top w:type="dxa" w:w="90"/>
              <w:left w:type="dxa" w:w="120"/>
              <w:bottom w:type="dxa" w:w="90"/>
              <w:right w:type="dxa" w:w="120"/>
            </w:tcMar>
          </w:tcPr>
          <w:p>
            <w:pPr>
              <w:spacing w:after="0" w:line="270"/>
            </w:pPr>
            <w:r>
              <w:rPr>
                <w:b/>
                <w:bCs/>
                <w:color w:val="57534D"/>
                <w:sz w:val="20"/>
                <w:szCs w:val="20"/>
              </w:rPr>
              <w:t xml:space="preserve">6</w:t>
            </w:r>
          </w:p>
        </w:tc>
        <w:tc>
          <w:tcPr>
            <w:tcW w:type="dxa" w:w="7860"/>
            <w:tcMar>
              <w:top w:type="dxa" w:w="90"/>
              <w:left w:type="dxa" w:w="120"/>
              <w:bottom w:type="dxa" w:w="90"/>
              <w:right w:type="dxa" w:w="120"/>
            </w:tcMar>
          </w:tcPr>
          <w:p>
            <w:pPr>
              <w:spacing w:after="0" w:line="270"/>
            </w:pPr>
            <w:r>
              <w:rPr>
                <w:b w:val="false"/>
                <w:bCs w:val="false"/>
                <w:color w:val="57534D"/>
                <w:sz w:val="20"/>
                <w:szCs w:val="20"/>
              </w:rPr>
              <w:t xml:space="preserve">Routing and all five Figma screens rebuilt</w:t>
            </w:r>
          </w:p>
        </w:tc>
      </w:tr>
      <w:tr>
        <w:tc>
          <w:tcPr>
            <w:tcW w:type="dxa" w:w="1500"/>
            <w:tcMar>
              <w:top w:type="dxa" w:w="90"/>
              <w:left w:type="dxa" w:w="120"/>
              <w:bottom w:type="dxa" w:w="90"/>
              <w:right w:type="dxa" w:w="120"/>
            </w:tcMar>
          </w:tcPr>
          <w:p>
            <w:pPr>
              <w:spacing w:after="0" w:line="270"/>
            </w:pPr>
            <w:r>
              <w:rPr>
                <w:b/>
                <w:bCs/>
                <w:color w:val="57534D"/>
                <w:sz w:val="20"/>
                <w:szCs w:val="20"/>
              </w:rPr>
              <w:t xml:space="preserve">7</w:t>
            </w:r>
          </w:p>
        </w:tc>
        <w:tc>
          <w:tcPr>
            <w:tcW w:type="dxa" w:w="7860"/>
            <w:tcMar>
              <w:top w:type="dxa" w:w="90"/>
              <w:left w:type="dxa" w:w="120"/>
              <w:bottom w:type="dxa" w:w="90"/>
              <w:right w:type="dxa" w:w="120"/>
            </w:tcMar>
          </w:tcPr>
          <w:p>
            <w:pPr>
              <w:spacing w:after="0" w:line="270"/>
            </w:pPr>
            <w:r>
              <w:rPr>
                <w:b w:val="false"/>
                <w:bCs w:val="false"/>
                <w:color w:val="57534D"/>
                <w:sz w:val="20"/>
                <w:szCs w:val="20"/>
              </w:rPr>
              <w:t xml:space="preserve">JWT authentication and a real per-user collector dashboard</w:t>
            </w:r>
          </w:p>
        </w:tc>
      </w:tr>
      <w:tr>
        <w:tc>
          <w:tcPr>
            <w:tcW w:type="dxa" w:w="1500"/>
            <w:tcMar>
              <w:top w:type="dxa" w:w="90"/>
              <w:left w:type="dxa" w:w="120"/>
              <w:bottom w:type="dxa" w:w="90"/>
              <w:right w:type="dxa" w:w="120"/>
            </w:tcMar>
          </w:tcPr>
          <w:p>
            <w:pPr>
              <w:spacing w:after="0" w:line="270"/>
            </w:pPr>
            <w:r>
              <w:rPr>
                <w:b/>
                <w:bCs/>
                <w:color w:val="57534D"/>
                <w:sz w:val="20"/>
                <w:szCs w:val="20"/>
              </w:rPr>
              <w:t xml:space="preserve">8</w:t>
            </w:r>
          </w:p>
        </w:tc>
        <w:tc>
          <w:tcPr>
            <w:tcW w:type="dxa" w:w="7860"/>
            <w:tcMar>
              <w:top w:type="dxa" w:w="90"/>
              <w:left w:type="dxa" w:w="120"/>
              <w:bottom w:type="dxa" w:w="90"/>
              <w:right w:type="dxa" w:w="120"/>
            </w:tcMar>
          </w:tcPr>
          <w:p>
            <w:pPr>
              <w:spacing w:after="0" w:line="270"/>
            </w:pPr>
            <w:r>
              <w:rPr>
                <w:b w:val="false"/>
                <w:bCs w:val="false"/>
                <w:color w:val="57534D"/>
                <w:sz w:val="20"/>
                <w:szCs w:val="20"/>
              </w:rPr>
              <w:t xml:space="preserve">Staff create, edit and delete with image upload</w:t>
            </w:r>
          </w:p>
        </w:tc>
      </w:tr>
      <w:tr>
        <w:tc>
          <w:tcPr>
            <w:tcW w:type="dxa" w:w="1500"/>
            <w:tcMar>
              <w:top w:type="dxa" w:w="90"/>
              <w:left w:type="dxa" w:w="120"/>
              <w:bottom w:type="dxa" w:w="90"/>
              <w:right w:type="dxa" w:w="120"/>
            </w:tcMar>
          </w:tcPr>
          <w:p>
            <w:pPr>
              <w:spacing w:after="0" w:line="270"/>
            </w:pPr>
            <w:r>
              <w:rPr>
                <w:b/>
                <w:bCs/>
                <w:color w:val="57534D"/>
                <w:sz w:val="20"/>
                <w:szCs w:val="20"/>
              </w:rPr>
              <w:t xml:space="preserve">9</w:t>
            </w:r>
          </w:p>
        </w:tc>
        <w:tc>
          <w:tcPr>
            <w:tcW w:type="dxa" w:w="7860"/>
            <w:tcMar>
              <w:top w:type="dxa" w:w="90"/>
              <w:left w:type="dxa" w:w="120"/>
              <w:bottom w:type="dxa" w:w="90"/>
              <w:right w:type="dxa" w:w="120"/>
            </w:tcMar>
          </w:tcPr>
          <w:p>
            <w:pPr>
              <w:spacing w:after="0" w:line="270"/>
            </w:pPr>
            <w:r>
              <w:rPr>
                <w:b w:val="false"/>
                <w:bCs w:val="false"/>
                <w:color w:val="57534D"/>
                <w:sz w:val="20"/>
                <w:szCs w:val="20"/>
              </w:rPr>
              <w:t xml:space="preserve">Template layer retired; both services deployed and verified</w:t>
            </w:r>
          </w:p>
        </w:tc>
      </w:tr>
    </w:tbl>
    <w:p>
      <w:pPr>
        <w:pStyle w:val="Heading2"/>
        <w:spacing w:after="140" w:before="300"/>
      </w:pPr>
      <w:r>
        <w:rPr>
          <w:b/>
          <w:bCs/>
          <w:color w:val="8A5A2B"/>
          <w:sz w:val="26"/>
          <w:szCs w:val="26"/>
        </w:rPr>
        <w:t xml:space="preserve">What the migration produced</w:t>
      </w:r>
    </w:p>
    <w:p>
      <w:pPr>
        <w:pStyle w:val="ListParagraph"/>
        <w:numPr>
          <w:ilvl w:val="0"/>
          <w:numId w:val="2"/>
        </w:numPr>
        <w:spacing w:after="90" w:line="290"/>
      </w:pPr>
      <w:r>
        <w:rPr>
          <w:color w:val="1C1917"/>
          <w:sz w:val="22"/>
          <w:szCs w:val="22"/>
        </w:rPr>
        <w:t xml:space="preserve">A REST API with public reads, JWT authentication, a public QR lookup, anonymous lead capture, per-user collection endpoints, and staff-only writes.</w:t>
      </w:r>
    </w:p>
    <w:p>
      <w:pPr>
        <w:pStyle w:val="ListParagraph"/>
        <w:numPr>
          <w:ilvl w:val="0"/>
          <w:numId w:val="2"/>
        </w:numPr>
        <w:spacing w:after="90" w:line="290"/>
      </w:pPr>
      <w:r>
        <w:rPr>
          <w:color w:val="1C1917"/>
          <w:sz w:val="22"/>
          <w:szCs w:val="22"/>
        </w:rPr>
        <w:t xml:space="preserve">A React application implementing five designed screens, with client-side routing and a custom CSS design system. </w:t>
      </w:r>
      <w:hyperlink w:history="1" r:id="rIdz8cdaxvwbphoxvujggmf7">
        <w:r>
          <w:rPr>
            <w:color w:val="1155CC"/>
            <w:sz w:val="22"/>
            <w:szCs w:val="22"/>
            <w:u w:val="single"/>
          </w:rPr>
          <w:t xml:space="preserve">Figma wireframes</w:t>
        </w:r>
      </w:hyperlink>
    </w:p>
    <w:p>
      <w:pPr>
        <w:pStyle w:val="ListParagraph"/>
        <w:numPr>
          <w:ilvl w:val="0"/>
          <w:numId w:val="2"/>
        </w:numPr>
        <w:spacing w:after="90" w:line="290"/>
      </w:pPr>
      <w:r>
        <w:rPr>
          <w:color w:val="1C1917"/>
          <w:sz w:val="22"/>
          <w:szCs w:val="22"/>
        </w:rPr>
        <w:t xml:space="preserve">Two third-party API integrations: live exchange rates and a museum collection lookup.</w:t>
      </w:r>
    </w:p>
    <w:p>
      <w:pPr>
        <w:pStyle w:val="ListParagraph"/>
        <w:numPr>
          <w:ilvl w:val="0"/>
          <w:numId w:val="2"/>
        </w:numPr>
        <w:spacing w:after="90" w:line="290"/>
      </w:pPr>
      <w:r>
        <w:rPr>
          <w:color w:val="1C1917"/>
          <w:sz w:val="22"/>
          <w:szCs w:val="22"/>
        </w:rPr>
        <w:t xml:space="preserve">An automated test suite covering models, API behaviour, authentication and the external integrations.</w:t>
      </w:r>
    </w:p>
    <w:p>
      <w:pPr>
        <w:pStyle w:val="Heading2"/>
        <w:spacing w:after="140" w:before="300"/>
      </w:pPr>
      <w:r>
        <w:rPr>
          <w:b/>
          <w:bCs/>
          <w:color w:val="8A5A2B"/>
          <w:sz w:val="26"/>
          <w:szCs w:val="26"/>
        </w:rPr>
        <w:t xml:space="preserve">The full decouple</w:t>
      </w:r>
    </w:p>
    <w:p>
      <w:pPr>
        <w:spacing w:after="160" w:line="300"/>
      </w:pPr>
      <w:r>
        <w:rPr>
          <w:color w:val="1C1917"/>
          <w:sz w:val="22"/>
          <w:szCs w:val="22"/>
        </w:rPr>
        <w:t xml:space="preserve">Once React covered every user-facing route, the server-rendered layer was removed entirely: templates, template views, template URLs, forms and crispy-forms. Django in Version 2 serves the API and the admin, and nothing else. Its root URL returns "Not Found" by design.</w:t>
      </w:r>
    </w:p>
    <w:p>
      <w:pPr>
        <w:spacing w:after="160" w:line="300"/>
      </w:pPr>
      <w:r>
        <w:rPr>
          <w:color w:val="1C1917"/>
          <w:sz w:val="22"/>
          <w:szCs w:val="22"/>
        </w:rPr>
        <w:t xml:space="preserve">This was done on the branch only. Version 1 on main retains all of it and remains live — which is precisely why the two versions are not merged.</w:t>
      </w:r>
    </w:p>
    <w:p>
      <w:r>
        <w:br w:type="page"/>
      </w:r>
    </w:p>
    <w:p>
      <w:pPr>
        <w:pStyle w:val="Heading1"/>
        <w:spacing w:after="200" w:before="400"/>
      </w:pPr>
      <w:r>
        <w:rPr>
          <w:b/>
          <w:bCs/>
          <w:color w:val="1C1917"/>
          <w:sz w:val="34"/>
          <w:szCs w:val="34"/>
        </w:rPr>
        <w:t xml:space="preserve">7. Design</w:t>
      </w:r>
    </w:p>
    <w:p>
      <w:pPr>
        <w:spacing w:after="160" w:line="300"/>
      </w:pPr>
      <w:r>
        <w:rPr>
          <w:color w:val="1C1917"/>
          <w:sz w:val="22"/>
          <w:szCs w:val="22"/>
        </w:rPr>
        <w:t xml:space="preserve">The interface was designed in Figma before being built. Five screens were specified in full and are linked at the end of this document:</w:t>
      </w:r>
    </w:p>
    <w:p>
      <w:pPr>
        <w:spacing w:after="120" w:line="300"/>
      </w:pPr>
      <w:hyperlink w:history="1" r:id="rIdnuup9ihrvlqe-3yoseig5">
        <w:r>
          <w:rPr>
            <w:color w:val="1155CC"/>
            <w:sz w:val="22"/>
            <w:szCs w:val="22"/>
            <w:u w:val="single"/>
          </w:rPr>
          <w:t xml:space="preserve">Figma — the ExhibitGuide designs</w:t>
        </w:r>
      </w:hyperlink>
    </w:p>
    <w:p>
      <w:pPr>
        <w:spacing w:after="80"/>
      </w:pPr>
    </w:p>
    <w:p>
      <w:pPr>
        <w:pStyle w:val="ListParagraph"/>
        <w:numPr>
          <w:ilvl w:val="0"/>
          <w:numId w:val="2"/>
        </w:numPr>
        <w:spacing w:after="90" w:line="290"/>
      </w:pPr>
      <w:r>
        <w:rPr>
          <w:color w:val="1C1917"/>
          <w:sz w:val="22"/>
          <w:szCs w:val="22"/>
        </w:rPr>
        <w:t xml:space="preserve">The in-gallery scan screen — the framed work on the wall, with the code and a prompt</w:t>
      </w:r>
    </w:p>
    <w:p>
      <w:pPr>
        <w:pStyle w:val="ListParagraph"/>
        <w:numPr>
          <w:ilvl w:val="0"/>
          <w:numId w:val="2"/>
        </w:numPr>
        <w:spacing w:after="90" w:line="290"/>
      </w:pPr>
      <w:r>
        <w:rPr>
          <w:color w:val="1C1917"/>
          <w:sz w:val="22"/>
          <w:szCs w:val="22"/>
        </w:rPr>
        <w:t xml:space="preserve">The artwork page — hero image, Listen / Read / Watch tabs, audio player, and the enquiry action</w:t>
      </w:r>
    </w:p>
    <w:p>
      <w:pPr>
        <w:pStyle w:val="ListParagraph"/>
        <w:numPr>
          <w:ilvl w:val="0"/>
          <w:numId w:val="2"/>
        </w:numPr>
        <w:spacing w:after="90" w:line="290"/>
      </w:pPr>
      <w:r>
        <w:rPr>
          <w:color w:val="1C1917"/>
          <w:sz w:val="22"/>
          <w:szCs w:val="22"/>
        </w:rPr>
        <w:t xml:space="preserve">The "express your interest" sheet — the lead-capture moment</w:t>
      </w:r>
    </w:p>
    <w:p>
      <w:pPr>
        <w:pStyle w:val="ListParagraph"/>
        <w:numPr>
          <w:ilvl w:val="0"/>
          <w:numId w:val="2"/>
        </w:numPr>
        <w:spacing w:after="90" w:line="290"/>
      </w:pPr>
      <w:r>
        <w:rPr>
          <w:color w:val="1C1917"/>
          <w:sz w:val="22"/>
          <w:szCs w:val="22"/>
        </w:rPr>
        <w:t xml:space="preserve">The confirmation state after an enquiry is submitted</w:t>
      </w:r>
    </w:p>
    <w:p>
      <w:pPr>
        <w:pStyle w:val="ListParagraph"/>
        <w:numPr>
          <w:ilvl w:val="0"/>
          <w:numId w:val="2"/>
        </w:numPr>
        <w:spacing w:after="90" w:line="290"/>
      </w:pPr>
      <w:r>
        <w:rPr>
          <w:color w:val="1C1917"/>
          <w:sz w:val="22"/>
          <w:szCs w:val="22"/>
        </w:rPr>
        <w:t xml:space="preserve">The saved-exhibits dashboard — a collector's watchlist with status filters</w:t>
      </w:r>
    </w:p>
    <w:p>
      <w:pPr>
        <w:spacing w:after="140"/>
      </w:pPr>
    </w:p>
    <w:p>
      <w:pPr>
        <w:spacing w:after="160" w:line="300"/>
      </w:pPr>
      <w:r>
        <w:rPr>
          <w:color w:val="1C1917"/>
          <w:sz w:val="22"/>
          <w:szCs w:val="22"/>
        </w:rPr>
        <w:t xml:space="preserve">The designs were pulled directly into development through Figma's developer tooling, and the resulting design system — a warm editorial palette, </w:t>
      </w:r>
      <w:r>
        <w:rPr>
          <w:b w:val="false"/>
          <w:bCs w:val="false"/>
          <w:i/>
          <w:iCs/>
          <w:color w:val="1C1917"/>
          <w:sz w:val="22"/>
          <w:szCs w:val="22"/>
        </w:rPr>
        <w:t xml:space="preserve">DM Serif Display</w:t>
      </w:r>
      <w:r>
        <w:rPr>
          <w:color w:val="1C1917"/>
          <w:sz w:val="22"/>
          <w:szCs w:val="22"/>
        </w:rPr>
        <w:t xml:space="preserve"> for headings and </w:t>
      </w:r>
      <w:r>
        <w:rPr>
          <w:b w:val="false"/>
          <w:bCs w:val="false"/>
          <w:i/>
          <w:iCs/>
          <w:color w:val="1C1917"/>
          <w:sz w:val="22"/>
          <w:szCs w:val="22"/>
        </w:rPr>
        <w:t xml:space="preserve">Instrument Sans</w:t>
      </w:r>
      <w:r>
        <w:rPr>
          <w:color w:val="1C1917"/>
          <w:sz w:val="22"/>
          <w:szCs w:val="22"/>
        </w:rPr>
        <w:t xml:space="preserve"> for body text — was implemented as CSS custom properties rather than a component framework. This kept the build free of a UI dependency and made the finished screens match the designs closely.</w:t>
      </w:r>
    </w:p>
    <w:p>
      <w:r>
        <w:br w:type="page"/>
      </w:r>
    </w:p>
    <w:p>
      <w:pPr>
        <w:pStyle w:val="Heading1"/>
        <w:spacing w:after="200" w:before="400"/>
      </w:pPr>
      <w:r>
        <w:rPr>
          <w:b/>
          <w:bCs/>
          <w:color w:val="1C1917"/>
          <w:sz w:val="34"/>
          <w:szCs w:val="34"/>
        </w:rPr>
        <w:t xml:space="preserve">8. Scope: What Was Deliberately Not Built</w:t>
      </w:r>
    </w:p>
    <w:p>
      <w:pPr>
        <w:spacing w:after="160" w:line="300"/>
      </w:pPr>
      <w:r>
        <w:rPr>
          <w:color w:val="1C1917"/>
          <w:sz w:val="22"/>
          <w:szCs w:val="22"/>
        </w:rPr>
        <w:t xml:space="preserve">Two epics on the board were not completed. In both cases this was a decision rather than an overrun, and the reasoning is worth stating plainly.</w:t>
      </w:r>
    </w:p>
    <w:p>
      <w:pPr>
        <w:pStyle w:val="Heading2"/>
        <w:spacing w:after="140" w:before="300"/>
      </w:pPr>
      <w:r>
        <w:rPr>
          <w:b/>
          <w:bCs/>
          <w:color w:val="8A5A2B"/>
          <w:sz w:val="26"/>
          <w:szCs w:val="26"/>
        </w:rPr>
        <w:t xml:space="preserve">A light CMS, by choice</w:t>
      </w:r>
    </w:p>
    <w:p>
      <w:pPr>
        <w:spacing w:after="160" w:line="300"/>
      </w:pPr>
      <w:r>
        <w:rPr>
          <w:color w:val="1C1917"/>
          <w:sz w:val="22"/>
          <w:szCs w:val="22"/>
        </w:rPr>
        <w:t xml:space="preserve">From the outset the gallery-facing content management strategy was </w:t>
      </w:r>
      <w:r>
        <w:rPr>
          <w:b/>
          <w:bCs/>
          <w:i w:val="false"/>
          <w:iCs w:val="false"/>
          <w:color w:val="1C1917"/>
          <w:sz w:val="22"/>
          <w:szCs w:val="22"/>
        </w:rPr>
        <w:t xml:space="preserve">light</w:t>
      </w:r>
      <w:r>
        <w:rPr>
          <w:color w:val="1C1917"/>
          <w:sz w:val="22"/>
          <w:szCs w:val="22"/>
        </w:rPr>
        <w:t xml:space="preserve">: use the Django admin as the CMS rather than build a bespoke back office. The admin already provides authenticated, permissioned CRUD across every model, with media upload and inline relationships, at effectively no build cost.</w:t>
      </w:r>
    </w:p>
    <w:p>
      <w:pPr>
        <w:spacing w:after="160" w:line="300"/>
      </w:pPr>
      <w:r>
        <w:rPr>
          <w:color w:val="1C1917"/>
          <w:sz w:val="22"/>
          <w:szCs w:val="22"/>
        </w:rPr>
        <w:t xml:space="preserve">That choice had a consequence. Several user stories in Epic 8 — the visitor-intelligence and lead-capture epic — described a purpose-built gallery dashboard: engagement analytics, a worked lead list, follow-up tooling. With the admin covering the operational need, those stories were consciously left undone.</w:t>
      </w:r>
    </w:p>
    <w:p>
      <w:pPr>
        <w:spacing w:after="160" w:line="300"/>
      </w:pPr>
      <w:r>
        <w:rPr>
          <w:color w:val="1C1917"/>
          <w:sz w:val="22"/>
          <w:szCs w:val="22"/>
        </w:rPr>
        <w:t xml:space="preserve">The time was spent on the visitor experience instead. That is where the product's central hypothesis lives — whether a person standing in front of an artwork will scan, read, listen, and then declare interest — and it is the half of the product that user testing could actually interrogate.</w:t>
      </w:r>
    </w:p>
    <w:p>
      <w:pPr>
        <w:spacing w:after="160" w:line="300"/>
      </w:pPr>
      <w:r>
        <w:rPr>
          <w:color w:val="1C1917"/>
          <w:sz w:val="22"/>
          <w:szCs w:val="22"/>
        </w:rPr>
        <w:t xml:space="preserve">The lead-capture mechanism itself was built and works: an anonymous visitor can express interest, and the enquiry is recorded with the artwork and the time spent with it. What was not built is the refined interface a gallery would use to work those leads day to day.</w:t>
      </w:r>
    </w:p>
    <w:p>
      <w:pPr>
        <w:pStyle w:val="Heading2"/>
        <w:spacing w:after="140" w:before="300"/>
      </w:pPr>
      <w:r>
        <w:rPr>
          <w:b/>
          <w:bCs/>
          <w:color w:val="8A5A2B"/>
          <w:sz w:val="26"/>
          <w:szCs w:val="26"/>
        </w:rPr>
        <w:t xml:space="preserve">Offline resilience, deprioritised</w:t>
      </w:r>
    </w:p>
    <w:p>
      <w:pPr>
        <w:spacing w:after="160" w:line="300"/>
      </w:pPr>
      <w:r>
        <w:rPr>
          <w:color w:val="1C1917"/>
          <w:sz w:val="22"/>
          <w:szCs w:val="22"/>
        </w:rPr>
        <w:t xml:space="preserve">Epic 9 covered progressive-web-app behaviour — service-worker caching so the guide keeps working on the patchy wifi common in gallery basements. It was not a priority for this submission and was not started. It remains a sensible enhancement rather than a missing dependency: the application functions correctly on a normal connection.</w:t>
      </w:r>
    </w:p>
    <w:p>
      <w:pPr>
        <w:pStyle w:val="Heading2"/>
        <w:spacing w:after="140" w:before="300"/>
      </w:pPr>
      <w:r>
        <w:rPr>
          <w:b/>
          <w:bCs/>
          <w:color w:val="8A5A2B"/>
          <w:sz w:val="26"/>
          <w:szCs w:val="26"/>
        </w:rPr>
        <w:t xml:space="preserve">The obvious next piece of work</w:t>
      </w:r>
    </w:p>
    <w:p>
      <w:pPr>
        <w:pBdr>
          <w:left w:val="single" w:color="8A5A2B" w:sz="12" w:space="12"/>
        </w:pBdr>
        <w:spacing w:after="200" w:before="160" w:line="300"/>
        <w:ind w:left="360"/>
      </w:pPr>
      <w:r>
        <w:rPr>
          <w:i/>
          <w:iCs/>
          <w:color w:val="57534D"/>
          <w:sz w:val="22"/>
          <w:szCs w:val="22"/>
        </w:rPr>
        <w:t xml:space="preserve">Designing and building a genuinely effective back office for the gallery owner — engagement analytics, a workable lead pipeline, and follow-up tooling — is the clear stretch goal. It was out of scope here, but it is where the commercial value of the product ultimately has to be proved.</w:t>
      </w:r>
    </w:p>
    <w:p>
      <w:pPr>
        <w:spacing w:after="160" w:line="300"/>
      </w:pPr>
      <w:r>
        <w:rPr>
          <w:color w:val="1C1917"/>
          <w:sz w:val="22"/>
          <w:szCs w:val="22"/>
        </w:rPr>
        <w:t xml:space="preserve">Deciding what not to build was as much a part of delivering this project as deciding what to build. A partially finished dashboard would have demonstrated less than a complete visitor journey and an honest account of the boundary.</w:t>
      </w:r>
    </w:p>
    <w:p>
      <w:r>
        <w:br w:type="page"/>
      </w:r>
    </w:p>
    <w:p>
      <w:pPr>
        <w:pStyle w:val="Heading1"/>
        <w:spacing w:after="200" w:before="400"/>
      </w:pPr>
      <w:r>
        <w:rPr>
          <w:b/>
          <w:bCs/>
          <w:color w:val="1C1917"/>
          <w:sz w:val="34"/>
          <w:szCs w:val="34"/>
        </w:rPr>
        <w:t xml:space="preserve">9. What the Project Taught Me</w:t>
      </w:r>
    </w:p>
    <w:p>
      <w:pPr>
        <w:pStyle w:val="Heading2"/>
        <w:spacing w:after="140" w:before="300"/>
      </w:pPr>
      <w:r>
        <w:rPr>
          <w:b/>
          <w:bCs/>
          <w:color w:val="8A5A2B"/>
          <w:sz w:val="26"/>
          <w:szCs w:val="26"/>
        </w:rPr>
        <w:t xml:space="preserve">Testing early changes what you build</w:t>
      </w:r>
    </w:p>
    <w:p>
      <w:pPr>
        <w:spacing w:after="160" w:line="300"/>
      </w:pPr>
      <w:r>
        <w:rPr>
          <w:color w:val="1C1917"/>
          <w:sz w:val="22"/>
          <w:szCs w:val="22"/>
        </w:rPr>
        <w:t xml:space="preserve">Putting the product in front of users at every checkpoint, rather than once at the end, meant the design was corrected by evidence instead of argument. Several assumptions about what a visitor would understand did not survive first contact, and the cost of fixing them was small because they were found early. The interface that shipped is noticeably different from the one first drawn, and it is better for it.</w:t>
      </w:r>
    </w:p>
    <w:p>
      <w:pPr>
        <w:pStyle w:val="Heading2"/>
        <w:spacing w:after="140" w:before="300"/>
      </w:pPr>
      <w:r>
        <w:rPr>
          <w:b/>
          <w:bCs/>
          <w:color w:val="8A5A2B"/>
          <w:sz w:val="26"/>
          <w:szCs w:val="26"/>
        </w:rPr>
        <w:t xml:space="preserve">Deciding what not to build</w:t>
      </w:r>
    </w:p>
    <w:p>
      <w:pPr>
        <w:spacing w:after="160" w:line="300"/>
      </w:pPr>
      <w:r>
        <w:rPr>
          <w:color w:val="1C1917"/>
          <w:sz w:val="22"/>
          <w:szCs w:val="22"/>
        </w:rPr>
        <w:t xml:space="preserve">Choosing a light CMS and leaving part of the gallery-facing epic undone was uncomfortable but correct. Spreading the remaining time across both halves would have produced two unconvincing halves. Concentrating it on the visitor journey produced one complete, testable product and a clearly stated boundary, which is a more honest engineering position than a dashboard that looks finished and is not.</w:t>
      </w:r>
    </w:p>
    <w:p>
      <w:pPr>
        <w:pStyle w:val="Heading2"/>
        <w:spacing w:after="140" w:before="300"/>
      </w:pPr>
      <w:r>
        <w:rPr>
          <w:b/>
          <w:bCs/>
          <w:color w:val="8A5A2B"/>
          <w:sz w:val="26"/>
          <w:szCs w:val="26"/>
        </w:rPr>
        <w:t xml:space="preserve">Business analysis is design work</w:t>
      </w:r>
    </w:p>
    <w:p>
      <w:pPr>
        <w:spacing w:after="160" w:line="300"/>
      </w:pPr>
      <w:r>
        <w:rPr>
          <w:color w:val="1C1917"/>
          <w:sz w:val="22"/>
          <w:szCs w:val="22"/>
        </w:rPr>
        <w:t xml:space="preserve">The pivot was the single most consequential decision in the project, and no amount of engineering would have compensated for getting it wrong. Recognising that a free, philanthropically funded incumbent could not be beaten head-on, but also could not legally follow into the commercial segment, reframed the product from a feature contest into a defensible position.</w:t>
      </w:r>
    </w:p>
    <w:p>
      <w:pPr>
        <w:pStyle w:val="Heading2"/>
        <w:spacing w:after="140" w:before="300"/>
      </w:pPr>
      <w:r>
        <w:rPr>
          <w:b/>
          <w:bCs/>
          <w:color w:val="8A5A2B"/>
          <w:sz w:val="26"/>
          <w:szCs w:val="26"/>
        </w:rPr>
        <w:t xml:space="preserve">Sequencing is a design decision</w:t>
      </w:r>
    </w:p>
    <w:p>
      <w:pPr>
        <w:spacing w:after="160" w:line="300"/>
      </w:pPr>
      <w:r>
        <w:rPr>
          <w:color w:val="1C1917"/>
          <w:sz w:val="22"/>
          <w:szCs w:val="22"/>
        </w:rPr>
        <w:t xml:space="preserve">Building the public read flow before authentication meant the riskiest assumption was tested first. Had that failed, very little work would have been wasted. The same principle governed the migration: ten phases, each independently verifiable, with the previous version deployable throughout.</w:t>
      </w:r>
    </w:p>
    <w:p>
      <w:pPr>
        <w:pStyle w:val="Heading2"/>
        <w:spacing w:after="140" w:before="300"/>
      </w:pPr>
      <w:r>
        <w:rPr>
          <w:b/>
          <w:bCs/>
          <w:color w:val="8A5A2B"/>
          <w:sz w:val="26"/>
          <w:szCs w:val="26"/>
        </w:rPr>
        <w:t xml:space="preserve">Verification is not the same as writing code</w:t>
      </w:r>
    </w:p>
    <w:p>
      <w:pPr>
        <w:spacing w:after="160" w:line="300"/>
      </w:pPr>
      <w:r>
        <w:rPr>
          <w:color w:val="1C1917"/>
          <w:sz w:val="22"/>
          <w:szCs w:val="22"/>
        </w:rPr>
        <w:t xml:space="preserve">Several defects surfaced only because outputs were checked rather than assumed. A password-reset endpoint carefully written to avoid revealing which email addresses had accounts leaked exactly that information whenever the mail server failed, because one call was left unguarded. A URL field silently too short caused an image to be replaced with a link shortener that served HTML rather than an image. Neither was visible without deliberately testing the failure path.</w:t>
      </w:r>
    </w:p>
    <w:p>
      <w:pPr>
        <w:pStyle w:val="Heading2"/>
        <w:spacing w:after="140" w:before="300"/>
      </w:pPr>
      <w:r>
        <w:rPr>
          <w:b/>
          <w:bCs/>
          <w:color w:val="8A5A2B"/>
          <w:sz w:val="26"/>
          <w:szCs w:val="26"/>
        </w:rPr>
        <w:t xml:space="preserve">Decisions should be recorded where they will be found</w:t>
      </w:r>
    </w:p>
    <w:p>
      <w:pPr>
        <w:spacing w:after="160" w:line="300"/>
      </w:pPr>
      <w:r>
        <w:rPr>
          <w:color w:val="1C1917"/>
          <w:sz w:val="22"/>
          <w:szCs w:val="22"/>
        </w:rPr>
        <w:t xml:space="preserve">The migration plan, the merge decision, and the known deployment limitations are written into the repository rather than left in memory. The reasoning for not merging the two branches is recorded next to the work itself, so it survives the person who made it.</w:t>
      </w:r>
    </w:p>
    <w:p>
      <w:r>
        <w:br w:type="page"/>
      </w:r>
    </w:p>
    <w:p>
      <w:pPr>
        <w:pStyle w:val="Heading1"/>
        <w:spacing w:after="200" w:before="400"/>
      </w:pPr>
      <w:r>
        <w:rPr>
          <w:b/>
          <w:bCs/>
          <w:color w:val="1C1917"/>
          <w:sz w:val="34"/>
          <w:szCs w:val="34"/>
        </w:rPr>
        <w:t xml:space="preserve">10. Current State</w:t>
      </w:r>
    </w:p>
    <w:p>
      <w:pPr>
        <w:spacing w:after="160" w:line="300"/>
      </w:pPr>
      <w:r>
        <w:rPr>
          <w:color w:val="1C1917"/>
          <w:sz w:val="22"/>
          <w:szCs w:val="22"/>
        </w:rPr>
        <w:t xml:space="preserve">Both applications are deployed, verified end-to-end in the browser, and documented for assessment.</w:t>
      </w:r>
    </w:p>
    <w:p>
      <w:pPr>
        <w:spacing w:after="80"/>
      </w:pPr>
    </w:p>
    <w:tbl>
      <w:tblPr>
        <w:tblW w:type="dxa" w:w="9360"/>
        <w:tblBorders>
          <w:top w:val="single" w:color="D6D3D1" w:sz="4"/>
          <w:left w:val="none"/>
          <w:bottom w:val="single" w:color="D6D3D1" w:sz="4"/>
          <w:right w:val="none"/>
          <w:insideH w:val="single" w:color="D6D3D1" w:sz="2"/>
          <w:insideV w:val="none"/>
        </w:tblBorders>
      </w:tblPr>
      <w:tblGrid>
        <w:gridCol w:w="2600"/>
        <w:gridCol w:w="6760"/>
      </w:tblGrid>
      <w:tr>
        <w:trPr>
          <w:tblHeader/>
        </w:trPr>
        <w:tc>
          <w:tcPr>
            <w:tcW w:type="dxa" w:w="2600"/>
            <w:shd w:fill="F2EDE4" w:val="clear"/>
            <w:tcMar>
              <w:top w:type="dxa" w:w="90"/>
              <w:left w:type="dxa" w:w="120"/>
              <w:bottom w:type="dxa" w:w="90"/>
              <w:right w:type="dxa" w:w="120"/>
            </w:tcMar>
          </w:tcPr>
          <w:p>
            <w:pPr>
              <w:spacing w:after="0" w:line="270"/>
            </w:pPr>
            <w:r>
              <w:rPr>
                <w:b/>
                <w:bCs/>
                <w:color w:val="1C1917"/>
                <w:sz w:val="20"/>
                <w:szCs w:val="20"/>
              </w:rPr>
              <w:t xml:space="preserve">Item</w:t>
            </w:r>
          </w:p>
        </w:tc>
        <w:tc>
          <w:tcPr>
            <w:tcW w:type="dxa" w:w="6760"/>
            <w:shd w:fill="F2EDE4" w:val="clear"/>
            <w:tcMar>
              <w:top w:type="dxa" w:w="90"/>
              <w:left w:type="dxa" w:w="120"/>
              <w:bottom w:type="dxa" w:w="90"/>
              <w:right w:type="dxa" w:w="120"/>
            </w:tcMar>
          </w:tcPr>
          <w:p>
            <w:pPr>
              <w:spacing w:after="0" w:line="270"/>
            </w:pPr>
            <w:r>
              <w:rPr>
                <w:b/>
                <w:bCs/>
                <w:color w:val="1C1917"/>
                <w:sz w:val="20"/>
                <w:szCs w:val="20"/>
              </w:rPr>
              <w:t xml:space="preserve">Detail</w:t>
            </w:r>
          </w:p>
        </w:tc>
      </w:tr>
      <w:tr>
        <w:tc>
          <w:tcPr>
            <w:tcW w:type="dxa" w:w="2600"/>
            <w:tcMar>
              <w:top w:type="dxa" w:w="90"/>
              <w:left w:type="dxa" w:w="120"/>
              <w:bottom w:type="dxa" w:w="90"/>
              <w:right w:type="dxa" w:w="120"/>
            </w:tcMar>
          </w:tcPr>
          <w:p>
            <w:pPr>
              <w:spacing w:after="0" w:line="270"/>
            </w:pPr>
            <w:r>
              <w:rPr>
                <w:b/>
                <w:bCs/>
                <w:color w:val="57534D"/>
                <w:sz w:val="20"/>
                <w:szCs w:val="20"/>
              </w:rPr>
              <w:t xml:space="preserve">Version 1 — live</w:t>
            </w:r>
          </w:p>
        </w:tc>
        <w:tc>
          <w:tcPr>
            <w:tcW w:type="dxa" w:w="6760"/>
            <w:tcMar>
              <w:top w:type="dxa" w:w="90"/>
              <w:left w:type="dxa" w:w="120"/>
              <w:bottom w:type="dxa" w:w="90"/>
              <w:right w:type="dxa" w:w="120"/>
            </w:tcMar>
          </w:tcPr>
          <w:p>
            <w:pPr>
              <w:spacing w:after="0" w:line="270"/>
            </w:pPr>
            <w:r>
              <w:rPr>
                <w:b w:val="false"/>
                <w:bCs w:val="false"/>
                <w:color w:val="57534D"/>
                <w:sz w:val="20"/>
                <w:szCs w:val="20"/>
              </w:rPr>
              <w:t xml:space="preserve">https://exhibitguide.onrender.com</w:t>
            </w:r>
          </w:p>
        </w:tc>
      </w:tr>
      <w:tr>
        <w:tc>
          <w:tcPr>
            <w:tcW w:type="dxa" w:w="2600"/>
            <w:tcMar>
              <w:top w:type="dxa" w:w="90"/>
              <w:left w:type="dxa" w:w="120"/>
              <w:bottom w:type="dxa" w:w="90"/>
              <w:right w:type="dxa" w:w="120"/>
            </w:tcMar>
          </w:tcPr>
          <w:p>
            <w:pPr>
              <w:spacing w:after="0" w:line="270"/>
            </w:pPr>
            <w:r>
              <w:rPr>
                <w:b/>
                <w:bCs/>
                <w:color w:val="57534D"/>
                <w:sz w:val="20"/>
                <w:szCs w:val="20"/>
              </w:rPr>
              <w:t xml:space="preserve">Version 2 — frontend</w:t>
            </w:r>
          </w:p>
        </w:tc>
        <w:tc>
          <w:tcPr>
            <w:tcW w:type="dxa" w:w="6760"/>
            <w:tcMar>
              <w:top w:type="dxa" w:w="90"/>
              <w:left w:type="dxa" w:w="120"/>
              <w:bottom w:type="dxa" w:w="90"/>
              <w:right w:type="dxa" w:w="120"/>
            </w:tcMar>
          </w:tcPr>
          <w:p>
            <w:pPr>
              <w:spacing w:after="0" w:line="270"/>
            </w:pPr>
            <w:r>
              <w:rPr>
                <w:b w:val="false"/>
                <w:bCs w:val="false"/>
                <w:color w:val="57534D"/>
                <w:sz w:val="20"/>
                <w:szCs w:val="20"/>
              </w:rPr>
              <w:t xml:space="preserve">https://exhibitguide-react-frontend.onrender.com</w:t>
            </w:r>
          </w:p>
        </w:tc>
      </w:tr>
      <w:tr>
        <w:tc>
          <w:tcPr>
            <w:tcW w:type="dxa" w:w="2600"/>
            <w:tcMar>
              <w:top w:type="dxa" w:w="90"/>
              <w:left w:type="dxa" w:w="120"/>
              <w:bottom w:type="dxa" w:w="90"/>
              <w:right w:type="dxa" w:w="120"/>
            </w:tcMar>
          </w:tcPr>
          <w:p>
            <w:pPr>
              <w:spacing w:after="0" w:line="270"/>
            </w:pPr>
            <w:r>
              <w:rPr>
                <w:b/>
                <w:bCs/>
                <w:color w:val="57534D"/>
                <w:sz w:val="20"/>
                <w:szCs w:val="20"/>
              </w:rPr>
              <w:t xml:space="preserve">Version 2 — API and admin</w:t>
            </w:r>
          </w:p>
        </w:tc>
        <w:tc>
          <w:tcPr>
            <w:tcW w:type="dxa" w:w="6760"/>
            <w:tcMar>
              <w:top w:type="dxa" w:w="90"/>
              <w:left w:type="dxa" w:w="120"/>
              <w:bottom w:type="dxa" w:w="90"/>
              <w:right w:type="dxa" w:w="120"/>
            </w:tcMar>
          </w:tcPr>
          <w:p>
            <w:pPr>
              <w:spacing w:after="0" w:line="270"/>
            </w:pPr>
            <w:r>
              <w:rPr>
                <w:b w:val="false"/>
                <w:bCs w:val="false"/>
                <w:color w:val="57534D"/>
                <w:sz w:val="20"/>
                <w:szCs w:val="20"/>
              </w:rPr>
              <w:t xml:space="preserve">https://exhibitguide-1.onrender.com</w:t>
            </w:r>
          </w:p>
        </w:tc>
      </w:tr>
      <w:tr>
        <w:tc>
          <w:tcPr>
            <w:tcW w:type="dxa" w:w="2600"/>
            <w:tcMar>
              <w:top w:type="dxa" w:w="90"/>
              <w:left w:type="dxa" w:w="120"/>
              <w:bottom w:type="dxa" w:w="90"/>
              <w:right w:type="dxa" w:w="120"/>
            </w:tcMar>
          </w:tcPr>
          <w:p>
            <w:pPr>
              <w:spacing w:after="0" w:line="270"/>
            </w:pPr>
            <w:r>
              <w:rPr>
                <w:b/>
                <w:bCs/>
                <w:color w:val="57534D"/>
                <w:sz w:val="20"/>
                <w:szCs w:val="20"/>
              </w:rPr>
              <w:t xml:space="preserve">Repository</w:t>
            </w:r>
          </w:p>
        </w:tc>
        <w:tc>
          <w:tcPr>
            <w:tcW w:type="dxa" w:w="6760"/>
            <w:tcMar>
              <w:top w:type="dxa" w:w="90"/>
              <w:left w:type="dxa" w:w="120"/>
              <w:bottom w:type="dxa" w:w="90"/>
              <w:right w:type="dxa" w:w="120"/>
            </w:tcMar>
          </w:tcPr>
          <w:p>
            <w:pPr>
              <w:spacing w:after="0" w:line="270"/>
            </w:pPr>
            <w:r>
              <w:rPr>
                <w:b w:val="false"/>
                <w:bCs w:val="false"/>
                <w:color w:val="57534D"/>
                <w:sz w:val="20"/>
                <w:szCs w:val="20"/>
              </w:rPr>
              <w:t xml:space="preserve">https://github.com/RichieG78/ExhibitGuide</w:t>
            </w:r>
          </w:p>
        </w:tc>
      </w:tr>
      <w:tr>
        <w:tc>
          <w:tcPr>
            <w:tcW w:type="dxa" w:w="2600"/>
            <w:tcMar>
              <w:top w:type="dxa" w:w="90"/>
              <w:left w:type="dxa" w:w="120"/>
              <w:bottom w:type="dxa" w:w="90"/>
              <w:right w:type="dxa" w:w="120"/>
            </w:tcMar>
          </w:tcPr>
          <w:p>
            <w:pPr>
              <w:spacing w:after="0" w:line="270"/>
            </w:pPr>
            <w:r>
              <w:rPr>
                <w:b/>
                <w:bCs/>
                <w:color w:val="57534D"/>
                <w:sz w:val="20"/>
                <w:szCs w:val="20"/>
              </w:rPr>
              <w:t xml:space="preserve">Tags</w:t>
            </w:r>
          </w:p>
        </w:tc>
        <w:tc>
          <w:tcPr>
            <w:tcW w:type="dxa" w:w="6760"/>
            <w:tcMar>
              <w:top w:type="dxa" w:w="90"/>
              <w:left w:type="dxa" w:w="120"/>
              <w:bottom w:type="dxa" w:w="90"/>
              <w:right w:type="dxa" w:w="120"/>
            </w:tcMar>
          </w:tcPr>
          <w:p>
            <w:pPr>
              <w:spacing w:after="0" w:line="270"/>
            </w:pPr>
            <w:r>
              <w:rPr>
                <w:b w:val="false"/>
                <w:bCs w:val="false"/>
                <w:color w:val="57534D"/>
                <w:sz w:val="20"/>
                <w:szCs w:val="20"/>
              </w:rPr>
              <w:t xml:space="preserve">v1.0 (main) · v2.0 (react-and-rest-version)</w:t>
            </w:r>
          </w:p>
        </w:tc>
      </w:tr>
    </w:tbl>
    <w:p>
      <w:pPr>
        <w:spacing w:after="200"/>
      </w:pPr>
    </w:p>
    <w:p>
      <w:pPr>
        <w:spacing w:after="160" w:line="300"/>
      </w:pPr>
      <w:r>
        <w:rPr>
          <w:color w:val="1C1917"/>
          <w:sz w:val="22"/>
          <w:szCs w:val="22"/>
        </w:rPr>
        <w:t xml:space="preserve">Ten artworks are seeded across four exhibitions, each with a printed QR identifier. The codes have been generated, decoded and verified to resolve to the correct artwork on the live site.</w:t>
      </w:r>
    </w:p>
    <w:p>
      <w:pPr>
        <w:pStyle w:val="Heading2"/>
        <w:spacing w:after="140" w:before="300"/>
      </w:pPr>
      <w:r>
        <w:rPr>
          <w:b/>
          <w:bCs/>
          <w:color w:val="8A5A2B"/>
          <w:sz w:val="26"/>
          <w:szCs w:val="26"/>
        </w:rPr>
        <w:t xml:space="preserve">Known limitations, stated plainly</w:t>
      </w:r>
    </w:p>
    <w:p>
      <w:pPr>
        <w:pStyle w:val="ListParagraph"/>
        <w:numPr>
          <w:ilvl w:val="0"/>
          <w:numId w:val="2"/>
        </w:numPr>
        <w:spacing w:after="90" w:line="290"/>
      </w:pPr>
      <w:r>
        <w:rPr>
          <w:color w:val="1C1917"/>
          <w:sz w:val="22"/>
          <w:szCs w:val="22"/>
        </w:rPr>
        <w:t xml:space="preserve">Images uploaded through the staff interface do not survive redeployment, because the hosting platform's filesystem is ephemeral. Seeded artworks are unaffected as they reference external addresses. Persistent uploads would require object storage.</w:t>
      </w:r>
    </w:p>
    <w:p>
      <w:pPr>
        <w:pStyle w:val="ListParagraph"/>
        <w:numPr>
          <w:ilvl w:val="0"/>
          <w:numId w:val="2"/>
        </w:numPr>
        <w:spacing w:after="90" w:line="290"/>
      </w:pPr>
      <w:r>
        <w:rPr>
          <w:color w:val="1C1917"/>
          <w:sz w:val="22"/>
          <w:szCs w:val="22"/>
        </w:rPr>
        <w:t xml:space="preserve">The free hosting tier sleeps when idle, so the first request after a quiet period can take 30–60 seconds.</w:t>
      </w:r>
    </w:p>
    <w:p>
      <w:pPr>
        <w:pStyle w:val="ListParagraph"/>
        <w:numPr>
          <w:ilvl w:val="0"/>
          <w:numId w:val="2"/>
        </w:numPr>
        <w:spacing w:after="90" w:line="290"/>
      </w:pPr>
      <w:r>
        <w:rPr>
          <w:color w:val="1C1917"/>
          <w:sz w:val="22"/>
          <w:szCs w:val="22"/>
        </w:rPr>
        <w:t xml:space="preserve">The saved-exhibits dashboard was first built against demonstration data and was wired to real per-user data once authentication existed; the "acquired" status remains a design state with no backing field.</w:t>
      </w:r>
    </w:p>
    <w:p>
      <w:r>
        <w:br w:type="page"/>
      </w:r>
    </w:p>
    <w:p>
      <w:pPr>
        <w:pStyle w:val="Heading1"/>
        <w:spacing w:after="200" w:before="400"/>
      </w:pPr>
      <w:r>
        <w:rPr>
          <w:b/>
          <w:bCs/>
          <w:color w:val="1C1917"/>
          <w:sz w:val="34"/>
          <w:szCs w:val="34"/>
        </w:rPr>
        <w:t xml:space="preserve">Appendix: Project Artefacts</w:t>
      </w:r>
    </w:p>
    <w:p>
      <w:pPr>
        <w:pStyle w:val="Heading2"/>
        <w:spacing w:after="140" w:before="300"/>
      </w:pPr>
      <w:r>
        <w:rPr>
          <w:b/>
          <w:bCs/>
          <w:color w:val="8A5A2B"/>
          <w:sz w:val="26"/>
          <w:szCs w:val="26"/>
        </w:rPr>
        <w:t xml:space="preserve">Planning board — schedule, epics and user stories</w:t>
      </w:r>
    </w:p>
    <w:p>
      <w:pPr>
        <w:spacing w:after="100" w:line="300"/>
      </w:pPr>
      <w:r>
        <w:rPr>
          <w:color w:val="1C1917"/>
          <w:sz w:val="22"/>
          <w:szCs w:val="22"/>
        </w:rPr>
        <w:t xml:space="preserve">Feature list, sprint timeline, epic breakdown, user stories with acceptance criteria, technology stack rationale and the core data model.</w:t>
      </w:r>
    </w:p>
    <w:p>
      <w:pPr>
        <w:spacing w:after="120" w:line="300"/>
      </w:pPr>
      <w:hyperlink w:history="1" r:id="rIdfzasgcm7jzozjegipfswz">
        <w:r>
          <w:rPr>
            <w:color w:val="1155CC"/>
            <w:sz w:val="22"/>
            <w:szCs w:val="22"/>
            <w:u w:val="single"/>
          </w:rPr>
          <w:t xml:space="preserve">FigJam — Final Project Schedule</w:t>
        </w:r>
      </w:hyperlink>
    </w:p>
    <w:p>
      <w:pPr>
        <w:spacing w:after="160"/>
      </w:pPr>
    </w:p>
    <w:p>
      <w:pPr>
        <w:pStyle w:val="Heading2"/>
        <w:spacing w:after="140" w:before="300"/>
      </w:pPr>
      <w:r>
        <w:rPr>
          <w:b/>
          <w:bCs/>
          <w:color w:val="8A5A2B"/>
          <w:sz w:val="26"/>
          <w:szCs w:val="26"/>
        </w:rPr>
        <w:t xml:space="preserve">Interface designs</w:t>
      </w:r>
    </w:p>
    <w:p>
      <w:pPr>
        <w:spacing w:after="100" w:line="300"/>
      </w:pPr>
      <w:r>
        <w:rPr>
          <w:color w:val="1C1917"/>
          <w:sz w:val="22"/>
          <w:szCs w:val="22"/>
        </w:rPr>
        <w:t xml:space="preserve">The five specified screens, from the in-gallery scan through to the collector dashboard.</w:t>
      </w:r>
    </w:p>
    <w:p>
      <w:pPr>
        <w:spacing w:after="120" w:line="300"/>
      </w:pPr>
      <w:hyperlink w:history="1" r:id="rIdih9r6xl7ob6a8oz3gni2o">
        <w:r>
          <w:rPr>
            <w:color w:val="1155CC"/>
            <w:sz w:val="22"/>
            <w:szCs w:val="22"/>
            <w:u w:val="single"/>
          </w:rPr>
          <w:t xml:space="preserve">Figma — ExhibitGuide designs</w:t>
        </w:r>
      </w:hyperlink>
    </w:p>
    <w:p>
      <w:pPr>
        <w:spacing w:after="160"/>
      </w:pPr>
    </w:p>
    <w:p>
      <w:pPr>
        <w:pStyle w:val="Heading2"/>
        <w:spacing w:after="140" w:before="300"/>
      </w:pPr>
      <w:r>
        <w:rPr>
          <w:b/>
          <w:bCs/>
          <w:color w:val="8A5A2B"/>
          <w:sz w:val="26"/>
          <w:szCs w:val="26"/>
        </w:rPr>
        <w:t xml:space="preserve">Code and deployments</w:t>
      </w:r>
    </w:p>
    <w:p>
      <w:pPr>
        <w:spacing w:after="120" w:line="300"/>
      </w:pPr>
      <w:hyperlink w:history="1" r:id="rIdpvepvls5dkp-bfmcfyosx">
        <w:r>
          <w:rPr>
            <w:color w:val="1155CC"/>
            <w:sz w:val="22"/>
            <w:szCs w:val="22"/>
            <w:u w:val="single"/>
          </w:rPr>
          <w:t xml:space="preserve">GitHub repository</w:t>
        </w:r>
      </w:hyperlink>
    </w:p>
    <w:p>
      <w:pPr>
        <w:spacing w:after="120" w:line="300"/>
      </w:pPr>
      <w:hyperlink w:history="1" r:id="rId2pd7e1ky_l0nrdqrugaem">
        <w:r>
          <w:rPr>
            <w:color w:val="1155CC"/>
            <w:sz w:val="22"/>
            <w:szCs w:val="22"/>
            <w:u w:val="single"/>
          </w:rPr>
          <w:t xml:space="preserve">Version 1 — original Django application</w:t>
        </w:r>
      </w:hyperlink>
    </w:p>
    <w:p>
      <w:pPr>
        <w:spacing w:after="120" w:line="300"/>
      </w:pPr>
      <w:hyperlink w:history="1" r:id="rIdley5crjr8uqwbruybmwke">
        <w:r>
          <w:rPr>
            <w:color w:val="1155CC"/>
            <w:sz w:val="22"/>
            <w:szCs w:val="22"/>
            <w:u w:val="single"/>
          </w:rPr>
          <w:t xml:space="preserve">Version 2 — React frontend</w:t>
        </w:r>
      </w:hyperlink>
    </w:p>
    <w:p>
      <w:pPr>
        <w:spacing w:after="120" w:line="300"/>
      </w:pPr>
      <w:hyperlink w:history="1" r:id="rIdwqhvy23sadd6yfpvxuma2">
        <w:r>
          <w:rPr>
            <w:color w:val="1155CC"/>
            <w:sz w:val="22"/>
            <w:szCs w:val="22"/>
            <w:u w:val="single"/>
          </w:rPr>
          <w:t xml:space="preserve">Version 2 — REST API and Django admin</w:t>
        </w:r>
      </w:hyperlink>
    </w:p>
    <w:p>
      <w:pPr>
        <w:spacing w:after="160"/>
      </w:pPr>
    </w:p>
    <w:p>
      <w:pPr>
        <w:pStyle w:val="Heading2"/>
        <w:spacing w:after="140" w:before="300"/>
      </w:pPr>
      <w:r>
        <w:rPr>
          <w:b/>
          <w:bCs/>
          <w:color w:val="8A5A2B"/>
          <w:sz w:val="26"/>
          <w:szCs w:val="26"/>
        </w:rPr>
        <w:t xml:space="preserve">Documents in the repository</w:t>
      </w:r>
    </w:p>
    <w:p>
      <w:pPr>
        <w:spacing w:after="160" w:line="300"/>
      </w:pPr>
      <w:r>
        <w:rPr>
          <w:color w:val="1C1917"/>
          <w:sz w:val="22"/>
          <w:szCs w:val="22"/>
        </w:rPr>
        <w:t xml:space="preserve">The project folder holds the supporting material produced across the course. It is grouped below by purpose, with a note on which file to read where several cover the same ground.</w:t>
      </w:r>
    </w:p>
    <w:p>
      <w:pPr>
        <w:spacing w:after="90" w:before="240"/>
      </w:pPr>
      <w:r>
        <w:rPr>
          <w:b/>
          <w:bCs/>
          <w:color w:val="1C1917"/>
          <w:sz w:val="22"/>
          <w:szCs w:val="22"/>
        </w:rPr>
        <w:t xml:space="preserve">Coursework presentations</w:t>
      </w:r>
    </w:p>
    <w:p>
      <w:pPr>
        <w:spacing w:after="160" w:line="300"/>
      </w:pPr>
      <w:r>
        <w:rPr>
          <w:b/>
          <w:bCs/>
          <w:i w:val="false"/>
          <w:iCs w:val="false"/>
          <w:color w:val="1C1917"/>
          <w:sz w:val="22"/>
          <w:szCs w:val="22"/>
        </w:rPr>
        <w:t xml:space="preserve">ExhibitGuide_presentation_01.pdf</w:t>
      </w:r>
      <w:r>
        <w:rPr>
          <w:color w:val="1C1917"/>
          <w:sz w:val="22"/>
          <w:szCs w:val="22"/>
        </w:rPr>
        <w:t xml:space="preserve"> through </w:t>
      </w:r>
      <w:r>
        <w:rPr>
          <w:b/>
          <w:bCs/>
          <w:i w:val="false"/>
          <w:iCs w:val="false"/>
          <w:color w:val="1C1917"/>
          <w:sz w:val="22"/>
          <w:szCs w:val="22"/>
        </w:rPr>
        <w:t xml:space="preserve">05.pdf</w:t>
      </w:r>
      <w:r>
        <w:rPr>
          <w:color w:val="1C1917"/>
          <w:sz w:val="22"/>
          <w:szCs w:val="22"/>
        </w:rPr>
        <w:t xml:space="preserve"> are the presentations delivered at each checkpoint during the course. </w:t>
      </w:r>
      <w:r>
        <w:rPr>
          <w:b/>
          <w:bCs/>
          <w:i w:val="false"/>
          <w:iCs w:val="false"/>
          <w:color w:val="1C1917"/>
          <w:sz w:val="22"/>
          <w:szCs w:val="22"/>
        </w:rPr>
        <w:t xml:space="preserve">Version 05 is the most recent and is the one to read</w:t>
      </w:r>
      <w:r>
        <w:rPr>
          <w:color w:val="1C1917"/>
          <w:sz w:val="22"/>
          <w:szCs w:val="22"/>
        </w:rPr>
        <w:t xml:space="preserve"> — it reflects the project as finally delivered. The earlier numbers are superseded, and are kept because together they show how the thinking developed, including the pivot away from museums.</w:t>
      </w:r>
    </w:p>
    <w:p>
      <w:pPr>
        <w:pStyle w:val="ListParagraph"/>
        <w:numPr>
          <w:ilvl w:val="0"/>
          <w:numId w:val="2"/>
        </w:numPr>
        <w:spacing w:after="90" w:line="290"/>
      </w:pPr>
      <w:r>
        <w:rPr>
          <w:b/>
          <w:bCs/>
          <w:i w:val="false"/>
          <w:iCs w:val="false"/>
          <w:color w:val="1C1917"/>
          <w:sz w:val="22"/>
          <w:szCs w:val="22"/>
        </w:rPr>
        <w:t xml:space="preserve">ExhibitGuide_project-update.pdf</w:t>
      </w:r>
      <w:r>
        <w:rPr>
          <w:color w:val="1C1917"/>
          <w:sz w:val="22"/>
          <w:szCs w:val="22"/>
        </w:rPr>
        <w:t xml:space="preserve"> — Project Update 2, the penultimate checkpoint: where the build stood, two live code demonstrations, and the plan for the React and Django REST version.</w:t>
      </w:r>
    </w:p>
    <w:p>
      <w:pPr>
        <w:spacing w:after="90" w:before="240"/>
      </w:pPr>
      <w:r>
        <w:rPr>
          <w:b/>
          <w:bCs/>
          <w:color w:val="1C1917"/>
          <w:sz w:val="22"/>
          <w:szCs w:val="22"/>
        </w:rPr>
        <w:t xml:space="preserve">Planning and process</w:t>
      </w:r>
    </w:p>
    <w:p>
      <w:pPr>
        <w:pStyle w:val="ListParagraph"/>
        <w:numPr>
          <w:ilvl w:val="0"/>
          <w:numId w:val="2"/>
        </w:numPr>
        <w:spacing w:after="90" w:line="290"/>
      </w:pPr>
      <w:r>
        <w:rPr>
          <w:b/>
          <w:bCs/>
          <w:i w:val="false"/>
          <w:iCs w:val="false"/>
          <w:color w:val="1C1917"/>
          <w:sz w:val="22"/>
          <w:szCs w:val="22"/>
        </w:rPr>
        <w:t xml:space="preserve">Final Project Schedule.pdf</w:t>
      </w:r>
      <w:r>
        <w:rPr>
          <w:color w:val="1C1917"/>
          <w:sz w:val="22"/>
          <w:szCs w:val="22"/>
        </w:rPr>
        <w:t xml:space="preserve"> — the Gantt chart. Sprints, checkpoints, epics and user stories plotted across June to August, including the presentation dates and the Learning swimlane used for user testing.</w:t>
      </w:r>
    </w:p>
    <w:p>
      <w:pPr>
        <w:pStyle w:val="ListParagraph"/>
        <w:numPr>
          <w:ilvl w:val="0"/>
          <w:numId w:val="2"/>
        </w:numPr>
        <w:spacing w:after="90" w:line="290"/>
      </w:pPr>
      <w:r>
        <w:rPr>
          <w:b/>
          <w:bCs/>
          <w:i w:val="false"/>
          <w:iCs w:val="false"/>
          <w:color w:val="1C1917"/>
          <w:sz w:val="22"/>
          <w:szCs w:val="22"/>
        </w:rPr>
        <w:t xml:space="preserve">Kanban_board.pdf</w:t>
      </w:r>
      <w:r>
        <w:rPr>
          <w:color w:val="1C1917"/>
          <w:sz w:val="22"/>
          <w:szCs w:val="22"/>
        </w:rPr>
        <w:t xml:space="preserve"> — the completed user stories, organised by epic. This is the record of what was actually delivered against what was planned, and shows the scope decisions described in section 8.</w:t>
      </w:r>
    </w:p>
    <w:p>
      <w:pPr>
        <w:spacing w:after="90" w:before="240"/>
      </w:pPr>
      <w:r>
        <w:rPr>
          <w:b/>
          <w:bCs/>
          <w:color w:val="1C1917"/>
          <w:sz w:val="22"/>
          <w:szCs w:val="22"/>
        </w:rPr>
        <w:t xml:space="preserve">Design</w:t>
      </w:r>
    </w:p>
    <w:p>
      <w:pPr>
        <w:pStyle w:val="ListParagraph"/>
        <w:numPr>
          <w:ilvl w:val="0"/>
          <w:numId w:val="2"/>
        </w:numPr>
        <w:spacing w:after="90" w:line="290"/>
      </w:pPr>
      <w:r>
        <w:rPr>
          <w:b/>
          <w:bCs/>
          <w:i w:val="false"/>
          <w:iCs w:val="false"/>
          <w:color w:val="1C1917"/>
          <w:sz w:val="22"/>
          <w:szCs w:val="22"/>
        </w:rPr>
        <w:t xml:space="preserve">Exhibit_Guide_Storyboards.pdf</w:t>
      </w:r>
      <w:r>
        <w:rPr>
          <w:color w:val="1C1917"/>
          <w:sz w:val="22"/>
          <w:szCs w:val="22"/>
        </w:rPr>
        <w:t xml:space="preserve"> — lo-fi wireframes of the visitor functionality, following the scan-to-lead flow from standing in front of a work through to the captured enquiry.</w:t>
      </w:r>
    </w:p>
    <w:p>
      <w:pPr>
        <w:pStyle w:val="ListParagraph"/>
        <w:numPr>
          <w:ilvl w:val="0"/>
          <w:numId w:val="2"/>
        </w:numPr>
        <w:spacing w:after="90" w:line="290"/>
      </w:pPr>
      <w:r>
        <w:rPr>
          <w:b/>
          <w:bCs/>
          <w:i w:val="false"/>
          <w:iCs w:val="false"/>
          <w:color w:val="1C1917"/>
          <w:sz w:val="22"/>
          <w:szCs w:val="22"/>
        </w:rPr>
        <w:t xml:space="preserve">ERD_models/Original_ERD.png</w:t>
      </w:r>
      <w:r>
        <w:rPr>
          <w:color w:val="1C1917"/>
          <w:sz w:val="22"/>
          <w:szCs w:val="22"/>
        </w:rPr>
        <w:t xml:space="preserve"> and </w:t>
      </w:r>
      <w:r>
        <w:rPr>
          <w:b/>
          <w:bCs/>
          <w:i w:val="false"/>
          <w:iCs w:val="false"/>
          <w:color w:val="1C1917"/>
          <w:sz w:val="22"/>
          <w:szCs w:val="22"/>
        </w:rPr>
        <w:t xml:space="preserve">normalized_erd.svg</w:t>
      </w:r>
      <w:r>
        <w:rPr>
          <w:color w:val="1C1917"/>
          <w:sz w:val="22"/>
          <w:szCs w:val="22"/>
        </w:rPr>
        <w:t xml:space="preserve"> — the data model before and after normalisation, discussed in section 5.</w:t>
      </w:r>
    </w:p>
    <w:p>
      <w:pPr>
        <w:spacing w:after="90" w:before="240"/>
      </w:pPr>
      <w:r>
        <w:rPr>
          <w:b/>
          <w:bCs/>
          <w:color w:val="1C1917"/>
          <w:sz w:val="22"/>
          <w:szCs w:val="22"/>
        </w:rPr>
        <w:t xml:space="preserve">Code and testing</w:t>
      </w:r>
    </w:p>
    <w:p>
      <w:pPr>
        <w:pStyle w:val="ListParagraph"/>
        <w:numPr>
          <w:ilvl w:val="0"/>
          <w:numId w:val="2"/>
        </w:numPr>
        <w:spacing w:after="90" w:line="290"/>
      </w:pPr>
      <w:r>
        <w:rPr>
          <w:b/>
          <w:bCs/>
          <w:i w:val="false"/>
          <w:iCs w:val="false"/>
          <w:color w:val="1C1917"/>
          <w:sz w:val="22"/>
          <w:szCs w:val="22"/>
        </w:rPr>
        <w:t xml:space="preserve">README.md</w:t>
      </w:r>
      <w:r>
        <w:rPr>
          <w:color w:val="1C1917"/>
          <w:sz w:val="22"/>
          <w:szCs w:val="22"/>
        </w:rPr>
        <w:t xml:space="preserve"> — assessor guide, route reference and deployment runbook. Present on both branches, each describing its own version.</w:t>
      </w:r>
    </w:p>
    <w:p>
      <w:pPr>
        <w:pStyle w:val="ListParagraph"/>
        <w:numPr>
          <w:ilvl w:val="0"/>
          <w:numId w:val="2"/>
        </w:numPr>
        <w:spacing w:after="90" w:line="290"/>
      </w:pPr>
      <w:r>
        <w:rPr>
          <w:b/>
          <w:bCs/>
          <w:i w:val="false"/>
          <w:iCs w:val="false"/>
          <w:color w:val="1C1917"/>
          <w:sz w:val="22"/>
          <w:szCs w:val="22"/>
        </w:rPr>
        <w:t xml:space="preserve">DJANGO_TO_REACT_MIGRATION_PLAN.md</w:t>
      </w:r>
      <w:r>
        <w:rPr>
          <w:color w:val="1C1917"/>
          <w:sz w:val="22"/>
          <w:szCs w:val="22"/>
        </w:rPr>
        <w:t xml:space="preserve"> — the ten-phase record of the migration from the Django monolith to the React and REST architecture.</w:t>
      </w:r>
    </w:p>
    <w:p>
      <w:pPr>
        <w:pStyle w:val="ListParagraph"/>
        <w:numPr>
          <w:ilvl w:val="0"/>
          <w:numId w:val="2"/>
        </w:numPr>
        <w:spacing w:after="90" w:line="290"/>
      </w:pPr>
      <w:r>
        <w:rPr>
          <w:b/>
          <w:bCs/>
          <w:i w:val="false"/>
          <w:iCs w:val="false"/>
          <w:color w:val="1C1917"/>
          <w:sz w:val="22"/>
          <w:szCs w:val="22"/>
        </w:rPr>
        <w:t xml:space="preserve">Admin_testing_data/</w:t>
      </w:r>
      <w:r>
        <w:rPr>
          <w:color w:val="1C1917"/>
          <w:sz w:val="22"/>
          <w:szCs w:val="22"/>
        </w:rPr>
        <w:t xml:space="preserve"> — copy-paste sample data for creating a new exhibit through the gallery CMS, with the artwork image it refers to. Use this to test the Persona 2 admin flow end to end.</w:t>
      </w:r>
    </w:p>
    <w:p>
      <w:pPr>
        <w:pStyle w:val="ListParagraph"/>
        <w:numPr>
          <w:ilvl w:val="0"/>
          <w:numId w:val="2"/>
        </w:numPr>
        <w:spacing w:after="90" w:line="290"/>
      </w:pPr>
      <w:r>
        <w:rPr>
          <w:b/>
          <w:bCs/>
          <w:i w:val="false"/>
          <w:iCs w:val="false"/>
          <w:color w:val="1C1917"/>
          <w:sz w:val="22"/>
          <w:szCs w:val="22"/>
        </w:rPr>
        <w:t xml:space="preserve">backend/exhibits/management/commands/seed_data_reference.md</w:t>
      </w:r>
      <w:r>
        <w:rPr>
          <w:color w:val="1C1917"/>
          <w:sz w:val="22"/>
          <w:szCs w:val="22"/>
        </w:rPr>
        <w:t xml:space="preserve"> — a field-by-field reference for the ten seeded artworks, for re-entering or checking existing content.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9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hof6034tmyiwodppyji9" Type="http://schemas.openxmlformats.org/officeDocument/2006/relationships/hyperlink" Target="https://www.figma.com/board/s1EtMsNH6qztO4Diy0c8or/Final-Project-Schedule?node-id=0-1" TargetMode="External"/><Relationship Id="rIdz8cdaxvwbphoxvujggmf7" Type="http://schemas.openxmlformats.org/officeDocument/2006/relationships/hyperlink" Target="https://www.figma.com/design/U048esHRIF2xeqqzPSjWCo/ExhibitGuide?node-id=0-1&amp;t=v5RuUBxxP1VPU4h9-1" TargetMode="External"/><Relationship Id="rIdnuup9ihrvlqe-3yoseig5" Type="http://schemas.openxmlformats.org/officeDocument/2006/relationships/hyperlink" Target="https://www.figma.com/design/U048esHRIF2xeqqzPSjWCo/ExhibitGuide?node-id=0-1" TargetMode="External"/><Relationship Id="rIdfzasgcm7jzozjegipfswz" Type="http://schemas.openxmlformats.org/officeDocument/2006/relationships/hyperlink" Target="https://www.figma.com/board/s1EtMsNH6qztO4Diy0c8or/Final-Project-Schedule?node-id=0-1" TargetMode="External"/><Relationship Id="rIdih9r6xl7ob6a8oz3gni2o" Type="http://schemas.openxmlformats.org/officeDocument/2006/relationships/hyperlink" Target="https://www.figma.com/design/U048esHRIF2xeqqzPSjWCo/ExhibitGuide?node-id=0-1" TargetMode="External"/><Relationship Id="rIdpvepvls5dkp-bfmcfyosx" Type="http://schemas.openxmlformats.org/officeDocument/2006/relationships/hyperlink" Target="https://github.com/RichieG78/ExhibitGuide" TargetMode="External"/><Relationship Id="rId2pd7e1ky_l0nrdqrugaem" Type="http://schemas.openxmlformats.org/officeDocument/2006/relationships/hyperlink" Target="https://exhibitguide.onrender.com" TargetMode="External"/><Relationship Id="rIdley5crjr8uqwbruybmwke" Type="http://schemas.openxmlformats.org/officeDocument/2006/relationships/hyperlink" Target="https://exhibitguide-react-frontend.onrender.com" TargetMode="External"/><Relationship Id="rIdwqhvy23sadd6yfpvxuma2" Type="http://schemas.openxmlformats.org/officeDocument/2006/relationships/hyperlink" Target="https://exhibitguide-1.onrender.co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ExhibitGuide — Project Narrative</dc:title>
  <dc:creator>Richard Glynn</dc:creator>
  <dc:description>The story of the ExhibitGuide project from conception through pivot to delivery</dc:description>
  <cp:lastModifiedBy>Un-named</cp:lastModifiedBy>
  <cp:revision>1</cp:revision>
  <dcterms:created xsi:type="dcterms:W3CDTF">2026-07-31T19:37:56.344Z</dcterms:created>
  <dcterms:modified xsi:type="dcterms:W3CDTF">2026-07-31T19:37:56.344Z</dcterms:modified>
</cp:coreProperties>
</file>

<file path=docProps/custom.xml><?xml version="1.0" encoding="utf-8"?>
<Properties xmlns="http://schemas.openxmlformats.org/officeDocument/2006/custom-properties" xmlns:vt="http://schemas.openxmlformats.org/officeDocument/2006/docPropsVTypes"/>
</file>