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cs="Times New Roman"/>
          <w:b/>
          <w:sz w:val="36"/>
        </w:rPr>
        <w:t>DementiaGuide AI — Mid-Year Progress Report: Methodology, Results, Discussion, Conclusion (Working Draft)</w:t>
      </w:r>
    </w:p>
    <w:p>
      <w:pPr>
        <w:jc w:val="center"/>
      </w:pPr>
      <w:r>
        <w:rPr>
          <w:rFonts w:ascii="Times New Roman" w:hAnsi="Times New Roman" w:cs="Times New Roman"/>
          <w:b/>
          <w:sz w:val="22"/>
        </w:rPr>
        <w:t>Author:</w:t>
      </w:r>
      <w:r>
        <w:rPr>
          <w:rFonts w:ascii="Times New Roman" w:hAnsi="Times New Roman" w:cs="Times New Roman"/>
          <w:sz w:val="22"/>
        </w:rPr>
        <w:t xml:space="preserve"> Richman Tan · </w:t>
      </w:r>
      <w:r>
        <w:rPr>
          <w:rFonts w:ascii="Times New Roman" w:hAnsi="Times New Roman" w:cs="Times New Roman"/>
          <w:b/>
          <w:sz w:val="22"/>
        </w:rPr>
        <w:t>Supervisor:</w:t>
      </w:r>
      <w:r>
        <w:rPr>
          <w:rFonts w:ascii="Times New Roman" w:hAnsi="Times New Roman" w:cs="Times New Roman"/>
          <w:sz w:val="22"/>
        </w:rPr>
        <w:t xml:space="preserve"> Assoc. Prof. Jing Sun · </w:t>
      </w:r>
      <w:r>
        <w:rPr>
          <w:rFonts w:ascii="Times New Roman" w:hAnsi="Times New Roman" w:cs="Times New Roman"/>
          <w:b/>
          <w:sz w:val="22"/>
        </w:rPr>
        <w:t>Project Partner:</w:t>
      </w:r>
      <w:r>
        <w:rPr>
          <w:rFonts w:ascii="Times New Roman" w:hAnsi="Times New Roman" w:cs="Times New Roman"/>
          <w:sz w:val="22"/>
        </w:rPr>
        <w:t xml:space="preserve"> JooHyun Kang</w:t>
      </w:r>
    </w:p>
    <w:p>
      <w:pPr>
        <w:jc w:val="center"/>
      </w:pPr>
      <w:r>
        <w:rPr>
          <w:rFonts w:ascii="Times New Roman" w:hAnsi="Times New Roman" w:cs="Times New Roman"/>
          <w:b/>
          <w:sz w:val="22"/>
        </w:rPr>
        <w:t>Report:</w:t>
      </w:r>
      <w:r>
        <w:rPr>
          <w:rFonts w:ascii="Times New Roman" w:hAnsi="Times New Roman" w:cs="Times New Roman"/>
          <w:sz w:val="22"/>
        </w:rPr>
        <w:t xml:space="preserve"> COMPSYS/ELECTENG/SOFTENG 700 Mid-Year Progress Report</w:t>
      </w:r>
    </w:p>
    <w:p>
      <w:pPr>
        <w:spacing w:after="120"/>
        <w:ind w:left="432" w:right="432"/>
      </w:pPr>
      <w:r>
        <w:rPr>
          <w:rFonts w:ascii="Times New Roman" w:hAnsi="Times New Roman" w:cs="Times New Roman"/>
          <w:b/>
          <w:i/>
          <w:sz w:val="18"/>
        </w:rPr>
        <w:t>Confirmed framing (interpretation B).</w:t>
      </w:r>
      <w:r>
        <w:rPr>
          <w:rFonts w:ascii="Times New Roman" w:hAnsi="Times New Roman" w:cs="Times New Roman"/>
          <w:i/>
          <w:sz w:val="18"/>
        </w:rPr>
        <w:t xml:space="preserve"> The mid-year deliverable is a </w:t>
      </w:r>
      <w:r>
        <w:rPr>
          <w:rFonts w:ascii="Times New Roman" w:hAnsi="Times New Roman" w:cs="Times New Roman"/>
          <w:i/>
          <w:sz w:val="18"/>
        </w:rPr>
        <w:t>progress report that expects early results</w:t>
      </w:r>
      <w:r>
        <w:rPr>
          <w:rFonts w:ascii="Times New Roman" w:hAnsi="Times New Roman" w:cs="Times New Roman"/>
          <w:i/>
          <w:sz w:val="18"/>
        </w:rPr>
        <w:t xml:space="preserve">, not a proposal. The report should evolve from </w:t>
      </w:r>
      <w:r>
        <w:rPr>
          <w:rFonts w:ascii="Consolas" w:hAnsi="Consolas" w:cs="Consolas"/>
          <w:i/>
          <w:sz w:val="17"/>
        </w:rPr>
        <w:t>Introduction → Literature Review → Proposed Solution → Project Plan</w:t>
      </w:r>
      <w:r>
        <w:rPr>
          <w:rFonts w:ascii="Times New Roman" w:hAnsi="Times New Roman" w:cs="Times New Roman"/>
          <w:i/>
          <w:sz w:val="18"/>
        </w:rPr>
        <w:t xml:space="preserve"> into: </w:t>
      </w:r>
      <w:r>
        <w:rPr>
          <w:rFonts w:ascii="Times New Roman" w:hAnsi="Times New Roman" w:cs="Times New Roman"/>
          <w:b/>
          <w:i/>
          <w:sz w:val="18"/>
        </w:rPr>
        <w:t>Introduction → Background and Literature Review → Research Objectives → Methodology → Implementation Progress → Results → Discussion → Limitations and Future Work → Conclusion.</w:t>
      </w:r>
      <w:r>
        <w:rPr>
          <w:rFonts w:ascii="Times New Roman" w:hAnsi="Times New Roman" w:cs="Times New Roman"/>
          <w:i/>
          <w:sz w:val="18"/>
        </w:rPr>
        <w:t xml:space="preserve"> Existing proposal content is reused; </w:t>
      </w:r>
      <w:r>
        <w:rPr>
          <w:rFonts w:ascii="Times New Roman" w:hAnsi="Times New Roman" w:cs="Times New Roman"/>
          <w:i/>
          <w:sz w:val="18"/>
        </w:rPr>
        <w:t>Proposed Solution</w:t>
      </w:r>
      <w:r>
        <w:rPr>
          <w:rFonts w:ascii="Times New Roman" w:hAnsi="Times New Roman" w:cs="Times New Roman"/>
          <w:i/>
          <w:sz w:val="18"/>
        </w:rPr>
        <w:t xml:space="preserve"> and </w:t>
      </w:r>
      <w:r>
        <w:rPr>
          <w:rFonts w:ascii="Times New Roman" w:hAnsi="Times New Roman" w:cs="Times New Roman"/>
          <w:i/>
          <w:sz w:val="18"/>
        </w:rPr>
        <w:t>Project Plan</w:t>
      </w:r>
      <w:r>
        <w:rPr>
          <w:rFonts w:ascii="Times New Roman" w:hAnsi="Times New Roman" w:cs="Times New Roman"/>
          <w:i/>
          <w:sz w:val="18"/>
        </w:rPr>
        <w:t xml:space="preserve"> are updated to reflect actual progress. This document drafts the new empirical sections (Methodology of the evaluation, Implementation Progress, Results, Discussion, Limitations and Future Work, Conclusion). </w:t>
      </w:r>
      <w:r>
        <w:rPr>
          <w:rFonts w:ascii="Times New Roman" w:hAnsi="Times New Roman" w:cs="Times New Roman"/>
          <w:b/>
          <w:i/>
          <w:sz w:val="18"/>
        </w:rPr>
        <w:t>Honesty boundary.</w:t>
      </w:r>
      <w:r>
        <w:rPr>
          <w:rFonts w:ascii="Times New Roman" w:hAnsi="Times New Roman" w:cs="Times New Roman"/>
          <w:i/>
          <w:sz w:val="18"/>
        </w:rPr>
        <w:t xml:space="preserve"> The lip-sync evaluation is real, quantitative, and reproducible. It validates </w:t>
      </w:r>
      <w:r>
        <w:rPr>
          <w:rFonts w:ascii="Times New Roman" w:hAnsi="Times New Roman" w:cs="Times New Roman"/>
          <w:b/>
          <w:i/>
          <w:sz w:val="18"/>
        </w:rPr>
        <w:t>one required component</w:t>
      </w:r>
      <w:r>
        <w:rPr>
          <w:rFonts w:ascii="Times New Roman" w:hAnsi="Times New Roman" w:cs="Times New Roman"/>
          <w:i/>
          <w:sz w:val="18"/>
        </w:rPr>
        <w:t xml:space="preserve"> — that the avatar can articulate speech accurately enough for the proposed system. It does </w:t>
      </w:r>
      <w:r>
        <w:rPr>
          <w:rFonts w:ascii="Times New Roman" w:hAnsi="Times New Roman" w:cs="Times New Roman"/>
          <w:b/>
          <w:i/>
          <w:sz w:val="18"/>
        </w:rPr>
        <w:t>not</w:t>
      </w:r>
      <w:r>
        <w:rPr>
          <w:rFonts w:ascii="Times New Roman" w:hAnsi="Times New Roman" w:cs="Times New Roman"/>
          <w:i/>
          <w:sz w:val="18"/>
        </w:rPr>
        <w:t xml:space="preserve"> assess the accessibility, personalisation, or usability of DementiaGuide AI; those depend on the human evaluation planned for the second half of the project. No data, numbers, or citations are invented. Section numbers below assume the full-report structure above; adjust to your final numbering. </w:t>
      </w:r>
      <w:r>
        <w:rPr>
          <w:rFonts w:ascii="Times New Roman" w:hAnsi="Times New Roman" w:cs="Times New Roman"/>
          <w:b/>
          <w:i/>
          <w:sz w:val="18"/>
        </w:rPr>
        <w:t>Note — one reference to add to your main bibliography:</w:t>
      </w:r>
      <w:r>
        <w:rPr>
          <w:rFonts w:ascii="Times New Roman" w:hAnsi="Times New Roman" w:cs="Times New Roman"/>
          <w:i/>
          <w:sz w:val="18"/>
        </w:rPr>
        <w:t xml:space="preserve"> the co-articulation engine follows the Cohen–Massaro dominance model, cited in §7 and listed in the References addendum at the end of this document. Verify the exact editors/pages against your citation style before merging it into the report's reference list.</w:t>
      </w:r>
    </w:p>
    <w:p>
      <w:pPr>
        <w:spacing w:before="200" w:after="80"/>
      </w:pPr>
      <w:r>
        <w:rPr>
          <w:rFonts w:ascii="Times New Roman" w:hAnsi="Times New Roman" w:cs="Times New Roman"/>
          <w:b/>
          <w:sz w:val="24"/>
        </w:rPr>
        <w:t>A. Evidence audit</w:t>
      </w:r>
    </w:p>
    <w:p>
      <w:pPr>
        <w:jc w:val="both"/>
      </w:pPr>
      <w:r>
        <w:rPr>
          <w:rFonts w:ascii="Times New Roman" w:hAnsi="Times New Roman" w:cs="Times New Roman"/>
          <w:b/>
          <w:sz w:val="20"/>
        </w:rPr>
        <w:t>Research question (§2.1):</w:t>
      </w:r>
      <w:r>
        <w:rPr>
          <w:rFonts w:ascii="Times New Roman" w:hAnsi="Times New Roman" w:cs="Times New Roman"/>
          <w:sz w:val="20"/>
        </w:rPr>
        <w:t xml:space="preserve"> </w:t>
      </w:r>
      <w:r>
        <w:rPr>
          <w:rFonts w:ascii="Times New Roman" w:hAnsi="Times New Roman" w:cs="Times New Roman"/>
          <w:i/>
          <w:sz w:val="20"/>
        </w:rPr>
        <w:t>How can an AI-powered avatar-based interface improve the accessibility, personalisation, and usability of digital resource management systems for dementia care?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b/>
                <w:sz w:val="18"/>
              </w:rPr>
              <w:t>Objective (§2.3)</w:t>
            </w:r>
          </w:p>
        </w:tc>
        <w:tc>
          <w:tcPr>
            <w:tcW w:type="dxa" w:w="3120"/>
          </w:tcPr>
          <w:p>
            <w:r/>
            <w:r>
              <w:rPr>
                <w:rFonts w:ascii="Times New Roman" w:hAnsi="Times New Roman" w:cs="Times New Roman"/>
                <w:b/>
                <w:sz w:val="18"/>
              </w:rPr>
              <w:t>Evidence now</w:t>
            </w:r>
          </w:p>
        </w:tc>
        <w:tc>
          <w:tcPr>
            <w:tcW w:type="dxa" w:w="3120"/>
          </w:tcPr>
          <w:p>
            <w:r/>
            <w:r>
              <w:rPr>
                <w:rFonts w:ascii="Times New Roman" w:hAnsi="Times New Roman" w:cs="Times New Roman"/>
                <w:b/>
                <w:sz w:val="18"/>
              </w:rPr>
              <w:t>Status</w:t>
            </w:r>
          </w:p>
        </w:tc>
      </w:tr>
      <w:tr>
        <w:tc>
          <w:tcPr>
            <w:tcW w:type="dxa" w:w="3120"/>
          </w:tcPr>
          <w:p>
            <w:r/>
            <w:r>
              <w:rPr>
                <w:rFonts w:ascii="Times New Roman" w:hAnsi="Times New Roman" w:cs="Times New Roman"/>
                <w:sz w:val="18"/>
              </w:rPr>
              <w:t>O1 Literature review</w:t>
            </w:r>
          </w:p>
        </w:tc>
        <w:tc>
          <w:tcPr>
            <w:tcW w:type="dxa" w:w="3120"/>
          </w:tcPr>
          <w:p>
            <w:r/>
            <w:r>
              <w:rPr>
                <w:rFonts w:ascii="Times New Roman" w:hAnsi="Times New Roman" w:cs="Times New Roman"/>
                <w:sz w:val="18"/>
              </w:rPr>
              <w:t>Report §3</w:t>
            </w:r>
          </w:p>
        </w:tc>
        <w:tc>
          <w:tcPr>
            <w:tcW w:type="dxa" w:w="3120"/>
          </w:tcPr>
          <w:p>
            <w:r/>
            <w:r>
              <w:rPr>
                <w:rFonts w:ascii="Times New Roman" w:hAnsi="Times New Roman" w:cs="Times New Roman"/>
                <w:sz w:val="18"/>
              </w:rPr>
              <w:t>Done</w:t>
            </w:r>
          </w:p>
        </w:tc>
      </w:tr>
      <w:tr>
        <w:tc>
          <w:tcPr>
            <w:tcW w:type="dxa" w:w="3120"/>
          </w:tcPr>
          <w:p>
            <w:r/>
            <w:r>
              <w:rPr>
                <w:rFonts w:ascii="Times New Roman" w:hAnsi="Times New Roman" w:cs="Times New Roman"/>
                <w:sz w:val="18"/>
              </w:rPr>
              <w:t>O2 Identify gaps</w:t>
            </w:r>
          </w:p>
        </w:tc>
        <w:tc>
          <w:tcPr>
            <w:tcW w:type="dxa" w:w="3120"/>
          </w:tcPr>
          <w:p>
            <w:r/>
            <w:r>
              <w:rPr>
                <w:rFonts w:ascii="Times New Roman" w:hAnsi="Times New Roman" w:cs="Times New Roman"/>
                <w:sz w:val="18"/>
              </w:rPr>
              <w:t>Report §3.9</w:t>
            </w:r>
          </w:p>
        </w:tc>
        <w:tc>
          <w:tcPr>
            <w:tcW w:type="dxa" w:w="3120"/>
          </w:tcPr>
          <w:p>
            <w:r/>
            <w:r>
              <w:rPr>
                <w:rFonts w:ascii="Times New Roman" w:hAnsi="Times New Roman" w:cs="Times New Roman"/>
                <w:sz w:val="18"/>
              </w:rPr>
              <w:t>Done</w:t>
            </w:r>
          </w:p>
        </w:tc>
      </w:tr>
      <w:tr>
        <w:tc>
          <w:tcPr>
            <w:tcW w:type="dxa" w:w="3120"/>
          </w:tcPr>
          <w:p>
            <w:r/>
            <w:r>
              <w:rPr>
                <w:rFonts w:ascii="Times New Roman" w:hAnsi="Times New Roman" w:cs="Times New Roman"/>
                <w:sz w:val="18"/>
              </w:rPr>
              <w:t>O3 Design avatar-based conversational interface</w:t>
            </w:r>
          </w:p>
        </w:tc>
        <w:tc>
          <w:tcPr>
            <w:tcW w:type="dxa" w:w="3120"/>
          </w:tcPr>
          <w:p>
            <w:r/>
            <w:r>
              <w:rPr>
                <w:rFonts w:ascii="Times New Roman" w:hAnsi="Times New Roman" w:cs="Times New Roman"/>
                <w:sz w:val="18"/>
              </w:rPr>
              <w:t>Prototype implemented</w:t>
            </w:r>
          </w:p>
        </w:tc>
        <w:tc>
          <w:tcPr>
            <w:tcW w:type="dxa" w:w="3120"/>
          </w:tcPr>
          <w:p>
            <w:r/>
            <w:r>
              <w:rPr>
                <w:rFonts w:ascii="Times New Roman" w:hAnsi="Times New Roman" w:cs="Times New Roman"/>
                <w:sz w:val="18"/>
              </w:rPr>
              <w:t>Built; not user-evaluated</w:t>
            </w:r>
          </w:p>
        </w:tc>
      </w:tr>
      <w:tr>
        <w:tc>
          <w:tcPr>
            <w:tcW w:type="dxa" w:w="3120"/>
          </w:tcPr>
          <w:p>
            <w:r/>
            <w:r>
              <w:rPr>
                <w:rFonts w:ascii="Times New Roman" w:hAnsi="Times New Roman" w:cs="Times New Roman"/>
                <w:sz w:val="18"/>
              </w:rPr>
              <w:t>O4 Develop prototype (AI personalisation + resource management)</w:t>
            </w:r>
          </w:p>
        </w:tc>
        <w:tc>
          <w:tcPr>
            <w:tcW w:type="dxa" w:w="3120"/>
          </w:tcPr>
          <w:p>
            <w:r/>
            <w:r>
              <w:rPr>
                <w:rFonts w:ascii="Times New Roman" w:hAnsi="Times New Roman" w:cs="Times New Roman"/>
                <w:sz w:val="18"/>
              </w:rPr>
              <w:t>RAG chat, voice pipeline, CC4 avatar, UaaL bridge implemented</w:t>
            </w:r>
          </w:p>
        </w:tc>
        <w:tc>
          <w:tcPr>
            <w:tcW w:type="dxa" w:w="3120"/>
          </w:tcPr>
          <w:p>
            <w:r/>
            <w:r>
              <w:rPr>
                <w:rFonts w:ascii="Times New Roman" w:hAnsi="Times New Roman" w:cs="Times New Roman"/>
                <w:sz w:val="18"/>
              </w:rPr>
              <w:t>Built; only articulation sub-system evaluated</w:t>
            </w:r>
          </w:p>
        </w:tc>
      </w:tr>
      <w:tr>
        <w:tc>
          <w:tcPr>
            <w:tcW w:type="dxa" w:w="3120"/>
          </w:tcPr>
          <w:p>
            <w:r/>
            <w:r>
              <w:rPr>
                <w:rFonts w:ascii="Times New Roman" w:hAnsi="Times New Roman" w:cs="Times New Roman"/>
                <w:sz w:val="18"/>
              </w:rPr>
              <w:t>O5 Evaluate usability and effectiveness</w:t>
            </w:r>
          </w:p>
        </w:tc>
        <w:tc>
          <w:tcPr>
            <w:tcW w:type="dxa" w:w="3120"/>
          </w:tcPr>
          <w:p>
            <w:r/>
            <w:r>
              <w:rPr>
                <w:rFonts w:ascii="Times New Roman" w:hAnsi="Times New Roman" w:cs="Times New Roman"/>
                <w:sz w:val="18"/>
              </w:rPr>
              <w:t>No human study yet</w:t>
            </w:r>
          </w:p>
        </w:tc>
        <w:tc>
          <w:tcPr>
            <w:tcW w:type="dxa" w:w="3120"/>
          </w:tcPr>
          <w:p>
            <w:r/>
            <w:r>
              <w:rPr>
                <w:rFonts w:ascii="Times New Roman" w:hAnsi="Times New Roman" w:cs="Times New Roman"/>
                <w:b/>
                <w:sz w:val="18"/>
              </w:rPr>
              <w:t>Outstanding (700B)</w:t>
            </w:r>
          </w:p>
        </w:tc>
      </w:tr>
    </w:tbl>
    <w:p>
      <w:pPr>
        <w:spacing w:after="40"/>
      </w:pPr>
    </w:p>
    <w:p>
      <w:pPr>
        <w:jc w:val="both"/>
      </w:pPr>
      <w:r>
        <w:rPr>
          <w:rFonts w:ascii="Times New Roman" w:hAnsi="Times New Roman" w:cs="Times New Roman"/>
          <w:b/>
          <w:sz w:val="20"/>
        </w:rPr>
        <w:t>Evidence map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cs="Times New Roman"/>
                <w:b/>
                <w:sz w:val="18"/>
              </w:rPr>
              <w:t>Sub-question / aim</w:t>
            </w:r>
          </w:p>
        </w:tc>
        <w:tc>
          <w:tcPr>
            <w:tcW w:type="dxa" w:w="1872"/>
          </w:tcPr>
          <w:p>
            <w:r/>
            <w:r>
              <w:rPr>
                <w:rFonts w:ascii="Times New Roman" w:hAnsi="Times New Roman" w:cs="Times New Roman"/>
                <w:b/>
                <w:sz w:val="18"/>
              </w:rPr>
              <w:t>Evidence</w:t>
            </w:r>
          </w:p>
        </w:tc>
        <w:tc>
          <w:tcPr>
            <w:tcW w:type="dxa" w:w="1872"/>
          </w:tcPr>
          <w:p>
            <w:r/>
            <w:r>
              <w:rPr>
                <w:rFonts w:ascii="Times New Roman" w:hAnsi="Times New Roman" w:cs="Times New Roman"/>
                <w:b/>
                <w:sz w:val="18"/>
              </w:rPr>
              <w:t>Main finding</w:t>
            </w:r>
          </w:p>
        </w:tc>
        <w:tc>
          <w:tcPr>
            <w:tcW w:type="dxa" w:w="1872"/>
          </w:tcPr>
          <w:p>
            <w:r/>
            <w:r>
              <w:rPr>
                <w:rFonts w:ascii="Times New Roman" w:hAnsi="Times New Roman" w:cs="Times New Roman"/>
                <w:b/>
                <w:sz w:val="18"/>
              </w:rPr>
              <w:t>Fig/Table</w:t>
            </w:r>
          </w:p>
        </w:tc>
        <w:tc>
          <w:tcPr>
            <w:tcW w:type="dxa" w:w="1872"/>
          </w:tcPr>
          <w:p>
            <w:r/>
            <w:r>
              <w:rPr>
                <w:rFonts w:ascii="Times New Roman" w:hAnsi="Times New Roman" w:cs="Times New Roman"/>
                <w:b/>
                <w:sz w:val="18"/>
              </w:rPr>
              <w:t>Confidence / limitation</w:t>
            </w:r>
          </w:p>
        </w:tc>
      </w:tr>
      <w:tr>
        <w:tc>
          <w:tcPr>
            <w:tcW w:type="dxa" w:w="1872"/>
          </w:tcPr>
          <w:p>
            <w:r/>
            <w:r>
              <w:rPr>
                <w:rFonts w:ascii="Times New Roman" w:hAnsi="Times New Roman" w:cs="Times New Roman"/>
                <w:sz w:val="18"/>
              </w:rPr>
              <w:t>SQ3 avatar role (articulation-fidelity precondition)</w:t>
            </w:r>
          </w:p>
        </w:tc>
        <w:tc>
          <w:tcPr>
            <w:tcW w:type="dxa" w:w="1872"/>
          </w:tcPr>
          <w:p>
            <w:r/>
            <w:r>
              <w:rPr>
                <w:rFonts w:ascii="Times New Roman" w:hAnsi="Times New Roman" w:cs="Times New Roman"/>
                <w:sz w:val="18"/>
              </w:rPr>
              <w:t>Automated lip-sync loop; baseline vs final; 8 fixtures, 95 checks</w:t>
            </w:r>
          </w:p>
        </w:tc>
        <w:tc>
          <w:tcPr>
            <w:tcW w:type="dxa" w:w="1872"/>
          </w:tcPr>
          <w:p>
            <w:r/>
            <w:r>
              <w:rPr>
                <w:rFonts w:ascii="Times New Roman" w:hAnsi="Times New Roman" w:cs="Times New Roman"/>
                <w:sz w:val="18"/>
              </w:rPr>
              <w:t>Checks 37/85 → 85/85 (hand-authored); 95/95 with G2P</w:t>
            </w:r>
          </w:p>
        </w:tc>
        <w:tc>
          <w:tcPr>
            <w:tcW w:type="dxa" w:w="1872"/>
          </w:tcPr>
          <w:p>
            <w:r/>
            <w:r>
              <w:rPr>
                <w:rFonts w:ascii="Times New Roman" w:hAnsi="Times New Roman" w:cs="Times New Roman"/>
                <w:sz w:val="18"/>
              </w:rPr>
              <w:t>T1, T2, F1, F2</w:t>
            </w:r>
          </w:p>
        </w:tc>
        <w:tc>
          <w:tcPr>
            <w:tcW w:type="dxa" w:w="1872"/>
          </w:tcPr>
          <w:p>
            <w:r/>
            <w:r>
              <w:rPr>
                <w:rFonts w:ascii="Times New Roman" w:hAnsi="Times New Roman" w:cs="Times New Roman"/>
                <w:sz w:val="18"/>
              </w:rPr>
              <w:t>High for editor; deterministic, no human raters</w:t>
            </w:r>
          </w:p>
        </w:tc>
      </w:tr>
      <w:tr>
        <w:tc>
          <w:tcPr>
            <w:tcW w:type="dxa" w:w="1872"/>
          </w:tcPr>
          <w:p>
            <w:r/>
            <w:r>
              <w:rPr>
                <w:rFonts w:ascii="Times New Roman" w:hAnsi="Times New Roman" w:cs="Times New Roman"/>
                <w:sz w:val="18"/>
              </w:rPr>
              <w:t>bilabial closure</w:t>
            </w:r>
          </w:p>
        </w:tc>
        <w:tc>
          <w:tcPr>
            <w:tcW w:type="dxa" w:w="1872"/>
          </w:tcPr>
          <w:p>
            <w:r/>
            <w:r>
              <w:rPr>
                <w:rFonts w:ascii="Times New Roman" w:hAnsi="Times New Roman" w:cs="Times New Roman"/>
                <w:sz w:val="18"/>
              </w:rPr>
              <w:t>V_Explosive + open-shape suppression</w:t>
            </w:r>
          </w:p>
        </w:tc>
        <w:tc>
          <w:tcPr>
            <w:tcW w:type="dxa" w:w="1872"/>
          </w:tcPr>
          <w:p>
            <w:r/>
            <w:r>
              <w:rPr>
                <w:rFonts w:ascii="Times New Roman" w:hAnsi="Times New Roman" w:cs="Times New Roman"/>
                <w:sz w:val="18"/>
              </w:rPr>
              <w:t>2/7 → 7/7; final 0.93–0.95; leakage ≤ 0.08</w:t>
            </w:r>
          </w:p>
        </w:tc>
        <w:tc>
          <w:tcPr>
            <w:tcW w:type="dxa" w:w="1872"/>
          </w:tcPr>
          <w:p>
            <w:r/>
            <w:r>
              <w:rPr>
                <w:rFonts w:ascii="Times New Roman" w:hAnsi="Times New Roman" w:cs="Times New Roman"/>
                <w:sz w:val="18"/>
              </w:rPr>
              <w:t>T2, F2</w:t>
            </w:r>
          </w:p>
        </w:tc>
        <w:tc>
          <w:tcPr>
            <w:tcW w:type="dxa" w:w="1872"/>
          </w:tcPr>
          <w:p>
            <w:r/>
            <w:r>
              <w:rPr>
                <w:rFonts w:ascii="Times New Roman" w:hAnsi="Times New Roman" w:cs="Times New Roman"/>
                <w:sz w:val="18"/>
              </w:rPr>
              <w:t>Editor only</w:t>
            </w:r>
          </w:p>
        </w:tc>
      </w:tr>
      <w:tr>
        <w:tc>
          <w:tcPr>
            <w:tcW w:type="dxa" w:w="1872"/>
          </w:tcPr>
          <w:p>
            <w:r/>
            <w:r>
              <w:rPr>
                <w:rFonts w:ascii="Times New Roman" w:hAnsi="Times New Roman" w:cs="Times New Roman"/>
                <w:sz w:val="18"/>
              </w:rPr>
              <w:t>labiodental contact</w:t>
            </w:r>
          </w:p>
        </w:tc>
        <w:tc>
          <w:tcPr>
            <w:tcW w:type="dxa" w:w="1872"/>
          </w:tcPr>
          <w:p>
            <w:r/>
            <w:r>
              <w:rPr>
                <w:rFonts w:ascii="Times New Roman" w:hAnsi="Times New Roman" w:cs="Times New Roman"/>
                <w:sz w:val="18"/>
              </w:rPr>
              <w:t>V_Dental_Lip</w:t>
            </w:r>
          </w:p>
        </w:tc>
        <w:tc>
          <w:tcPr>
            <w:tcW w:type="dxa" w:w="1872"/>
          </w:tcPr>
          <w:p>
            <w:r/>
            <w:r>
              <w:rPr>
                <w:rFonts w:ascii="Times New Roman" w:hAnsi="Times New Roman" w:cs="Times New Roman"/>
                <w:sz w:val="18"/>
              </w:rPr>
              <w:t>4/7 → 7/7; final ≥ 0.94</w:t>
            </w:r>
          </w:p>
        </w:tc>
        <w:tc>
          <w:tcPr>
            <w:tcW w:type="dxa" w:w="1872"/>
          </w:tcPr>
          <w:p>
            <w:r/>
            <w:r>
              <w:rPr>
                <w:rFonts w:ascii="Times New Roman" w:hAnsi="Times New Roman" w:cs="Times New Roman"/>
                <w:sz w:val="18"/>
              </w:rPr>
              <w:t>T2</w:t>
            </w:r>
          </w:p>
        </w:tc>
        <w:tc>
          <w:tcPr>
            <w:tcW w:type="dxa" w:w="1872"/>
          </w:tcPr>
          <w:p>
            <w:r/>
            <w:r>
              <w:rPr>
                <w:rFonts w:ascii="Times New Roman" w:hAnsi="Times New Roman" w:cs="Times New Roman"/>
                <w:sz w:val="18"/>
              </w:rPr>
              <w:t>Editor only</w:t>
            </w:r>
          </w:p>
        </w:tc>
      </w:tr>
      <w:tr>
        <w:tc>
          <w:tcPr>
            <w:tcW w:type="dxa" w:w="1872"/>
          </w:tcPr>
          <w:p>
            <w:r/>
            <w:r>
              <w:rPr>
                <w:rFonts w:ascii="Times New Roman" w:hAnsi="Times New Roman" w:cs="Times New Roman"/>
                <w:sz w:val="18"/>
              </w:rPr>
              <w:t>tongue activation</w:t>
            </w:r>
          </w:p>
        </w:tc>
        <w:tc>
          <w:tcPr>
            <w:tcW w:type="dxa" w:w="1872"/>
          </w:tcPr>
          <w:p>
            <w:r/>
            <w:r>
              <w:rPr>
                <w:rFonts w:ascii="Times New Roman" w:hAnsi="Times New Roman" w:cs="Times New Roman"/>
                <w:sz w:val="18"/>
              </w:rPr>
              <w:t>V_Tongue_*</w:t>
            </w:r>
          </w:p>
        </w:tc>
        <w:tc>
          <w:tcPr>
            <w:tcW w:type="dxa" w:w="1872"/>
          </w:tcPr>
          <w:p>
            <w:r/>
            <w:r>
              <w:rPr>
                <w:rFonts w:ascii="Times New Roman" w:hAnsi="Times New Roman" w:cs="Times New Roman"/>
                <w:sz w:val="18"/>
              </w:rPr>
              <w:t>all 27 baseline 0.00 → 0.40–0.72</w:t>
            </w:r>
          </w:p>
        </w:tc>
        <w:tc>
          <w:tcPr>
            <w:tcW w:type="dxa" w:w="1872"/>
          </w:tcPr>
          <w:p>
            <w:r/>
            <w:r>
              <w:rPr>
                <w:rFonts w:ascii="Times New Roman" w:hAnsi="Times New Roman" w:cs="Times New Roman"/>
                <w:sz w:val="18"/>
              </w:rPr>
              <w:t>T2</w:t>
            </w:r>
          </w:p>
        </w:tc>
        <w:tc>
          <w:tcPr>
            <w:tcW w:type="dxa" w:w="1872"/>
          </w:tcPr>
          <w:p>
            <w:r/>
            <w:r>
              <w:rPr>
                <w:rFonts w:ascii="Times New Roman" w:hAnsi="Times New Roman" w:cs="Times New Roman"/>
                <w:sz w:val="18"/>
              </w:rPr>
              <w:t>Editor only</w:t>
            </w:r>
          </w:p>
        </w:tc>
      </w:tr>
      <w:tr>
        <w:tc>
          <w:tcPr>
            <w:tcW w:type="dxa" w:w="1872"/>
          </w:tcPr>
          <w:p>
            <w:r/>
            <w:r>
              <w:rPr>
                <w:rFonts w:ascii="Times New Roman" w:hAnsi="Times New Roman" w:cs="Times New Roman"/>
                <w:sz w:val="18"/>
              </w:rPr>
              <w:t>silence / segment-end</w:t>
            </w:r>
          </w:p>
        </w:tc>
        <w:tc>
          <w:tcPr>
            <w:tcW w:type="dxa" w:w="1872"/>
          </w:tcPr>
          <w:p>
            <w:r/>
            <w:r>
              <w:rPr>
                <w:rFonts w:ascii="Times New Roman" w:hAnsi="Times New Roman" w:cs="Times New Roman"/>
                <w:sz w:val="18"/>
              </w:rPr>
              <w:t>leakage + decay</w:t>
            </w:r>
          </w:p>
        </w:tc>
        <w:tc>
          <w:tcPr>
            <w:tcW w:type="dxa" w:w="1872"/>
          </w:tcPr>
          <w:p>
            <w:r/>
            <w:r>
              <w:rPr>
                <w:rFonts w:ascii="Times New Roman" w:hAnsi="Times New Roman" w:cs="Times New Roman"/>
                <w:sz w:val="18"/>
              </w:rPr>
              <w:t>leakage ≤ 0.54 → ≤ 0.10; decay 313–324 ms → 30–95 ms</w:t>
            </w:r>
          </w:p>
        </w:tc>
        <w:tc>
          <w:tcPr>
            <w:tcW w:type="dxa" w:w="1872"/>
          </w:tcPr>
          <w:p>
            <w:r/>
            <w:r>
              <w:rPr>
                <w:rFonts w:ascii="Times New Roman" w:hAnsi="Times New Roman" w:cs="Times New Roman"/>
                <w:sz w:val="18"/>
              </w:rPr>
              <w:t>T2</w:t>
            </w:r>
          </w:p>
        </w:tc>
        <w:tc>
          <w:tcPr>
            <w:tcW w:type="dxa" w:w="1872"/>
          </w:tcPr>
          <w:p>
            <w:r/>
            <w:r>
              <w:rPr>
                <w:rFonts w:ascii="Times New Roman" w:hAnsi="Times New Roman" w:cs="Times New Roman"/>
                <w:sz w:val="18"/>
              </w:rPr>
              <w:t>Editor only</w:t>
            </w:r>
          </w:p>
        </w:tc>
      </w:tr>
      <w:tr>
        <w:tc>
          <w:tcPr>
            <w:tcW w:type="dxa" w:w="1872"/>
          </w:tcPr>
          <w:p>
            <w:r/>
            <w:r>
              <w:rPr>
                <w:rFonts w:ascii="Times New Roman" w:hAnsi="Times New Roman" w:cs="Times New Roman"/>
                <w:sz w:val="18"/>
              </w:rPr>
              <w:t>real G2P vs heuristics</w:t>
            </w:r>
          </w:p>
        </w:tc>
        <w:tc>
          <w:tcPr>
            <w:tcW w:type="dxa" w:w="1872"/>
          </w:tcPr>
          <w:p>
            <w:r/>
            <w:r>
              <w:rPr>
                <w:rFonts w:ascii="Times New Roman" w:hAnsi="Times New Roman" w:cs="Times New Roman"/>
                <w:sz w:val="18"/>
              </w:rPr>
              <w:t>g2p fixture 10/10</w:t>
            </w:r>
          </w:p>
        </w:tc>
        <w:tc>
          <w:tcPr>
            <w:tcW w:type="dxa" w:w="1872"/>
          </w:tcPr>
          <w:p>
            <w:r/>
            <w:r>
              <w:rPr>
                <w:rFonts w:ascii="Times New Roman" w:hAnsi="Times New Roman" w:cs="Times New Roman"/>
                <w:sz w:val="18"/>
              </w:rPr>
              <w:t>passes; no baseline, not isolated</w:t>
            </w:r>
          </w:p>
        </w:tc>
        <w:tc>
          <w:tcPr>
            <w:tcW w:type="dxa" w:w="1872"/>
          </w:tcPr>
          <w:p>
            <w:r/>
            <w:r>
              <w:rPr>
                <w:rFonts w:ascii="Times New Roman" w:hAnsi="Times New Roman" w:cs="Times New Roman"/>
                <w:sz w:val="18"/>
              </w:rPr>
              <w:t>T1</w:t>
            </w:r>
          </w:p>
        </w:tc>
        <w:tc>
          <w:tcPr>
            <w:tcW w:type="dxa" w:w="1872"/>
          </w:tcPr>
          <w:p>
            <w:r/>
            <w:r>
              <w:rPr>
                <w:rFonts w:ascii="Times New Roman" w:hAnsi="Times New Roman" w:cs="Times New Roman"/>
                <w:sz w:val="18"/>
              </w:rPr>
              <w:t>Partial</w:t>
            </w:r>
          </w:p>
        </w:tc>
      </w:tr>
      <w:tr>
        <w:tc>
          <w:tcPr>
            <w:tcW w:type="dxa" w:w="1872"/>
          </w:tcPr>
          <w:p>
            <w:r/>
            <w:r>
              <w:rPr>
                <w:rFonts w:ascii="Times New Roman" w:hAnsi="Times New Roman" w:cs="Times New Roman"/>
                <w:sz w:val="18"/>
              </w:rPr>
              <w:t>motion smoothness</w:t>
            </w:r>
          </w:p>
        </w:tc>
        <w:tc>
          <w:tcPr>
            <w:tcW w:type="dxa" w:w="1872"/>
          </w:tcPr>
          <w:p>
            <w:r/>
            <w:r>
              <w:rPr>
                <w:rFonts w:ascii="Times New Roman" w:hAnsi="Times New Roman" w:cs="Times New Roman"/>
                <w:sz w:val="18"/>
              </w:rPr>
              <w:t>jitter RMS</w:t>
            </w:r>
          </w:p>
        </w:tc>
        <w:tc>
          <w:tcPr>
            <w:tcW w:type="dxa" w:w="1872"/>
          </w:tcPr>
          <w:p>
            <w:r/>
            <w:r>
              <w:rPr>
                <w:rFonts w:ascii="Times New Roman" w:hAnsi="Times New Roman" w:cs="Times New Roman"/>
                <w:b/>
                <w:sz w:val="18"/>
              </w:rPr>
              <w:t>increased on every fixture</w:t>
            </w:r>
          </w:p>
        </w:tc>
        <w:tc>
          <w:tcPr>
            <w:tcW w:type="dxa" w:w="1872"/>
          </w:tcPr>
          <w:p>
            <w:r/>
            <w:r>
              <w:rPr>
                <w:rFonts w:ascii="Times New Roman" w:hAnsi="Times New Roman" w:cs="Times New Roman"/>
                <w:sz w:val="18"/>
              </w:rPr>
              <w:t>T2</w:t>
            </w:r>
          </w:p>
        </w:tc>
        <w:tc>
          <w:tcPr>
            <w:tcW w:type="dxa" w:w="1872"/>
          </w:tcPr>
          <w:p>
            <w:r/>
            <w:r>
              <w:rPr>
                <w:rFonts w:ascii="Times New Roman" w:hAnsi="Times New Roman" w:cs="Times New Roman"/>
                <w:sz w:val="18"/>
              </w:rPr>
              <w:t>Negative finding</w:t>
            </w:r>
          </w:p>
        </w:tc>
      </w:tr>
      <w:tr>
        <w:tc>
          <w:tcPr>
            <w:tcW w:type="dxa" w:w="1872"/>
          </w:tcPr>
          <w:p>
            <w:r/>
            <w:r>
              <w:rPr>
                <w:rFonts w:ascii="Times New Roman" w:hAnsi="Times New Roman" w:cs="Times New Roman"/>
                <w:sz w:val="18"/>
              </w:rPr>
              <w:t>SQ1/2/4/5 usability, personalisation, decision support, literacy</w:t>
            </w:r>
          </w:p>
        </w:tc>
        <w:tc>
          <w:tcPr>
            <w:tcW w:type="dxa" w:w="1872"/>
          </w:tcPr>
          <w:p>
            <w:r/>
            <w:r>
              <w:rPr>
                <w:rFonts w:ascii="Times New Roman" w:hAnsi="Times New Roman" w:cs="Times New Roman"/>
                <w:sz w:val="18"/>
              </w:rPr>
              <w:t>None</w:t>
            </w:r>
          </w:p>
        </w:tc>
        <w:tc>
          <w:tcPr>
            <w:tcW w:type="dxa" w:w="1872"/>
          </w:tcPr>
          <w:p>
            <w:r/>
            <w:r>
              <w:rPr>
                <w:rFonts w:ascii="Times New Roman" w:hAnsi="Times New Roman" w:cs="Times New Roman"/>
                <w:sz w:val="18"/>
              </w:rPr>
              <w:t>—</w:t>
            </w:r>
          </w:p>
        </w:tc>
        <w:tc>
          <w:tcPr>
            <w:tcW w:type="dxa" w:w="1872"/>
          </w:tcPr>
          <w:p>
            <w:r/>
            <w:r>
              <w:rPr>
                <w:rFonts w:ascii="Times New Roman" w:hAnsi="Times New Roman" w:cs="Times New Roman"/>
                <w:sz w:val="18"/>
              </w:rPr>
              <w:t>—</w:t>
            </w:r>
          </w:p>
        </w:tc>
        <w:tc>
          <w:tcPr>
            <w:tcW w:type="dxa" w:w="1872"/>
          </w:tcPr>
          <w:p>
            <w:r/>
            <w:r>
              <w:rPr>
                <w:rFonts w:ascii="Times New Roman" w:hAnsi="Times New Roman" w:cs="Times New Roman"/>
                <w:b/>
                <w:sz w:val="18"/>
              </w:rPr>
              <w:t>Outstanding (700B)</w:t>
            </w:r>
          </w:p>
        </w:tc>
      </w:tr>
      <w:tr>
        <w:tc>
          <w:tcPr>
            <w:tcW w:type="dxa" w:w="1872"/>
          </w:tcPr>
          <w:p>
            <w:r/>
            <w:r>
              <w:rPr>
                <w:rFonts w:ascii="Times New Roman" w:hAnsi="Times New Roman" w:cs="Times New Roman"/>
                <w:sz w:val="18"/>
              </w:rPr>
              <w:t>SQ3/trust — RAG grounding reliability</w:t>
            </w:r>
          </w:p>
        </w:tc>
        <w:tc>
          <w:tcPr>
            <w:tcW w:type="dxa" w:w="1872"/>
          </w:tcPr>
          <w:p>
            <w:r/>
            <w:r>
              <w:rPr>
                <w:rFonts w:ascii="Times New Roman" w:hAnsi="Times New Roman" w:cs="Times New Roman"/>
                <w:sz w:val="18"/>
              </w:rPr>
              <w:t>Live eval, 42 questions (§6.9)</w:t>
            </w:r>
          </w:p>
        </w:tc>
        <w:tc>
          <w:tcPr>
            <w:tcW w:type="dxa" w:w="1872"/>
          </w:tcPr>
          <w:p>
            <w:r/>
            <w:r>
              <w:rPr>
                <w:rFonts w:ascii="Times New Roman" w:hAnsi="Times New Roman" w:cs="Times New Roman"/>
                <w:sz w:val="18"/>
              </w:rPr>
              <w:t>retrieval 29/32 → 31/32 after source-family cap; 4/4 boundary + 6/6 out-of-scope declined safely; all 32 in-scope answers LLM-judged fully grounded</w:t>
            </w:r>
          </w:p>
        </w:tc>
        <w:tc>
          <w:tcPr>
            <w:tcW w:type="dxa" w:w="1872"/>
          </w:tcPr>
          <w:p>
            <w:r/>
            <w:r>
              <w:rPr>
                <w:rFonts w:ascii="Times New Roman" w:hAnsi="Times New Roman" w:cs="Times New Roman"/>
                <w:sz w:val="18"/>
              </w:rPr>
              <w:t>Table 4</w:t>
            </w:r>
          </w:p>
        </w:tc>
        <w:tc>
          <w:tcPr>
            <w:tcW w:type="dxa" w:w="1872"/>
          </w:tcPr>
          <w:p>
            <w:r/>
            <w:r>
              <w:rPr>
                <w:rFonts w:ascii="Times New Roman" w:hAnsi="Times New Roman" w:cs="Times New Roman"/>
                <w:sz w:val="18"/>
              </w:rPr>
              <w:t>LLM-judge leniency (human check advisable); deployed retrieval, no user judgement</w:t>
            </w:r>
          </w:p>
        </w:tc>
      </w:tr>
      <w:tr>
        <w:tc>
          <w:tcPr>
            <w:tcW w:type="dxa" w:w="1872"/>
          </w:tcPr>
          <w:p>
            <w:r/>
            <w:r>
              <w:rPr>
                <w:rFonts w:ascii="Times New Roman" w:hAnsi="Times New Roman" w:cs="Times New Roman"/>
                <w:sz w:val="18"/>
              </w:rPr>
              <w:t>Voice latency</w:t>
            </w:r>
          </w:p>
        </w:tc>
        <w:tc>
          <w:tcPr>
            <w:tcW w:type="dxa" w:w="1872"/>
          </w:tcPr>
          <w:p>
            <w:r/>
            <w:r>
              <w:rPr>
                <w:rFonts w:ascii="Times New Roman" w:hAnsi="Times New Roman" w:cs="Times New Roman"/>
                <w:sz w:val="18"/>
              </w:rPr>
              <w:t>Instrumented (6 stages); protocol + template defined (§4.2, Table 3); no dataset</w:t>
            </w:r>
          </w:p>
        </w:tc>
        <w:tc>
          <w:tcPr>
            <w:tcW w:type="dxa" w:w="1872"/>
          </w:tcPr>
          <w:p>
            <w:r/>
            <w:r>
              <w:rPr>
                <w:rFonts w:ascii="Times New Roman" w:hAnsi="Times New Roman" w:cs="Times New Roman"/>
                <w:sz w:val="18"/>
              </w:rPr>
              <w:t>—</w:t>
            </w:r>
          </w:p>
        </w:tc>
        <w:tc>
          <w:tcPr>
            <w:tcW w:type="dxa" w:w="1872"/>
          </w:tcPr>
          <w:p>
            <w:r/>
            <w:r>
              <w:rPr>
                <w:rFonts w:ascii="Times New Roman" w:hAnsi="Times New Roman" w:cs="Times New Roman"/>
                <w:sz w:val="18"/>
              </w:rPr>
              <w:t>—</w:t>
            </w:r>
          </w:p>
        </w:tc>
        <w:tc>
          <w:tcPr>
            <w:tcW w:type="dxa" w:w="1872"/>
          </w:tcPr>
          <w:p>
            <w:r/>
            <w:r>
              <w:rPr>
                <w:rFonts w:ascii="Times New Roman" w:hAnsi="Times New Roman" w:cs="Times New Roman"/>
                <w:sz w:val="18"/>
              </w:rPr>
              <w:t>Not measured — ready to run</w:t>
            </w:r>
          </w:p>
        </w:tc>
      </w:tr>
    </w:tbl>
    <w:p>
      <w:pPr>
        <w:spacing w:after="40"/>
      </w:pPr>
    </w:p>
    <w:p>
      <w:pPr>
        <w:jc w:val="both"/>
      </w:pPr>
      <w:r>
        <w:rPr>
          <w:rFonts w:ascii="Times New Roman" w:hAnsi="Times New Roman" w:cs="Times New Roman"/>
          <w:b/>
          <w:sz w:val="20"/>
        </w:rPr>
        <w:t>Still required:</w:t>
      </w:r>
      <w:r>
        <w:rPr>
          <w:rFonts w:ascii="Times New Roman" w:hAnsi="Times New Roman" w:cs="Times New Roman"/>
          <w:sz w:val="20"/>
        </w:rPr>
        <w:t xml:space="preserve"> (1) human usability study [central]; (2) latency dataset; (3) RAG grounding evaluation; (4) on-device confirmation; (5) the Cohen–Massaro citation above.</w:t>
      </w:r>
    </w:p>
    <w:p>
      <w:pPr>
        <w:spacing w:before="200" w:after="80"/>
      </w:pPr>
      <w:r>
        <w:rPr>
          <w:rFonts w:ascii="Times New Roman" w:hAnsi="Times New Roman" w:cs="Times New Roman"/>
          <w:b/>
          <w:sz w:val="24"/>
        </w:rPr>
        <w:t>B. Confirmed report structure</w:t>
      </w:r>
    </w:p>
    <w:p>
      <w:pPr>
        <w:jc w:val="both"/>
      </w:pPr>
      <w:r>
        <w:rPr>
          <w:rFonts w:ascii="Consolas" w:hAnsi="Consolas" w:cs="Consolas"/>
          <w:sz w:val="19"/>
        </w:rPr>
        <w:t>Introduction → Background and Literature Review → Research Objectives → Methodology → Implementation Progress → Results → Discussion → Limitations and Future Work → Conclusion.</w:t>
      </w:r>
    </w:p>
    <w:p>
      <w:pPr>
        <w:jc w:val="both"/>
      </w:pPr>
      <w:r>
        <w:rPr>
          <w:rFonts w:ascii="Times New Roman" w:hAnsi="Times New Roman" w:cs="Times New Roman"/>
          <w:sz w:val="20"/>
        </w:rPr>
        <w:t xml:space="preserve">This document drafts the sections in </w:t>
      </w:r>
      <w:r>
        <w:rPr>
          <w:rFonts w:ascii="Times New Roman" w:hAnsi="Times New Roman" w:cs="Times New Roman"/>
          <w:b/>
          <w:sz w:val="20"/>
        </w:rPr>
        <w:t>bold</w:t>
      </w:r>
      <w:r>
        <w:rPr>
          <w:rFonts w:ascii="Times New Roman" w:hAnsi="Times New Roman" w:cs="Times New Roman"/>
          <w:sz w:val="20"/>
        </w:rPr>
        <w:t xml:space="preserve"> below (Methodology is scoped to the evaluation of the component that has results):</w:t>
      </w:r>
    </w:p>
    <w:p>
      <w:pPr>
        <w:pStyle w:val="ListBullet"/>
      </w:pPr>
      <w:r>
        <w:rPr>
          <w:rFonts w:ascii="Times New Roman" w:hAnsi="Times New Roman" w:cs="Times New Roman"/>
          <w:b/>
          <w:sz w:val="20"/>
        </w:rPr>
        <w:t>4. Methodology (evaluation of the avatar articulation component)</w:t>
      </w:r>
    </w:p>
    <w:p>
      <w:pPr>
        <w:pStyle w:val="ListBullet"/>
      </w:pPr>
      <w:r>
        <w:rPr>
          <w:rFonts w:ascii="Times New Roman" w:hAnsi="Times New Roman" w:cs="Times New Roman"/>
          <w:b/>
          <w:sz w:val="20"/>
        </w:rPr>
        <w:t>5. Implementation Progress</w:t>
      </w:r>
    </w:p>
    <w:p>
      <w:pPr>
        <w:pStyle w:val="ListBullet"/>
      </w:pPr>
      <w:r>
        <w:rPr>
          <w:rFonts w:ascii="Times New Roman" w:hAnsi="Times New Roman" w:cs="Times New Roman"/>
          <w:b/>
          <w:sz w:val="20"/>
        </w:rPr>
        <w:t>6. Results</w:t>
      </w:r>
      <w:r>
        <w:rPr>
          <w:rFonts w:ascii="Times New Roman" w:hAnsi="Times New Roman" w:cs="Times New Roman"/>
          <w:sz w:val="20"/>
        </w:rPr>
        <w:t xml:space="preserve"> — 6.1 setup · 6.2 overall pass rate (T1, F1) · 6.3 bilabial (T2, F2) · 6.4 labiodental · 6.5 tongue · 6.6 silence/end · 6.7 G2P · 6.8 smoothness</w:t>
      </w:r>
    </w:p>
    <w:p>
      <w:pPr>
        <w:pStyle w:val="ListBullet"/>
      </w:pPr>
      <w:r>
        <w:rPr>
          <w:rFonts w:ascii="Times New Roman" w:hAnsi="Times New Roman" w:cs="Times New Roman"/>
          <w:b/>
          <w:sz w:val="20"/>
        </w:rPr>
        <w:t>7. Discussion</w:t>
      </w:r>
    </w:p>
    <w:p>
      <w:pPr>
        <w:pStyle w:val="ListBullet"/>
      </w:pPr>
      <w:r>
        <w:rPr>
          <w:rFonts w:ascii="Times New Roman" w:hAnsi="Times New Roman" w:cs="Times New Roman"/>
          <w:b/>
          <w:sz w:val="20"/>
        </w:rPr>
        <w:t>8. Limitations and Future Work</w:t>
      </w:r>
    </w:p>
    <w:p>
      <w:pPr>
        <w:pStyle w:val="ListBullet"/>
      </w:pPr>
      <w:r>
        <w:rPr>
          <w:rFonts w:ascii="Times New Roman" w:hAnsi="Times New Roman" w:cs="Times New Roman"/>
          <w:b/>
          <w:sz w:val="20"/>
        </w:rPr>
        <w:t>9. Conclusion</w:t>
      </w:r>
    </w:p>
    <w:p>
      <w:pPr>
        <w:spacing w:before="200" w:after="80"/>
      </w:pPr>
      <w:r>
        <w:rPr>
          <w:rFonts w:ascii="Times New Roman" w:hAnsi="Times New Roman" w:cs="Times New Roman"/>
          <w:b/>
          <w:sz w:val="24"/>
        </w:rPr>
        <w:t>C. Draft sections</w:t>
      </w:r>
    </w:p>
    <w:p>
      <w:pPr>
        <w:spacing w:before="200" w:after="80"/>
      </w:pPr>
      <w:r>
        <w:rPr>
          <w:rFonts w:ascii="Times New Roman" w:hAnsi="Times New Roman" w:cs="Times New Roman"/>
          <w:b/>
          <w:sz w:val="22"/>
        </w:rPr>
        <w:t>4. Methodology</w:t>
      </w:r>
    </w:p>
    <w:p>
      <w:pPr>
        <w:jc w:val="both"/>
      </w:pPr>
      <w:r>
        <w:rPr>
          <w:rFonts w:ascii="Times New Roman" w:hAnsi="Times New Roman" w:cs="Times New Roman"/>
          <w:i/>
          <w:sz w:val="20"/>
        </w:rPr>
        <w:t>The project methodology spans interface design, prototype implementation, and evaluation. Section 4.1 describes the evaluation method for the component that has produced results at the mid-point — the avatar lip-synchronisation pipeline. Sections 4.2 and 4.3 define the evaluation protocols for the streaming voice latency and the retrieval-augmented (RAG) grounding, which are implemented and ready to run but have not yet been executed; no data has been collected for them and none is reported below.</w:t>
      </w:r>
    </w:p>
    <w:p>
      <w:pPr>
        <w:spacing w:before="200" w:after="80"/>
      </w:pPr>
      <w:r>
        <w:rPr>
          <w:rFonts w:ascii="Times New Roman" w:hAnsi="Times New Roman" w:cs="Times New Roman"/>
          <w:b/>
          <w:sz w:val="22"/>
        </w:rPr>
        <w:t>4.1 Avatar articulation evaluation</w:t>
      </w:r>
    </w:p>
    <w:p>
      <w:pPr>
        <w:jc w:val="both"/>
      </w:pPr>
      <w:r>
        <w:rPr>
          <w:rFonts w:ascii="Times New Roman" w:hAnsi="Times New Roman" w:cs="Times New Roman"/>
          <w:sz w:val="20"/>
        </w:rPr>
        <w:t>The avatar's speech articulation was evaluated with an automated test loop inside the Unity Editor. An automated, metric-based approach was chosen over informal visual inspection so that each design iteration could be scored the same way, objectively and reproducibly, and so that the evaluation could serve as a standing regression test as the wider system develops. The loop plays a fixture through the same message entry point the production application uses, records the avatar's blendshape weights each frame, and scores the recording against fixed acceptance criteria.</w:t>
      </w:r>
    </w:p>
    <w:p>
      <w:pPr>
        <w:jc w:val="both"/>
      </w:pPr>
      <w:r>
        <w:rPr>
          <w:rFonts w:ascii="Times New Roman" w:hAnsi="Times New Roman" w:cs="Times New Roman"/>
          <w:b/>
          <w:sz w:val="20"/>
        </w:rPr>
        <w:t>Fixtures.</w:t>
      </w:r>
      <w:r>
        <w:rPr>
          <w:rFonts w:ascii="Times New Roman" w:hAnsi="Times New Roman" w:cs="Times New Roman"/>
          <w:sz w:val="20"/>
        </w:rPr>
        <w:t xml:space="preserve"> Eight fixtures were used. Seven were hand-authored ARPAbet utterances chosen to exercise all 14 visemes and the known difficult cases (bilabial /p b m/ closures, labiodental /f v/ contact, dental and other tongue consonants, rounded vowels, sibilants and rhotics, and silence gaps). The eighth (</w:t>
      </w:r>
      <w:r>
        <w:rPr>
          <w:rFonts w:ascii="Consolas" w:hAnsi="Consolas" w:cs="Consolas"/>
          <w:sz w:val="19"/>
        </w:rPr>
        <w:t>g2p_pipeline</w:t>
      </w:r>
      <w:r>
        <w:rPr>
          <w:rFonts w:ascii="Times New Roman" w:hAnsi="Times New Roman" w:cs="Times New Roman"/>
          <w:sz w:val="20"/>
        </w:rPr>
        <w:t>) was produced by passing text through the JavaScript grapheme-to-phoneme (G2P) pipeline, exercising the real production text path. Fixtures are deterministic, so each represents one fixed utterance rather than a sample of natural speech.</w:t>
      </w:r>
    </w:p>
    <w:p>
      <w:pPr>
        <w:jc w:val="both"/>
      </w:pPr>
      <w:r>
        <w:rPr>
          <w:rFonts w:ascii="Times New Roman" w:hAnsi="Times New Roman" w:cs="Times New Roman"/>
          <w:b/>
          <w:sz w:val="20"/>
        </w:rPr>
        <w:t>Metrics.</w:t>
      </w:r>
      <w:r>
        <w:rPr>
          <w:rFonts w:ascii="Times New Roman" w:hAnsi="Times New Roman" w:cs="Times New Roman"/>
          <w:sz w:val="20"/>
        </w:rPr>
        <w:t xml:space="preserve"> Each fixture embeds timed checks scored by six criteria: bilabial closure (</w:t>
      </w:r>
      <w:r>
        <w:rPr>
          <w:rFonts w:ascii="Consolas" w:hAnsi="Consolas" w:cs="Consolas"/>
          <w:sz w:val="19"/>
        </w:rPr>
        <w:t>V_Explosive</w:t>
      </w:r>
      <w:r>
        <w:rPr>
          <w:rFonts w:ascii="Times New Roman" w:hAnsi="Times New Roman" w:cs="Times New Roman"/>
          <w:sz w:val="20"/>
        </w:rPr>
        <w:t xml:space="preserve"> ≥ 0.90 within ±60 ms, with open-mouth shapes suppressed), labiodental contact (</w:t>
      </w:r>
      <w:r>
        <w:rPr>
          <w:rFonts w:ascii="Consolas" w:hAnsi="Consolas" w:cs="Consolas"/>
          <w:sz w:val="19"/>
        </w:rPr>
        <w:t>V_Dental_Lip</w:t>
      </w:r>
      <w:r>
        <w:rPr>
          <w:rFonts w:ascii="Times New Roman" w:hAnsi="Times New Roman" w:cs="Times New Roman"/>
          <w:sz w:val="20"/>
        </w:rPr>
        <w:t xml:space="preserve"> ≥ 0.80), tongue activation (mapped tongue shape ≥ 0.30), vowel peak (≥ 0.35), silence (all lip shapes &lt; 0.10), and segment-end decay (all lip shapes &lt; 0.05 within 250 ms). Motion smoothness was additionally reported as the root-mean-square of the second difference of all curves on a 60 Hz grid ("jitter RMS"); jitter was recorded for each run but was not one of the pass/fail criteria.</w:t>
      </w:r>
    </w:p>
    <w:p>
      <w:pPr>
        <w:jc w:val="both"/>
      </w:pPr>
      <w:r>
        <w:rPr>
          <w:rFonts w:ascii="Times New Roman" w:hAnsi="Times New Roman" w:cs="Times New Roman"/>
          <w:b/>
          <w:sz w:val="20"/>
        </w:rPr>
        <w:t>Design.</w:t>
      </w:r>
      <w:r>
        <w:rPr>
          <w:rFonts w:ascii="Times New Roman" w:hAnsi="Times New Roman" w:cs="Times New Roman"/>
          <w:sz w:val="20"/>
        </w:rPr>
        <w:t xml:space="preserve"> The same suite was run against the pipeline before the co-articulation redesign (the </w:t>
      </w:r>
      <w:r>
        <w:rPr>
          <w:rFonts w:ascii="Times New Roman" w:hAnsi="Times New Roman" w:cs="Times New Roman"/>
          <w:i/>
          <w:sz w:val="20"/>
        </w:rPr>
        <w:t>baseline</w:t>
      </w:r>
      <w:r>
        <w:rPr>
          <w:rFonts w:ascii="Times New Roman" w:hAnsi="Times New Roman" w:cs="Times New Roman"/>
          <w:sz w:val="20"/>
        </w:rPr>
        <w:t xml:space="preserve">) and after it (the </w:t>
      </w:r>
      <w:r>
        <w:rPr>
          <w:rFonts w:ascii="Times New Roman" w:hAnsi="Times New Roman" w:cs="Times New Roman"/>
          <w:i/>
          <w:sz w:val="20"/>
        </w:rPr>
        <w:t>final</w:t>
      </w:r>
      <w:r>
        <w:rPr>
          <w:rFonts w:ascii="Times New Roman" w:hAnsi="Times New Roman" w:cs="Times New Roman"/>
          <w:sz w:val="20"/>
        </w:rPr>
        <w:t xml:space="preserve"> pipeline), giving a controlled before-and-after comparison. Weights were baked and recorded at high frame rate (approximately 90 Hz), giving 147 to 202 samples per fixture, and a screenshot was captured at each check time.</w:t>
      </w:r>
    </w:p>
    <w:p>
      <w:pPr>
        <w:spacing w:before="200" w:after="80"/>
      </w:pPr>
      <w:r>
        <w:rPr>
          <w:rFonts w:ascii="Times New Roman" w:hAnsi="Times New Roman" w:cs="Times New Roman"/>
          <w:b/>
          <w:sz w:val="22"/>
        </w:rPr>
        <w:t>4.2 Streaming voice latency evaluation (protocol; not yet executed)</w:t>
      </w:r>
    </w:p>
    <w:p>
      <w:pPr>
        <w:jc w:val="both"/>
      </w:pPr>
      <w:r>
        <w:rPr>
          <w:rFonts w:ascii="Times New Roman" w:hAnsi="Times New Roman" w:cs="Times New Roman"/>
          <w:sz w:val="20"/>
        </w:rPr>
        <w:t xml:space="preserve">The voice pipeline is instrumented with stage timestamps that print a </w:t>
      </w:r>
      <w:r>
        <w:rPr>
          <w:rFonts w:ascii="Consolas" w:hAnsi="Consolas" w:cs="Consolas"/>
          <w:sz w:val="19"/>
        </w:rPr>
        <w:t>[LATENCY SUMMARY]</w:t>
      </w:r>
      <w:r>
        <w:rPr>
          <w:rFonts w:ascii="Times New Roman" w:hAnsi="Times New Roman" w:cs="Times New Roman"/>
          <w:sz w:val="20"/>
        </w:rPr>
        <w:t xml:space="preserve"> record to the console after each spoken response. Six stage durations are recorded: speech-to-text (</w:t>
      </w:r>
      <w:r>
        <w:rPr>
          <w:rFonts w:ascii="Consolas" w:hAnsi="Consolas" w:cs="Consolas"/>
          <w:sz w:val="19"/>
        </w:rPr>
        <w:t>stt_ms</w:t>
      </w:r>
      <w:r>
        <w:rPr>
          <w:rFonts w:ascii="Times New Roman" w:hAnsi="Times New Roman" w:cs="Times New Roman"/>
          <w:sz w:val="20"/>
        </w:rPr>
        <w:t>), retrieval (</w:t>
      </w:r>
      <w:r>
        <w:rPr>
          <w:rFonts w:ascii="Consolas" w:hAnsi="Consolas" w:cs="Consolas"/>
          <w:sz w:val="19"/>
        </w:rPr>
        <w:t>rag_ms</w:t>
      </w:r>
      <w:r>
        <w:rPr>
          <w:rFonts w:ascii="Times New Roman" w:hAnsi="Times New Roman" w:cs="Times New Roman"/>
          <w:sz w:val="20"/>
        </w:rPr>
        <w:t>), language-model time to first token (</w:t>
      </w:r>
      <w:r>
        <w:rPr>
          <w:rFonts w:ascii="Consolas" w:hAnsi="Consolas" w:cs="Consolas"/>
          <w:sz w:val="19"/>
        </w:rPr>
        <w:t>llm_to_token_ms</w:t>
      </w:r>
      <w:r>
        <w:rPr>
          <w:rFonts w:ascii="Times New Roman" w:hAnsi="Times New Roman" w:cs="Times New Roman"/>
          <w:sz w:val="20"/>
        </w:rPr>
        <w:t>), first token to first complete sentence (</w:t>
      </w:r>
      <w:r>
        <w:rPr>
          <w:rFonts w:ascii="Consolas" w:hAnsi="Consolas" w:cs="Consolas"/>
          <w:sz w:val="19"/>
        </w:rPr>
        <w:t>first_sentence_ms</w:t>
      </w:r>
      <w:r>
        <w:rPr>
          <w:rFonts w:ascii="Times New Roman" w:hAnsi="Times New Roman" w:cs="Times New Roman"/>
          <w:sz w:val="20"/>
        </w:rPr>
        <w:t>), first text-to-speech request to first audio (</w:t>
      </w:r>
      <w:r>
        <w:rPr>
          <w:rFonts w:ascii="Consolas" w:hAnsi="Consolas" w:cs="Consolas"/>
          <w:sz w:val="19"/>
        </w:rPr>
        <w:t>tts_first_ms</w:t>
      </w:r>
      <w:r>
        <w:rPr>
          <w:rFonts w:ascii="Times New Roman" w:hAnsi="Times New Roman" w:cs="Times New Roman"/>
          <w:sz w:val="20"/>
        </w:rPr>
        <w:t>), and the end-to-end time from the end of the user's speech to the first avatar audio (</w:t>
      </w:r>
      <w:r>
        <w:rPr>
          <w:rFonts w:ascii="Consolas" w:hAnsi="Consolas" w:cs="Consolas"/>
          <w:sz w:val="19"/>
        </w:rPr>
        <w:t>to_first_audio_ms</w:t>
      </w:r>
      <w:r>
        <w:rPr>
          <w:rFonts w:ascii="Times New Roman" w:hAnsi="Times New Roman" w:cs="Times New Roman"/>
          <w:sz w:val="20"/>
        </w:rPr>
        <w:t>), which is the primary responsiveness measure.</w:t>
      </w:r>
    </w:p>
    <w:p>
      <w:pPr>
        <w:jc w:val="both"/>
      </w:pPr>
      <w:r>
        <w:rPr>
          <w:rFonts w:ascii="Times New Roman" w:hAnsi="Times New Roman" w:cs="Times New Roman"/>
          <w:sz w:val="20"/>
        </w:rPr>
        <w:t xml:space="preserve">The planned protocol runs a fixed set of representative caregiver queries (for example, 20 questions drawn evenly from the knowledge-base categories) through the deployed application, records the </w:t>
      </w:r>
      <w:r>
        <w:rPr>
          <w:rFonts w:ascii="Consolas" w:hAnsi="Consolas" w:cs="Consolas"/>
          <w:sz w:val="19"/>
        </w:rPr>
        <w:t>[LATENCY SUMMARY]</w:t>
      </w:r>
      <w:r>
        <w:rPr>
          <w:rFonts w:ascii="Times New Roman" w:hAnsi="Times New Roman" w:cs="Times New Roman"/>
          <w:sz w:val="20"/>
        </w:rPr>
        <w:t xml:space="preserve"> for each, and reports the median and the minimum-to-maximum range for each stage. Because the pre-optimisation build was not instrumented, the concurrent-playback improvement can be quantified only by re-running the same queries with concurrent playback disabled; if that comparison is not run, the improvement is reported qualitatively (see §8). Sample size, device, and network conditions must be stated with the results. Table 3 is the reporting template.</w:t>
      </w:r>
    </w:p>
    <w:p>
      <w:pPr>
        <w:jc w:val="center"/>
      </w:pPr>
      <w:r>
        <w:rPr>
          <w:rFonts w:ascii="Times New Roman" w:hAnsi="Times New Roman" w:cs="Times New Roman"/>
          <w:b/>
          <w:sz w:val="18"/>
        </w:rPr>
        <w:t>Table 3.</w:t>
      </w:r>
      <w:r>
        <w:rPr>
          <w:rFonts w:ascii="Times New Roman" w:hAnsi="Times New Roman" w:cs="Times New Roman"/>
          <w:sz w:val="18"/>
        </w:rPr>
        <w:t xml:space="preserve"> Voice-pipeline latency by stage (reporting template; </w:t>
      </w:r>
      <w:r>
        <w:rPr>
          <w:rFonts w:ascii="Consolas" w:hAnsi="Consolas" w:cs="Consolas"/>
          <w:sz w:val="17"/>
        </w:rPr>
        <w:t>[TO BE CAPTURED]</w:t>
      </w:r>
      <w:r>
        <w:rPr>
          <w:rFonts w:ascii="Times New Roman" w:hAnsi="Times New Roman" w:cs="Times New Roman"/>
          <w:sz w:val="18"/>
        </w:rPr>
        <w:t>). Report the median and range in milliseconds over n queries; state n, device, and network.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b/>
                <w:sz w:val="18"/>
              </w:rPr>
              <w:t>Stage</w:t>
            </w:r>
          </w:p>
        </w:tc>
        <w:tc>
          <w:tcPr>
            <w:tcW w:type="dxa" w:w="3120"/>
          </w:tcPr>
          <w:p>
            <w:r/>
            <w:r>
              <w:rPr>
                <w:rFonts w:ascii="Times New Roman" w:hAnsi="Times New Roman" w:cs="Times New Roman"/>
                <w:b/>
                <w:sz w:val="18"/>
              </w:rPr>
              <w:t>Median (ms)</w:t>
            </w:r>
          </w:p>
        </w:tc>
        <w:tc>
          <w:tcPr>
            <w:tcW w:type="dxa" w:w="3120"/>
          </w:tcPr>
          <w:p>
            <w:r/>
            <w:r>
              <w:rPr>
                <w:rFonts w:ascii="Times New Roman" w:hAnsi="Times New Roman" w:cs="Times New Roman"/>
                <w:b/>
                <w:sz w:val="18"/>
              </w:rPr>
              <w:t>Range (ms)</w:t>
            </w:r>
          </w:p>
        </w:tc>
      </w:tr>
      <w:tr>
        <w:tc>
          <w:tcPr>
            <w:tcW w:type="dxa" w:w="3120"/>
          </w:tcPr>
          <w:p>
            <w:r/>
            <w:r>
              <w:rPr>
                <w:rFonts w:ascii="Times New Roman" w:hAnsi="Times New Roman" w:cs="Times New Roman"/>
                <w:sz w:val="18"/>
              </w:rPr>
              <w:t>Speech-to-text (</w:t>
            </w:r>
            <w:r>
              <w:rPr>
                <w:rFonts w:ascii="Consolas" w:hAnsi="Consolas" w:cs="Consolas"/>
                <w:sz w:val="17"/>
              </w:rPr>
              <w:t>stt_ms</w:t>
            </w:r>
            <w:r>
              <w:rPr>
                <w:rFonts w:ascii="Times New Roman" w:hAnsi="Times New Roman" w:cs="Times New Roman"/>
                <w:sz w:val="18"/>
              </w:rPr>
              <w:t>)</w:t>
            </w:r>
          </w:p>
        </w:tc>
        <w:tc>
          <w:tcPr>
            <w:tcW w:type="dxa" w:w="3120"/>
          </w:tcPr>
          <w:p>
            <w:r/>
            <w:r>
              <w:rPr>
                <w:rFonts w:ascii="Consolas" w:hAnsi="Consolas" w:cs="Consolas"/>
                <w:sz w:val="17"/>
              </w:rPr>
              <w:t>[TBC]</w:t>
            </w:r>
          </w:p>
        </w:tc>
        <w:tc>
          <w:tcPr>
            <w:tcW w:type="dxa" w:w="3120"/>
          </w:tcPr>
          <w:p>
            <w:r/>
            <w:r>
              <w:rPr>
                <w:rFonts w:ascii="Consolas" w:hAnsi="Consolas" w:cs="Consolas"/>
                <w:sz w:val="17"/>
              </w:rPr>
              <w:t>[TBC]</w:t>
            </w:r>
          </w:p>
        </w:tc>
      </w:tr>
      <w:tr>
        <w:tc>
          <w:tcPr>
            <w:tcW w:type="dxa" w:w="3120"/>
          </w:tcPr>
          <w:p>
            <w:r/>
            <w:r>
              <w:rPr>
                <w:rFonts w:ascii="Times New Roman" w:hAnsi="Times New Roman" w:cs="Times New Roman"/>
                <w:sz w:val="18"/>
              </w:rPr>
              <w:t>Retrieval (</w:t>
            </w:r>
            <w:r>
              <w:rPr>
                <w:rFonts w:ascii="Consolas" w:hAnsi="Consolas" w:cs="Consolas"/>
                <w:sz w:val="17"/>
              </w:rPr>
              <w:t>rag_ms</w:t>
            </w:r>
            <w:r>
              <w:rPr>
                <w:rFonts w:ascii="Times New Roman" w:hAnsi="Times New Roman" w:cs="Times New Roman"/>
                <w:sz w:val="18"/>
              </w:rPr>
              <w:t>)</w:t>
            </w:r>
          </w:p>
        </w:tc>
        <w:tc>
          <w:tcPr>
            <w:tcW w:type="dxa" w:w="3120"/>
          </w:tcPr>
          <w:p>
            <w:r/>
            <w:r>
              <w:rPr>
                <w:rFonts w:ascii="Consolas" w:hAnsi="Consolas" w:cs="Consolas"/>
                <w:sz w:val="17"/>
              </w:rPr>
              <w:t>[TBC]</w:t>
            </w:r>
          </w:p>
        </w:tc>
        <w:tc>
          <w:tcPr>
            <w:tcW w:type="dxa" w:w="3120"/>
          </w:tcPr>
          <w:p>
            <w:r/>
            <w:r>
              <w:rPr>
                <w:rFonts w:ascii="Consolas" w:hAnsi="Consolas" w:cs="Consolas"/>
                <w:sz w:val="17"/>
              </w:rPr>
              <w:t>[TBC]</w:t>
            </w:r>
          </w:p>
        </w:tc>
      </w:tr>
      <w:tr>
        <w:tc>
          <w:tcPr>
            <w:tcW w:type="dxa" w:w="3120"/>
          </w:tcPr>
          <w:p>
            <w:r/>
            <w:r>
              <w:rPr>
                <w:rFonts w:ascii="Times New Roman" w:hAnsi="Times New Roman" w:cs="Times New Roman"/>
                <w:sz w:val="18"/>
              </w:rPr>
              <w:t>LLM time to first token (</w:t>
            </w:r>
            <w:r>
              <w:rPr>
                <w:rFonts w:ascii="Consolas" w:hAnsi="Consolas" w:cs="Consolas"/>
                <w:sz w:val="17"/>
              </w:rPr>
              <w:t>llm_to_token_ms</w:t>
            </w:r>
            <w:r>
              <w:rPr>
                <w:rFonts w:ascii="Times New Roman" w:hAnsi="Times New Roman" w:cs="Times New Roman"/>
                <w:sz w:val="18"/>
              </w:rPr>
              <w:t>)</w:t>
            </w:r>
          </w:p>
        </w:tc>
        <w:tc>
          <w:tcPr>
            <w:tcW w:type="dxa" w:w="3120"/>
          </w:tcPr>
          <w:p>
            <w:r/>
            <w:r>
              <w:rPr>
                <w:rFonts w:ascii="Consolas" w:hAnsi="Consolas" w:cs="Consolas"/>
                <w:sz w:val="17"/>
              </w:rPr>
              <w:t>[TBC]</w:t>
            </w:r>
          </w:p>
        </w:tc>
        <w:tc>
          <w:tcPr>
            <w:tcW w:type="dxa" w:w="3120"/>
          </w:tcPr>
          <w:p>
            <w:r/>
            <w:r>
              <w:rPr>
                <w:rFonts w:ascii="Consolas" w:hAnsi="Consolas" w:cs="Consolas"/>
                <w:sz w:val="17"/>
              </w:rPr>
              <w:t>[TBC]</w:t>
            </w:r>
          </w:p>
        </w:tc>
      </w:tr>
      <w:tr>
        <w:tc>
          <w:tcPr>
            <w:tcW w:type="dxa" w:w="3120"/>
          </w:tcPr>
          <w:p>
            <w:r/>
            <w:r>
              <w:rPr>
                <w:rFonts w:ascii="Times New Roman" w:hAnsi="Times New Roman" w:cs="Times New Roman"/>
                <w:sz w:val="18"/>
              </w:rPr>
              <w:t>First token → first sentence (</w:t>
            </w:r>
            <w:r>
              <w:rPr>
                <w:rFonts w:ascii="Consolas" w:hAnsi="Consolas" w:cs="Consolas"/>
                <w:sz w:val="17"/>
              </w:rPr>
              <w:t>first_sentence_ms</w:t>
            </w:r>
            <w:r>
              <w:rPr>
                <w:rFonts w:ascii="Times New Roman" w:hAnsi="Times New Roman" w:cs="Times New Roman"/>
                <w:sz w:val="18"/>
              </w:rPr>
              <w:t>)</w:t>
            </w:r>
          </w:p>
        </w:tc>
        <w:tc>
          <w:tcPr>
            <w:tcW w:type="dxa" w:w="3120"/>
          </w:tcPr>
          <w:p>
            <w:r/>
            <w:r>
              <w:rPr>
                <w:rFonts w:ascii="Consolas" w:hAnsi="Consolas" w:cs="Consolas"/>
                <w:sz w:val="17"/>
              </w:rPr>
              <w:t>[TBC]</w:t>
            </w:r>
          </w:p>
        </w:tc>
        <w:tc>
          <w:tcPr>
            <w:tcW w:type="dxa" w:w="3120"/>
          </w:tcPr>
          <w:p>
            <w:r/>
            <w:r>
              <w:rPr>
                <w:rFonts w:ascii="Consolas" w:hAnsi="Consolas" w:cs="Consolas"/>
                <w:sz w:val="17"/>
              </w:rPr>
              <w:t>[TBC]</w:t>
            </w:r>
          </w:p>
        </w:tc>
      </w:tr>
      <w:tr>
        <w:tc>
          <w:tcPr>
            <w:tcW w:type="dxa" w:w="3120"/>
          </w:tcPr>
          <w:p>
            <w:r/>
            <w:r>
              <w:rPr>
                <w:rFonts w:ascii="Times New Roman" w:hAnsi="Times New Roman" w:cs="Times New Roman"/>
                <w:sz w:val="18"/>
              </w:rPr>
              <w:t>TTS request → first audio (</w:t>
            </w:r>
            <w:r>
              <w:rPr>
                <w:rFonts w:ascii="Consolas" w:hAnsi="Consolas" w:cs="Consolas"/>
                <w:sz w:val="17"/>
              </w:rPr>
              <w:t>tts_first_ms</w:t>
            </w:r>
            <w:r>
              <w:rPr>
                <w:rFonts w:ascii="Times New Roman" w:hAnsi="Times New Roman" w:cs="Times New Roman"/>
                <w:sz w:val="18"/>
              </w:rPr>
              <w:t>)</w:t>
            </w:r>
          </w:p>
        </w:tc>
        <w:tc>
          <w:tcPr>
            <w:tcW w:type="dxa" w:w="3120"/>
          </w:tcPr>
          <w:p>
            <w:r/>
            <w:r>
              <w:rPr>
                <w:rFonts w:ascii="Consolas" w:hAnsi="Consolas" w:cs="Consolas"/>
                <w:sz w:val="17"/>
              </w:rPr>
              <w:t>[TBC]</w:t>
            </w:r>
          </w:p>
        </w:tc>
        <w:tc>
          <w:tcPr>
            <w:tcW w:type="dxa" w:w="3120"/>
          </w:tcPr>
          <w:p>
            <w:r/>
            <w:r>
              <w:rPr>
                <w:rFonts w:ascii="Consolas" w:hAnsi="Consolas" w:cs="Consolas"/>
                <w:sz w:val="17"/>
              </w:rPr>
              <w:t>[TBC]</w:t>
            </w:r>
          </w:p>
        </w:tc>
      </w:tr>
      <w:tr>
        <w:tc>
          <w:tcPr>
            <w:tcW w:type="dxa" w:w="3120"/>
          </w:tcPr>
          <w:p>
            <w:r/>
            <w:r>
              <w:rPr>
                <w:rFonts w:ascii="Times New Roman" w:hAnsi="Times New Roman" w:cs="Times New Roman"/>
                <w:b/>
                <w:sz w:val="18"/>
              </w:rPr>
              <w:t>End to end → first avatar audio (`to_first_audio_ms`)</w:t>
            </w:r>
          </w:p>
        </w:tc>
        <w:tc>
          <w:tcPr>
            <w:tcW w:type="dxa" w:w="3120"/>
          </w:tcPr>
          <w:p>
            <w:r/>
            <w:r>
              <w:rPr>
                <w:rFonts w:ascii="Consolas" w:hAnsi="Consolas" w:cs="Consolas"/>
                <w:sz w:val="17"/>
              </w:rPr>
              <w:t>[TBC]</w:t>
            </w:r>
          </w:p>
        </w:tc>
        <w:tc>
          <w:tcPr>
            <w:tcW w:type="dxa" w:w="3120"/>
          </w:tcPr>
          <w:p>
            <w:r/>
            <w:r>
              <w:rPr>
                <w:rFonts w:ascii="Consolas" w:hAnsi="Consolas" w:cs="Consolas"/>
                <w:sz w:val="17"/>
              </w:rPr>
              <w:t>[TBC]</w:t>
            </w:r>
          </w:p>
        </w:tc>
      </w:tr>
    </w:tbl>
    <w:p>
      <w:pPr>
        <w:spacing w:after="40"/>
      </w:pPr>
    </w:p>
    <w:p>
      <w:pPr>
        <w:spacing w:before="200" w:after="80"/>
      </w:pPr>
      <w:r>
        <w:rPr>
          <w:rFonts w:ascii="Times New Roman" w:hAnsi="Times New Roman" w:cs="Times New Roman"/>
          <w:b/>
          <w:sz w:val="22"/>
        </w:rPr>
        <w:t>4.3 RAG grounding evaluation (executed 2026-07-13; results in §6.9)</w:t>
      </w:r>
    </w:p>
    <w:p>
      <w:pPr>
        <w:jc w:val="both"/>
      </w:pPr>
      <w:r>
        <w:rPr>
          <w:rFonts w:ascii="Times New Roman" w:hAnsi="Times New Roman" w:cs="Times New Roman"/>
          <w:sz w:val="20"/>
        </w:rPr>
        <w:t>The retrieval-augmented generation path retrieves the top five knowledge-base chunks (</w:t>
      </w:r>
      <w:r>
        <w:rPr>
          <w:rFonts w:ascii="Consolas" w:hAnsi="Consolas" w:cs="Consolas"/>
          <w:sz w:val="19"/>
        </w:rPr>
        <w:t>TOP_K = 5</w:t>
      </w:r>
      <w:r>
        <w:rPr>
          <w:rFonts w:ascii="Times New Roman" w:hAnsi="Times New Roman" w:cs="Times New Roman"/>
          <w:sz w:val="20"/>
        </w:rPr>
        <w:t>) above a cosine-similarity floor (</w:t>
      </w:r>
      <w:r>
        <w:rPr>
          <w:rFonts w:ascii="Consolas" w:hAnsi="Consolas" w:cs="Consolas"/>
          <w:sz w:val="19"/>
        </w:rPr>
        <w:t>MIN_SIMILARITY = 0.25</w:t>
      </w:r>
      <w:r>
        <w:rPr>
          <w:rFonts w:ascii="Times New Roman" w:hAnsi="Times New Roman" w:cs="Times New Roman"/>
          <w:sz w:val="20"/>
        </w:rPr>
        <w:t xml:space="preserve">) using </w:t>
      </w:r>
      <w:r>
        <w:rPr>
          <w:rFonts w:ascii="Consolas" w:hAnsi="Consolas" w:cs="Consolas"/>
          <w:sz w:val="19"/>
        </w:rPr>
        <w:t>text-embedding-3-small</w:t>
      </w:r>
      <w:r>
        <w:rPr>
          <w:rFonts w:ascii="Times New Roman" w:hAnsi="Times New Roman" w:cs="Times New Roman"/>
          <w:sz w:val="20"/>
        </w:rPr>
        <w:t xml:space="preserve">, then generates an answer with </w:t>
      </w:r>
      <w:r>
        <w:rPr>
          <w:rFonts w:ascii="Consolas" w:hAnsi="Consolas" w:cs="Consolas"/>
          <w:sz w:val="19"/>
        </w:rPr>
        <w:t>gpt-4o-mini</w:t>
      </w:r>
      <w:r>
        <w:rPr>
          <w:rFonts w:ascii="Times New Roman" w:hAnsi="Times New Roman" w:cs="Times New Roman"/>
          <w:sz w:val="20"/>
        </w:rPr>
        <w:t xml:space="preserve"> (temperature 0.4). The planned evaluation uses a fixed question set of representative caregiver queries (drafted in </w:t>
      </w:r>
      <w:r>
        <w:rPr>
          <w:rFonts w:ascii="Consolas" w:hAnsi="Consolas" w:cs="Consolas"/>
          <w:sz w:val="19"/>
        </w:rPr>
        <w:t>rag_eval_question_set.md</w:t>
      </w:r>
      <w:r>
        <w:rPr>
          <w:rFonts w:ascii="Times New Roman" w:hAnsi="Times New Roman" w:cs="Times New Roman"/>
          <w:sz w:val="20"/>
        </w:rPr>
        <w:t>: 29 in-scope questions each mapped to an expected chunk, plus near-neighbour, boundary, and out-of-scope sets), split into in-scope questions (answerable from the 70-chunk knowledge base) and out-of-scope questions (outside dementia care), and reports three measures: retrieval hit rate (whether the human-identified relevant chunk appears in the retrieved five), answer groundedness (whether the generated answer is supported by the retrieved chunks, rated by a human or an LLM judge on a fixed rubric), and out-of-scope handling (whether the system appropriately declines or expresses uncertainty rather than fabricating content). Because sample sizes will be below 20 per category, results should be reported as counts rather than percentages. The question set, rater, and rubric must be reported for reproducibility.</w:t>
      </w:r>
    </w:p>
    <w:p>
      <w:pPr>
        <w:spacing w:before="200" w:after="80"/>
      </w:pPr>
      <w:r>
        <w:rPr>
          <w:rFonts w:ascii="Times New Roman" w:hAnsi="Times New Roman" w:cs="Times New Roman"/>
          <w:b/>
          <w:sz w:val="22"/>
        </w:rPr>
        <w:t>5. Implementation Progress</w:t>
      </w:r>
    </w:p>
    <w:p>
      <w:pPr>
        <w:jc w:val="both"/>
      </w:pPr>
      <w:r>
        <w:rPr>
          <w:rFonts w:ascii="Times New Roman" w:hAnsi="Times New Roman" w:cs="Times New Roman"/>
          <w:sz w:val="20"/>
        </w:rPr>
        <w:t xml:space="preserve">At the mid-point, the prototype implements the core of the proposed pipeline (§4 of the proposal). A retrieval-augmented chat path grounds responses in a dementia-care knowledge base held in Supabase (pgvector), comprising 70 hand-authored chunks across seven categories (caregiving, clinical, communication, best-practices, home-safety, prevention, and wellbeing) plus roughly 380 WHO/NZ iSupport course chunks, 449 in total. Retrieval uses OpenAI </w:t>
      </w:r>
      <w:r>
        <w:rPr>
          <w:rFonts w:ascii="Consolas" w:hAnsi="Consolas" w:cs="Consolas"/>
          <w:sz w:val="19"/>
        </w:rPr>
        <w:t>text-embedding-3-small</w:t>
      </w:r>
      <w:r>
        <w:rPr>
          <w:rFonts w:ascii="Times New Roman" w:hAnsi="Times New Roman" w:cs="Times New Roman"/>
          <w:sz w:val="20"/>
        </w:rPr>
        <w:t xml:space="preserve"> with a hybrid vector-plus-keyword match, returning the top five chunks above a 0.25 similarity floor after a source-family cap limits any single bulk source (§6.9), and </w:t>
      </w:r>
      <w:r>
        <w:rPr>
          <w:rFonts w:ascii="Consolas" w:hAnsi="Consolas" w:cs="Consolas"/>
          <w:sz w:val="19"/>
        </w:rPr>
        <w:t>gpt-4o-mini</w:t>
      </w:r>
      <w:r>
        <w:rPr>
          <w:rFonts w:ascii="Times New Roman" w:hAnsi="Times New Roman" w:cs="Times New Roman"/>
          <w:sz w:val="20"/>
        </w:rPr>
        <w:t xml:space="preserve"> generates the grounded answer. A streaming voice path performs speech capture, transcription, retrieval, generation, text-to-speech, and avatar playback, with concurrent sentence-level playback so speech begins before the full response is generated, and it is instrumented to record per-stage latency (§4.2). The avatar is a Reallusion Character Creator 4 (CC4) character rendered in Unity and embedded in the React Native application through a Unity-as-a-Library (UaaL) native bridge.</w:t>
      </w:r>
    </w:p>
    <w:p>
      <w:pPr>
        <w:jc w:val="both"/>
      </w:pPr>
      <w:r>
        <w:rPr>
          <w:rFonts w:ascii="Times New Roman" w:hAnsi="Times New Roman" w:cs="Times New Roman"/>
          <w:sz w:val="20"/>
        </w:rPr>
        <w:t>Two components have been formally evaluated so far: the avatar lip-synchronisation sub-system (§6.1–6.8) and the retrieval-augmented generation grounding (§6.9). The streaming voice path's end-to-end latency is instrumented but not yet measured against defined criteria; its evaluation is planned for the second half of the project (§8).</w:t>
      </w:r>
    </w:p>
    <w:p>
      <w:pPr>
        <w:spacing w:before="200" w:after="80"/>
      </w:pPr>
      <w:r>
        <w:rPr>
          <w:rFonts w:ascii="Times New Roman" w:hAnsi="Times New Roman" w:cs="Times New Roman"/>
          <w:b/>
          <w:sz w:val="22"/>
        </w:rPr>
        <w:t>6. Results</w:t>
      </w:r>
    </w:p>
    <w:p>
      <w:pPr>
        <w:jc w:val="both"/>
      </w:pPr>
      <w:r>
        <w:rPr>
          <w:rFonts w:ascii="Times New Roman" w:hAnsi="Times New Roman" w:cs="Times New Roman"/>
          <w:sz w:val="20"/>
        </w:rPr>
        <w:t>The initial evaluation examined whether the avatar could produce sufficiently accurate speech articulation for use in the proposed system. This evaluation did not assess the overall usability or accessibility of DementiaGuide AI, but it provided early evidence that the avatar component could support further prototype development and user evaluation.</w:t>
      </w:r>
    </w:p>
    <w:p>
      <w:pPr>
        <w:spacing w:before="200" w:after="80"/>
      </w:pPr>
      <w:r>
        <w:rPr>
          <w:rFonts w:ascii="Times New Roman" w:hAnsi="Times New Roman" w:cs="Times New Roman"/>
          <w:b/>
          <w:sz w:val="22"/>
        </w:rPr>
        <w:t>6.1 Evaluation setup</w:t>
      </w:r>
    </w:p>
    <w:p>
      <w:pPr>
        <w:jc w:val="both"/>
      </w:pPr>
      <w:r>
        <w:rPr>
          <w:rFonts w:ascii="Times New Roman" w:hAnsi="Times New Roman" w:cs="Times New Roman"/>
          <w:sz w:val="20"/>
        </w:rPr>
        <w:t>Eight fixtures were evaluated, embedding 85 acceptance checks across the seven hand-authored fixtures and 95 checks including the G2P fixture. Recordings contained 147 to 202 samples per fixture.</w:t>
      </w:r>
    </w:p>
    <w:p>
      <w:pPr>
        <w:spacing w:before="200" w:after="80"/>
      </w:pPr>
      <w:r>
        <w:rPr>
          <w:rFonts w:ascii="Times New Roman" w:hAnsi="Times New Roman" w:cs="Times New Roman"/>
          <w:b/>
          <w:sz w:val="22"/>
        </w:rPr>
        <w:t>6.2 Overall acceptance-check pass rate</w:t>
      </w:r>
    </w:p>
    <w:p>
      <w:pPr>
        <w:jc w:val="both"/>
      </w:pPr>
      <w:r>
        <w:rPr>
          <w:rFonts w:ascii="Times New Roman" w:hAnsi="Times New Roman" w:cs="Times New Roman"/>
          <w:sz w:val="20"/>
        </w:rPr>
        <w:t xml:space="preserve">On the baseline pipeline, 37 of the 85 hand-authored acceptance checks passed. On the final pipeline, all 85 passed, and the </w:t>
      </w:r>
      <w:r>
        <w:rPr>
          <w:rFonts w:ascii="Consolas" w:hAnsi="Consolas" w:cs="Consolas"/>
          <w:sz w:val="19"/>
        </w:rPr>
        <w:t>g2p_pipeline</w:t>
      </w:r>
      <w:r>
        <w:rPr>
          <w:rFonts w:ascii="Times New Roman" w:hAnsi="Times New Roman" w:cs="Times New Roman"/>
          <w:sz w:val="20"/>
        </w:rPr>
        <w:t xml:space="preserve"> fixture passed all 10 of its checks, giving 95 of 95 across the full suite (Table 1, Figure 1). Every fixture improved, with the largest absolute gain in the </w:t>
      </w:r>
      <w:r>
        <w:rPr>
          <w:rFonts w:ascii="Consolas" w:hAnsi="Consolas" w:cs="Consolas"/>
          <w:sz w:val="19"/>
        </w:rPr>
        <w:t>bilabials</w:t>
      </w:r>
      <w:r>
        <w:rPr>
          <w:rFonts w:ascii="Times New Roman" w:hAnsi="Times New Roman" w:cs="Times New Roman"/>
          <w:sz w:val="20"/>
        </w:rPr>
        <w:t xml:space="preserve"> fixture (6 of 17 to 17 of 17).</w:t>
      </w:r>
    </w:p>
    <w:p>
      <w:pPr>
        <w:jc w:val="center"/>
      </w:pPr>
      <w:r>
        <w:rPr>
          <w:rFonts w:ascii="Times New Roman" w:hAnsi="Times New Roman" w:cs="Times New Roman"/>
          <w:b/>
          <w:sz w:val="18"/>
        </w:rPr>
        <w:t>Table 1.</w:t>
      </w:r>
      <w:r>
        <w:rPr>
          <w:rFonts w:ascii="Times New Roman" w:hAnsi="Times New Roman" w:cs="Times New Roman"/>
          <w:sz w:val="18"/>
        </w:rPr>
        <w:t xml:space="preserve"> Acceptance checks passed per fixture, baseline versus final pipeline. The </w:t>
      </w:r>
      <w:r>
        <w:rPr>
          <w:rFonts w:ascii="Consolas" w:hAnsi="Consolas" w:cs="Consolas"/>
          <w:sz w:val="17"/>
        </w:rPr>
        <w:t>g2p_pipeline</w:t>
      </w:r>
      <w:r>
        <w:rPr>
          <w:rFonts w:ascii="Times New Roman" w:hAnsi="Times New Roman" w:cs="Times New Roman"/>
          <w:sz w:val="18"/>
        </w:rPr>
        <w:t xml:space="preserve"> fixture was introduced with the final pipeline and has no baseline.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b/>
                <w:sz w:val="18"/>
              </w:rPr>
              <w:t>Fixture</w:t>
            </w:r>
          </w:p>
        </w:tc>
        <w:tc>
          <w:tcPr>
            <w:tcW w:type="dxa" w:w="3120"/>
          </w:tcPr>
          <w:p>
            <w:r/>
            <w:r>
              <w:rPr>
                <w:rFonts w:ascii="Times New Roman" w:hAnsi="Times New Roman" w:cs="Times New Roman"/>
                <w:b/>
                <w:sz w:val="18"/>
              </w:rPr>
              <w:t>Baseline (passed / total)</w:t>
            </w:r>
          </w:p>
        </w:tc>
        <w:tc>
          <w:tcPr>
            <w:tcW w:type="dxa" w:w="3120"/>
          </w:tcPr>
          <w:p>
            <w:r/>
            <w:r>
              <w:rPr>
                <w:rFonts w:ascii="Times New Roman" w:hAnsi="Times New Roman" w:cs="Times New Roman"/>
                <w:b/>
                <w:sz w:val="18"/>
              </w:rPr>
              <w:t>Final (passed / total)</w:t>
            </w:r>
          </w:p>
        </w:tc>
      </w:tr>
      <w:tr>
        <w:tc>
          <w:tcPr>
            <w:tcW w:type="dxa" w:w="3120"/>
          </w:tcPr>
          <w:p>
            <w:r/>
            <w:r>
              <w:rPr>
                <w:rFonts w:ascii="Times New Roman" w:hAnsi="Times New Roman" w:cs="Times New Roman"/>
                <w:sz w:val="18"/>
              </w:rPr>
              <w:t>bilabials</w:t>
            </w:r>
          </w:p>
        </w:tc>
        <w:tc>
          <w:tcPr>
            <w:tcW w:type="dxa" w:w="3120"/>
          </w:tcPr>
          <w:p>
            <w:r/>
            <w:r>
              <w:rPr>
                <w:rFonts w:ascii="Times New Roman" w:hAnsi="Times New Roman" w:cs="Times New Roman"/>
                <w:sz w:val="18"/>
              </w:rPr>
              <w:t>6 / 17</w:t>
            </w:r>
          </w:p>
        </w:tc>
        <w:tc>
          <w:tcPr>
            <w:tcW w:type="dxa" w:w="3120"/>
          </w:tcPr>
          <w:p>
            <w:r/>
            <w:r>
              <w:rPr>
                <w:rFonts w:ascii="Times New Roman" w:hAnsi="Times New Roman" w:cs="Times New Roman"/>
                <w:sz w:val="18"/>
              </w:rPr>
              <w:t>17 / 17</w:t>
            </w:r>
          </w:p>
        </w:tc>
      </w:tr>
      <w:tr>
        <w:tc>
          <w:tcPr>
            <w:tcW w:type="dxa" w:w="3120"/>
          </w:tcPr>
          <w:p>
            <w:r/>
            <w:r>
              <w:rPr>
                <w:rFonts w:ascii="Times New Roman" w:hAnsi="Times New Roman" w:cs="Times New Roman"/>
                <w:sz w:val="18"/>
              </w:rPr>
              <w:t>dental</w:t>
            </w:r>
          </w:p>
        </w:tc>
        <w:tc>
          <w:tcPr>
            <w:tcW w:type="dxa" w:w="3120"/>
          </w:tcPr>
          <w:p>
            <w:r/>
            <w:r>
              <w:rPr>
                <w:rFonts w:ascii="Times New Roman" w:hAnsi="Times New Roman" w:cs="Times New Roman"/>
                <w:sz w:val="18"/>
              </w:rPr>
              <w:t>4 / 13</w:t>
            </w:r>
          </w:p>
        </w:tc>
        <w:tc>
          <w:tcPr>
            <w:tcW w:type="dxa" w:w="3120"/>
          </w:tcPr>
          <w:p>
            <w:r/>
            <w:r>
              <w:rPr>
                <w:rFonts w:ascii="Times New Roman" w:hAnsi="Times New Roman" w:cs="Times New Roman"/>
                <w:sz w:val="18"/>
              </w:rPr>
              <w:t>13 / 13</w:t>
            </w:r>
          </w:p>
        </w:tc>
      </w:tr>
      <w:tr>
        <w:tc>
          <w:tcPr>
            <w:tcW w:type="dxa" w:w="3120"/>
          </w:tcPr>
          <w:p>
            <w:r/>
            <w:r>
              <w:rPr>
                <w:rFonts w:ascii="Times New Roman" w:hAnsi="Times New Roman" w:cs="Times New Roman"/>
                <w:sz w:val="18"/>
              </w:rPr>
              <w:t>labiodental</w:t>
            </w:r>
          </w:p>
        </w:tc>
        <w:tc>
          <w:tcPr>
            <w:tcW w:type="dxa" w:w="3120"/>
          </w:tcPr>
          <w:p>
            <w:r/>
            <w:r>
              <w:rPr>
                <w:rFonts w:ascii="Times New Roman" w:hAnsi="Times New Roman" w:cs="Times New Roman"/>
                <w:sz w:val="18"/>
              </w:rPr>
              <w:t>9 / 16</w:t>
            </w:r>
          </w:p>
        </w:tc>
        <w:tc>
          <w:tcPr>
            <w:tcW w:type="dxa" w:w="3120"/>
          </w:tcPr>
          <w:p>
            <w:r/>
            <w:r>
              <w:rPr>
                <w:rFonts w:ascii="Times New Roman" w:hAnsi="Times New Roman" w:cs="Times New Roman"/>
                <w:sz w:val="18"/>
              </w:rPr>
              <w:t>16 / 16</w:t>
            </w:r>
          </w:p>
        </w:tc>
      </w:tr>
      <w:tr>
        <w:tc>
          <w:tcPr>
            <w:tcW w:type="dxa" w:w="3120"/>
          </w:tcPr>
          <w:p>
            <w:r/>
            <w:r>
              <w:rPr>
                <w:rFonts w:ascii="Times New Roman" w:hAnsi="Times New Roman" w:cs="Times New Roman"/>
                <w:sz w:val="18"/>
              </w:rPr>
              <w:t>sibilant_rhotic</w:t>
            </w:r>
          </w:p>
        </w:tc>
        <w:tc>
          <w:tcPr>
            <w:tcW w:type="dxa" w:w="3120"/>
          </w:tcPr>
          <w:p>
            <w:r/>
            <w:r>
              <w:rPr>
                <w:rFonts w:ascii="Times New Roman" w:hAnsi="Times New Roman" w:cs="Times New Roman"/>
                <w:sz w:val="18"/>
              </w:rPr>
              <w:t>6 / 13</w:t>
            </w:r>
          </w:p>
        </w:tc>
        <w:tc>
          <w:tcPr>
            <w:tcW w:type="dxa" w:w="3120"/>
          </w:tcPr>
          <w:p>
            <w:r/>
            <w:r>
              <w:rPr>
                <w:rFonts w:ascii="Times New Roman" w:hAnsi="Times New Roman" w:cs="Times New Roman"/>
                <w:sz w:val="18"/>
              </w:rPr>
              <w:t>13 / 13</w:t>
            </w:r>
          </w:p>
        </w:tc>
      </w:tr>
      <w:tr>
        <w:tc>
          <w:tcPr>
            <w:tcW w:type="dxa" w:w="3120"/>
          </w:tcPr>
          <w:p>
            <w:r/>
            <w:r>
              <w:rPr>
                <w:rFonts w:ascii="Times New Roman" w:hAnsi="Times New Roman" w:cs="Times New Roman"/>
                <w:sz w:val="18"/>
              </w:rPr>
              <w:t>hello</w:t>
            </w:r>
          </w:p>
        </w:tc>
        <w:tc>
          <w:tcPr>
            <w:tcW w:type="dxa" w:w="3120"/>
          </w:tcPr>
          <w:p>
            <w:r/>
            <w:r>
              <w:rPr>
                <w:rFonts w:ascii="Times New Roman" w:hAnsi="Times New Roman" w:cs="Times New Roman"/>
                <w:sz w:val="18"/>
              </w:rPr>
              <w:t>4 / 11</w:t>
            </w:r>
          </w:p>
        </w:tc>
        <w:tc>
          <w:tcPr>
            <w:tcW w:type="dxa" w:w="3120"/>
          </w:tcPr>
          <w:p>
            <w:r/>
            <w:r>
              <w:rPr>
                <w:rFonts w:ascii="Times New Roman" w:hAnsi="Times New Roman" w:cs="Times New Roman"/>
                <w:sz w:val="18"/>
              </w:rPr>
              <w:t>11 / 11</w:t>
            </w:r>
          </w:p>
        </w:tc>
      </w:tr>
      <w:tr>
        <w:tc>
          <w:tcPr>
            <w:tcW w:type="dxa" w:w="3120"/>
          </w:tcPr>
          <w:p>
            <w:r/>
            <w:r>
              <w:rPr>
                <w:rFonts w:ascii="Times New Roman" w:hAnsi="Times New Roman" w:cs="Times New Roman"/>
                <w:sz w:val="18"/>
              </w:rPr>
              <w:t>silence_gaps</w:t>
            </w:r>
          </w:p>
        </w:tc>
        <w:tc>
          <w:tcPr>
            <w:tcW w:type="dxa" w:w="3120"/>
          </w:tcPr>
          <w:p>
            <w:r/>
            <w:r>
              <w:rPr>
                <w:rFonts w:ascii="Times New Roman" w:hAnsi="Times New Roman" w:cs="Times New Roman"/>
                <w:sz w:val="18"/>
              </w:rPr>
              <w:t>4 / 9</w:t>
            </w:r>
          </w:p>
        </w:tc>
        <w:tc>
          <w:tcPr>
            <w:tcW w:type="dxa" w:w="3120"/>
          </w:tcPr>
          <w:p>
            <w:r/>
            <w:r>
              <w:rPr>
                <w:rFonts w:ascii="Times New Roman" w:hAnsi="Times New Roman" w:cs="Times New Roman"/>
                <w:sz w:val="18"/>
              </w:rPr>
              <w:t>9 / 9</w:t>
            </w:r>
          </w:p>
        </w:tc>
      </w:tr>
      <w:tr>
        <w:tc>
          <w:tcPr>
            <w:tcW w:type="dxa" w:w="3120"/>
          </w:tcPr>
          <w:p>
            <w:r/>
            <w:r>
              <w:rPr>
                <w:rFonts w:ascii="Times New Roman" w:hAnsi="Times New Roman" w:cs="Times New Roman"/>
                <w:sz w:val="18"/>
              </w:rPr>
              <w:t>rounded</w:t>
            </w:r>
          </w:p>
        </w:tc>
        <w:tc>
          <w:tcPr>
            <w:tcW w:type="dxa" w:w="3120"/>
          </w:tcPr>
          <w:p>
            <w:r/>
            <w:r>
              <w:rPr>
                <w:rFonts w:ascii="Times New Roman" w:hAnsi="Times New Roman" w:cs="Times New Roman"/>
                <w:sz w:val="18"/>
              </w:rPr>
              <w:t>4 / 6</w:t>
            </w:r>
          </w:p>
        </w:tc>
        <w:tc>
          <w:tcPr>
            <w:tcW w:type="dxa" w:w="3120"/>
          </w:tcPr>
          <w:p>
            <w:r/>
            <w:r>
              <w:rPr>
                <w:rFonts w:ascii="Times New Roman" w:hAnsi="Times New Roman" w:cs="Times New Roman"/>
                <w:sz w:val="18"/>
              </w:rPr>
              <w:t>6 / 6</w:t>
            </w:r>
          </w:p>
        </w:tc>
      </w:tr>
      <w:tr>
        <w:tc>
          <w:tcPr>
            <w:tcW w:type="dxa" w:w="3120"/>
          </w:tcPr>
          <w:p>
            <w:r/>
            <w:r>
              <w:rPr>
                <w:rFonts w:ascii="Times New Roman" w:hAnsi="Times New Roman" w:cs="Times New Roman"/>
                <w:b/>
                <w:sz w:val="18"/>
              </w:rPr>
              <w:t>Subtotal (hand-authored)</w:t>
            </w:r>
          </w:p>
        </w:tc>
        <w:tc>
          <w:tcPr>
            <w:tcW w:type="dxa" w:w="3120"/>
          </w:tcPr>
          <w:p>
            <w:r/>
            <w:r>
              <w:rPr>
                <w:rFonts w:ascii="Times New Roman" w:hAnsi="Times New Roman" w:cs="Times New Roman"/>
                <w:b/>
                <w:sz w:val="18"/>
              </w:rPr>
              <w:t>37 / 85</w:t>
            </w:r>
          </w:p>
        </w:tc>
        <w:tc>
          <w:tcPr>
            <w:tcW w:type="dxa" w:w="3120"/>
          </w:tcPr>
          <w:p>
            <w:r/>
            <w:r>
              <w:rPr>
                <w:rFonts w:ascii="Times New Roman" w:hAnsi="Times New Roman" w:cs="Times New Roman"/>
                <w:b/>
                <w:sz w:val="18"/>
              </w:rPr>
              <w:t>85 / 85</w:t>
            </w:r>
          </w:p>
        </w:tc>
      </w:tr>
      <w:tr>
        <w:tc>
          <w:tcPr>
            <w:tcW w:type="dxa" w:w="3120"/>
          </w:tcPr>
          <w:p>
            <w:r/>
            <w:r>
              <w:rPr>
                <w:rFonts w:ascii="Times New Roman" w:hAnsi="Times New Roman" w:cs="Times New Roman"/>
                <w:sz w:val="18"/>
              </w:rPr>
              <w:t>g2p_pipeline</w:t>
            </w:r>
          </w:p>
        </w:tc>
        <w:tc>
          <w:tcPr>
            <w:tcW w:type="dxa" w:w="3120"/>
          </w:tcPr>
          <w:p>
            <w:r/>
            <w:r>
              <w:rPr>
                <w:rFonts w:ascii="Times New Roman" w:hAnsi="Times New Roman" w:cs="Times New Roman"/>
                <w:sz w:val="18"/>
              </w:rPr>
              <w:t>—</w:t>
            </w:r>
          </w:p>
        </w:tc>
        <w:tc>
          <w:tcPr>
            <w:tcW w:type="dxa" w:w="3120"/>
          </w:tcPr>
          <w:p>
            <w:r/>
            <w:r>
              <w:rPr>
                <w:rFonts w:ascii="Times New Roman" w:hAnsi="Times New Roman" w:cs="Times New Roman"/>
                <w:sz w:val="18"/>
              </w:rPr>
              <w:t>10 / 10</w:t>
            </w:r>
          </w:p>
        </w:tc>
      </w:tr>
      <w:tr>
        <w:tc>
          <w:tcPr>
            <w:tcW w:type="dxa" w:w="3120"/>
          </w:tcPr>
          <w:p>
            <w:r/>
            <w:r>
              <w:rPr>
                <w:rFonts w:ascii="Times New Roman" w:hAnsi="Times New Roman" w:cs="Times New Roman"/>
                <w:b/>
                <w:sz w:val="18"/>
              </w:rPr>
              <w:t>Total</w:t>
            </w:r>
          </w:p>
        </w:tc>
        <w:tc>
          <w:tcPr>
            <w:tcW w:type="dxa" w:w="3120"/>
          </w:tcPr>
          <w:p>
            <w:r/>
            <w:r>
              <w:rPr>
                <w:rFonts w:ascii="Times New Roman" w:hAnsi="Times New Roman" w:cs="Times New Roman"/>
                <w:sz w:val="18"/>
              </w:rPr>
              <w:t>—</w:t>
            </w:r>
          </w:p>
        </w:tc>
        <w:tc>
          <w:tcPr>
            <w:tcW w:type="dxa" w:w="3120"/>
          </w:tcPr>
          <w:p>
            <w:r/>
            <w:r>
              <w:rPr>
                <w:rFonts w:ascii="Times New Roman" w:hAnsi="Times New Roman" w:cs="Times New Roman"/>
                <w:b/>
                <w:sz w:val="18"/>
              </w:rPr>
              <w:t>95 / 95</w:t>
            </w:r>
          </w:p>
        </w:tc>
      </w:tr>
    </w:tbl>
    <w:p>
      <w:pPr>
        <w:spacing w:after="40"/>
      </w:pPr>
    </w:p>
    <w:p>
      <w:pPr>
        <w:jc w:val="center"/>
      </w:pPr>
      <w:r>
        <w:drawing>
          <wp:inline xmlns:a="http://schemas.openxmlformats.org/drawingml/2006/main" xmlns:pic="http://schemas.openxmlformats.org/drawingml/2006/picture">
            <wp:extent cx="5943600" cy="2834640"/>
            <wp:docPr id="1" name="Picture 1"/>
            <wp:cNvGraphicFramePr>
              <a:graphicFrameLocks noChangeAspect="1"/>
            </wp:cNvGraphicFramePr>
            <a:graphic>
              <a:graphicData uri="http://schemas.openxmlformats.org/drawingml/2006/picture">
                <pic:pic>
                  <pic:nvPicPr>
                    <pic:cNvPr id="0" name="fig1_checks_passed.png"/>
                    <pic:cNvPicPr/>
                  </pic:nvPicPr>
                  <pic:blipFill>
                    <a:blip r:embed="rId9"/>
                    <a:stretch>
                      <a:fillRect/>
                    </a:stretch>
                  </pic:blipFill>
                  <pic:spPr>
                    <a:xfrm>
                      <a:off x="0" y="0"/>
                      <a:ext cx="5943600" cy="2834640"/>
                    </a:xfrm>
                    <a:prstGeom prst="rect"/>
                  </pic:spPr>
                </pic:pic>
              </a:graphicData>
            </a:graphic>
          </wp:inline>
        </w:drawing>
      </w:r>
    </w:p>
    <w:p>
      <w:pPr>
        <w:jc w:val="center"/>
      </w:pPr>
      <w:r>
        <w:rPr>
          <w:rFonts w:ascii="Times New Roman" w:hAnsi="Times New Roman" w:cs="Times New Roman"/>
          <w:b/>
          <w:sz w:val="18"/>
        </w:rPr>
        <w:t>Figure 1.</w:t>
      </w:r>
      <w:r>
        <w:rPr>
          <w:rFonts w:ascii="Times New Roman" w:hAnsi="Times New Roman" w:cs="Times New Roman"/>
          <w:sz w:val="18"/>
        </w:rPr>
        <w:t xml:space="preserve"> Acceptance checks passed per fixture on the baseline and final pipelines. The light backdrop bar is the total number of checks in each fixture. The </w:t>
      </w:r>
      <w:r>
        <w:rPr>
          <w:rFonts w:ascii="Consolas" w:hAnsi="Consolas" w:cs="Consolas"/>
          <w:sz w:val="17"/>
        </w:rPr>
        <w:t>g2p_pipeline</w:t>
      </w:r>
      <w:r>
        <w:rPr>
          <w:rFonts w:ascii="Times New Roman" w:hAnsi="Times New Roman" w:cs="Times New Roman"/>
          <w:sz w:val="18"/>
        </w:rPr>
        <w:t xml:space="preserve"> fixture has no baseline.</w:t>
      </w:r>
    </w:p>
    <w:p>
      <w:pPr>
        <w:spacing w:before="200" w:after="80"/>
      </w:pPr>
      <w:r>
        <w:rPr>
          <w:rFonts w:ascii="Times New Roman" w:hAnsi="Times New Roman" w:cs="Times New Roman"/>
          <w:b/>
          <w:sz w:val="22"/>
        </w:rPr>
        <w:t>6.3 Bilabial closure</w:t>
      </w:r>
    </w:p>
    <w:p>
      <w:pPr>
        <w:jc w:val="both"/>
      </w:pPr>
      <w:r>
        <w:rPr>
          <w:rFonts w:ascii="Times New Roman" w:hAnsi="Times New Roman" w:cs="Times New Roman"/>
          <w:sz w:val="20"/>
        </w:rPr>
        <w:t xml:space="preserve">Across the seven bilabial checks, two passed on the baseline pipeline and all seven passed on the final pipeline. On the baseline, </w:t>
      </w:r>
      <w:r>
        <w:rPr>
          <w:rFonts w:ascii="Consolas" w:hAnsi="Consolas" w:cs="Consolas"/>
          <w:sz w:val="19"/>
        </w:rPr>
        <w:t>V_Explosive</w:t>
      </w:r>
      <w:r>
        <w:rPr>
          <w:rFonts w:ascii="Times New Roman" w:hAnsi="Times New Roman" w:cs="Times New Roman"/>
          <w:sz w:val="20"/>
        </w:rPr>
        <w:t xml:space="preserve"> peaks ranged from 0.58 to 0.94, and open-shape leakage during closure reached 0.15. On the final pipeline, all peaks were between 0.93 and 0.95, open-shape leakage stayed at or below 0.08, and jaw drive at or below 0.14 (Table 2). Figure 2 shows three distinct viseme shapes produced by the final pipeline, including the sealed lips of a bilabial closure.</w:t>
      </w:r>
    </w:p>
    <w:p>
      <w:pPr>
        <w:jc w:val="center"/>
      </w:pPr>
      <w:r>
        <w:drawing>
          <wp:inline xmlns:a="http://schemas.openxmlformats.org/drawingml/2006/main" xmlns:pic="http://schemas.openxmlformats.org/drawingml/2006/picture">
            <wp:extent cx="5943600" cy="2599189"/>
            <wp:docPr id="2" name="Picture 2"/>
            <wp:cNvGraphicFramePr>
              <a:graphicFrameLocks noChangeAspect="1"/>
            </wp:cNvGraphicFramePr>
            <a:graphic>
              <a:graphicData uri="http://schemas.openxmlformats.org/drawingml/2006/picture">
                <pic:pic>
                  <pic:nvPicPr>
                    <pic:cNvPr id="0" name="fig2_viseme_montage.png"/>
                    <pic:cNvPicPr/>
                  </pic:nvPicPr>
                  <pic:blipFill>
                    <a:blip r:embed="rId10"/>
                    <a:stretch>
                      <a:fillRect/>
                    </a:stretch>
                  </pic:blipFill>
                  <pic:spPr>
                    <a:xfrm>
                      <a:off x="0" y="0"/>
                      <a:ext cx="5943600" cy="2599189"/>
                    </a:xfrm>
                    <a:prstGeom prst="rect"/>
                  </pic:spPr>
                </pic:pic>
              </a:graphicData>
            </a:graphic>
          </wp:inline>
        </w:drawing>
      </w:r>
    </w:p>
    <w:p>
      <w:pPr>
        <w:jc w:val="center"/>
      </w:pPr>
      <w:r>
        <w:rPr>
          <w:rFonts w:ascii="Times New Roman" w:hAnsi="Times New Roman" w:cs="Times New Roman"/>
          <w:b/>
          <w:sz w:val="18"/>
        </w:rPr>
        <w:t>Figure 2.</w:t>
      </w:r>
      <w:r>
        <w:rPr>
          <w:rFonts w:ascii="Times New Roman" w:hAnsi="Times New Roman" w:cs="Times New Roman"/>
          <w:sz w:val="18"/>
        </w:rPr>
        <w:t xml:space="preserve"> Distinct viseme shapes produced by the final pipeline (Unity Editor capture of the AaronImproved character): a bilabial closure with sealed lips, an open vowel driven by the merged open-mouth morph (with the facial hair following the jaw), and a labiodental lip-to-teeth contact, each annotated with the measured blendshape weight. A like-for-like baseline screenshot is not available because the character and scene camera were revised in the same change set; the before-and-after comparison is carried quantitatively by Figure 1 and Table 2.</w:t>
      </w:r>
    </w:p>
    <w:p>
      <w:pPr>
        <w:jc w:val="both"/>
      </w:pPr>
      <w:r>
        <w:rPr>
          <w:rFonts w:ascii="Times New Roman" w:hAnsi="Times New Roman" w:cs="Times New Roman"/>
          <w:sz w:val="20"/>
        </w:rPr>
        <w:t xml:space="preserve">Figure 3 traces the closure shape over the whole </w:t>
      </w:r>
      <w:r>
        <w:rPr>
          <w:rFonts w:ascii="Consolas" w:hAnsi="Consolas" w:cs="Consolas"/>
          <w:sz w:val="19"/>
        </w:rPr>
        <w:t>bilabials</w:t>
      </w:r>
      <w:r>
        <w:rPr>
          <w:rFonts w:ascii="Times New Roman" w:hAnsi="Times New Roman" w:cs="Times New Roman"/>
          <w:sz w:val="20"/>
        </w:rPr>
        <w:t xml:space="preserve"> utterance. On the final pipeline (solid line), </w:t>
      </w:r>
      <w:r>
        <w:rPr>
          <w:rFonts w:ascii="Consolas" w:hAnsi="Consolas" w:cs="Consolas"/>
          <w:sz w:val="19"/>
        </w:rPr>
        <w:t>V_Explosive</w:t>
      </w:r>
      <w:r>
        <w:rPr>
          <w:rFonts w:ascii="Times New Roman" w:hAnsi="Times New Roman" w:cs="Times New Roman"/>
          <w:sz w:val="20"/>
        </w:rPr>
        <w:t xml:space="preserve"> reaches the 0.90 threshold at each /p b m/ instant, and the summed open-mouth shapes (dashed) fall to near zero at those same instants, rising only for the vowels between closures. On the baseline pipeline (faded line), the closure peaks are lower and later at several checks.</w:t>
      </w:r>
    </w:p>
    <w:p>
      <w:pPr>
        <w:jc w:val="center"/>
      </w:pPr>
      <w:r>
        <w:drawing>
          <wp:inline xmlns:a="http://schemas.openxmlformats.org/drawingml/2006/main" xmlns:pic="http://schemas.openxmlformats.org/drawingml/2006/picture">
            <wp:extent cx="5943600" cy="2834640"/>
            <wp:docPr id="3" name="Picture 3"/>
            <wp:cNvGraphicFramePr>
              <a:graphicFrameLocks noChangeAspect="1"/>
            </wp:cNvGraphicFramePr>
            <a:graphic>
              <a:graphicData uri="http://schemas.openxmlformats.org/drawingml/2006/picture">
                <pic:pic>
                  <pic:nvPicPr>
                    <pic:cNvPr id="0" name="fig3_bilabial_curves.png"/>
                    <pic:cNvPicPr/>
                  </pic:nvPicPr>
                  <pic:blipFill>
                    <a:blip r:embed="rId11"/>
                    <a:stretch>
                      <a:fillRect/>
                    </a:stretch>
                  </pic:blipFill>
                  <pic:spPr>
                    <a:xfrm>
                      <a:off x="0" y="0"/>
                      <a:ext cx="5943600" cy="2834640"/>
                    </a:xfrm>
                    <a:prstGeom prst="rect"/>
                  </pic:spPr>
                </pic:pic>
              </a:graphicData>
            </a:graphic>
          </wp:inline>
        </w:drawing>
      </w:r>
    </w:p>
    <w:p>
      <w:pPr>
        <w:jc w:val="center"/>
      </w:pPr>
      <w:r>
        <w:rPr>
          <w:rFonts w:ascii="Times New Roman" w:hAnsi="Times New Roman" w:cs="Times New Roman"/>
          <w:b/>
          <w:sz w:val="18"/>
        </w:rPr>
        <w:t>Figure 3.</w:t>
      </w:r>
      <w:r>
        <w:rPr>
          <w:rFonts w:ascii="Times New Roman" w:hAnsi="Times New Roman" w:cs="Times New Roman"/>
          <w:sz w:val="18"/>
        </w:rPr>
        <w:t xml:space="preserve"> Closure shape </w:t>
      </w:r>
      <w:r>
        <w:rPr>
          <w:rFonts w:ascii="Consolas" w:hAnsi="Consolas" w:cs="Consolas"/>
          <w:sz w:val="17"/>
        </w:rPr>
        <w:t>V_Explosive</w:t>
      </w:r>
      <w:r>
        <w:rPr>
          <w:rFonts w:ascii="Times New Roman" w:hAnsi="Times New Roman" w:cs="Times New Roman"/>
          <w:sz w:val="18"/>
        </w:rPr>
        <w:t xml:space="preserve"> over time for the </w:t>
      </w:r>
      <w:r>
        <w:rPr>
          <w:rFonts w:ascii="Consolas" w:hAnsi="Consolas" w:cs="Consolas"/>
          <w:sz w:val="17"/>
        </w:rPr>
        <w:t>bilabials</w:t>
      </w:r>
      <w:r>
        <w:rPr>
          <w:rFonts w:ascii="Times New Roman" w:hAnsi="Times New Roman" w:cs="Times New Roman"/>
          <w:sz w:val="18"/>
        </w:rPr>
        <w:t xml:space="preserve"> fixture, baseline versus final, with the summed open-mouth shapes (</w:t>
      </w:r>
      <w:r>
        <w:rPr>
          <w:rFonts w:ascii="Consolas" w:hAnsi="Consolas" w:cs="Consolas"/>
          <w:sz w:val="17"/>
        </w:rPr>
        <w:t>V_Open</w:t>
      </w:r>
      <w:r>
        <w:rPr>
          <w:rFonts w:ascii="Times New Roman" w:hAnsi="Times New Roman" w:cs="Times New Roman"/>
          <w:sz w:val="18"/>
        </w:rPr>
        <w:t xml:space="preserve"> + </w:t>
      </w:r>
      <w:r>
        <w:rPr>
          <w:rFonts w:ascii="Consolas" w:hAnsi="Consolas" w:cs="Consolas"/>
          <w:sz w:val="17"/>
        </w:rPr>
        <w:t>V_Lip_Open</w:t>
      </w:r>
      <w:r>
        <w:rPr>
          <w:rFonts w:ascii="Times New Roman" w:hAnsi="Times New Roman" w:cs="Times New Roman"/>
          <w:sz w:val="18"/>
        </w:rPr>
        <w:t>) on the final pipeline. The dotted line is the 0.90 acceptance threshold; grey verticals mark the /p b m/ check times. Open shapes rise for vowels between closures, which is expected, but are suppressed at the closure instants.</w:t>
      </w:r>
    </w:p>
    <w:p>
      <w:pPr>
        <w:spacing w:before="200" w:after="80"/>
      </w:pPr>
      <w:r>
        <w:rPr>
          <w:rFonts w:ascii="Times New Roman" w:hAnsi="Times New Roman" w:cs="Times New Roman"/>
          <w:b/>
          <w:sz w:val="22"/>
        </w:rPr>
        <w:t>6.4 Labiodental contact</w:t>
      </w:r>
    </w:p>
    <w:p>
      <w:pPr>
        <w:jc w:val="both"/>
      </w:pPr>
      <w:r>
        <w:rPr>
          <w:rFonts w:ascii="Times New Roman" w:hAnsi="Times New Roman" w:cs="Times New Roman"/>
          <w:sz w:val="20"/>
        </w:rPr>
        <w:t>Across the seven labiodental checks, four passed on the baseline pipeline and all seven passed on the final pipeline. Baseline peaks ranged from 0.525 to 0.90, with the lowest values ("V-of" at 0.525 and "F-fine" at 0.788) below the 0.80 threshold. Final peaks were all between 0.94 and 0.95.</w:t>
      </w:r>
    </w:p>
    <w:p>
      <w:pPr>
        <w:spacing w:before="200" w:after="80"/>
      </w:pPr>
      <w:r>
        <w:rPr>
          <w:rFonts w:ascii="Times New Roman" w:hAnsi="Times New Roman" w:cs="Times New Roman"/>
          <w:b/>
          <w:sz w:val="22"/>
        </w:rPr>
        <w:t>6.5 Tongue activation</w:t>
      </w:r>
    </w:p>
    <w:p>
      <w:pPr>
        <w:jc w:val="both"/>
      </w:pPr>
      <w:r>
        <w:rPr>
          <w:rFonts w:ascii="Times New Roman" w:hAnsi="Times New Roman" w:cs="Times New Roman"/>
          <w:sz w:val="20"/>
        </w:rPr>
        <w:t xml:space="preserve">On the baseline pipeline, all 27 tongue checks across the fixtures measured exactly 0.00, indicating the tongue shapes were unused. On the final pipeline, every tongue check passed, with measured peaks ranging from 0.40 to 0.72 (for example, </w:t>
      </w:r>
      <w:r>
        <w:rPr>
          <w:rFonts w:ascii="Consolas" w:hAnsi="Consolas" w:cs="Consolas"/>
          <w:sz w:val="19"/>
        </w:rPr>
        <w:t>V_Tongue_up</w:t>
      </w:r>
      <w:r>
        <w:rPr>
          <w:rFonts w:ascii="Times New Roman" w:hAnsi="Times New Roman" w:cs="Times New Roman"/>
          <w:sz w:val="20"/>
        </w:rPr>
        <w:t xml:space="preserve"> reached 0.62 at the "N-no" check and 0.72 at the "D-would" check).</w:t>
      </w:r>
    </w:p>
    <w:p>
      <w:pPr>
        <w:spacing w:before="200" w:after="80"/>
      </w:pPr>
      <w:r>
        <w:rPr>
          <w:rFonts w:ascii="Times New Roman" w:hAnsi="Times New Roman" w:cs="Times New Roman"/>
          <w:b/>
          <w:sz w:val="22"/>
        </w:rPr>
        <w:t>6.6 Silence and segment-end behaviour</w:t>
      </w:r>
    </w:p>
    <w:p>
      <w:pPr>
        <w:jc w:val="both"/>
      </w:pPr>
      <w:r>
        <w:rPr>
          <w:rFonts w:ascii="Times New Roman" w:hAnsi="Times New Roman" w:cs="Times New Roman"/>
          <w:sz w:val="20"/>
        </w:rPr>
        <w:t>On the baseline pipeline, the three pause checks measured maximum lip weights of 0.15, 0.17, and 0.54, all above the 0.10 threshold, and every fixture took 313 to 324 ms to decay, above the 250 ms threshold. On the final pipeline, the pause checks measured 0.00, 0.04, and 0.10, and decay times fell to between 30 and 95 ms.</w:t>
      </w:r>
    </w:p>
    <w:p>
      <w:pPr>
        <w:spacing w:before="200" w:after="80"/>
      </w:pPr>
      <w:r>
        <w:rPr>
          <w:rFonts w:ascii="Times New Roman" w:hAnsi="Times New Roman" w:cs="Times New Roman"/>
          <w:b/>
          <w:sz w:val="22"/>
        </w:rPr>
        <w:t>6.7 Grapheme-to-phoneme pipeline fixture</w:t>
      </w:r>
    </w:p>
    <w:p>
      <w:pPr>
        <w:jc w:val="both"/>
      </w:pPr>
      <w:r>
        <w:rPr>
          <w:rFonts w:ascii="Times New Roman" w:hAnsi="Times New Roman" w:cs="Times New Roman"/>
          <w:sz w:val="20"/>
        </w:rPr>
        <w:t xml:space="preserve">The </w:t>
      </w:r>
      <w:r>
        <w:rPr>
          <w:rFonts w:ascii="Consolas" w:hAnsi="Consolas" w:cs="Consolas"/>
          <w:sz w:val="19"/>
        </w:rPr>
        <w:t>g2p_pipeline</w:t>
      </w:r>
      <w:r>
        <w:rPr>
          <w:rFonts w:ascii="Times New Roman" w:hAnsi="Times New Roman" w:cs="Times New Roman"/>
          <w:sz w:val="20"/>
        </w:rPr>
        <w:t xml:space="preserve"> fixture passed all 10 of its checks on the final pipeline, including bilabial peaks of 0.91 to 0.95, labiodental peaks of 0.93 to 0.94, and a tongue reading of 0.40 at the dental check. No baseline was recorded for this fixture because it was introduced with the final pipeline.</w:t>
      </w:r>
    </w:p>
    <w:p>
      <w:pPr>
        <w:spacing w:before="200" w:after="80"/>
      </w:pPr>
      <w:r>
        <w:rPr>
          <w:rFonts w:ascii="Times New Roman" w:hAnsi="Times New Roman" w:cs="Times New Roman"/>
          <w:b/>
          <w:sz w:val="22"/>
        </w:rPr>
        <w:t>6.8 Motion smoothness</w:t>
      </w:r>
    </w:p>
    <w:p>
      <w:pPr>
        <w:jc w:val="both"/>
      </w:pPr>
      <w:r>
        <w:rPr>
          <w:rFonts w:ascii="Times New Roman" w:hAnsi="Times New Roman" w:cs="Times New Roman"/>
          <w:sz w:val="20"/>
        </w:rPr>
        <w:t xml:space="preserve">Jitter RMS increased on every fixture from baseline to final. Across the hand-authored fixtures it rose from a baseline range of 0.0056 to 0.0125 to a final range of 0.0115 to 0.0191 (for example, </w:t>
      </w:r>
      <w:r>
        <w:rPr>
          <w:rFonts w:ascii="Consolas" w:hAnsi="Consolas" w:cs="Consolas"/>
          <w:sz w:val="19"/>
        </w:rPr>
        <w:t>bilabials</w:t>
      </w:r>
      <w:r>
        <w:rPr>
          <w:rFonts w:ascii="Times New Roman" w:hAnsi="Times New Roman" w:cs="Times New Roman"/>
          <w:sz w:val="20"/>
        </w:rPr>
        <w:t xml:space="preserve"> rose from 0.0125 to 0.0191 and </w:t>
      </w:r>
      <w:r>
        <w:rPr>
          <w:rFonts w:ascii="Consolas" w:hAnsi="Consolas" w:cs="Consolas"/>
          <w:sz w:val="19"/>
        </w:rPr>
        <w:t>dental</w:t>
      </w:r>
      <w:r>
        <w:rPr>
          <w:rFonts w:ascii="Times New Roman" w:hAnsi="Times New Roman" w:cs="Times New Roman"/>
          <w:sz w:val="20"/>
        </w:rPr>
        <w:t xml:space="preserve"> from 0.0056 to 0.0124); the </w:t>
      </w:r>
      <w:r>
        <w:rPr>
          <w:rFonts w:ascii="Consolas" w:hAnsi="Consolas" w:cs="Consolas"/>
          <w:sz w:val="19"/>
        </w:rPr>
        <w:t>g2p_pipeline</w:t>
      </w:r>
      <w:r>
        <w:rPr>
          <w:rFonts w:ascii="Times New Roman" w:hAnsi="Times New Roman" w:cs="Times New Roman"/>
          <w:sz w:val="20"/>
        </w:rPr>
        <w:t xml:space="preserve"> fixture measured 0.0270. No oscillation was observed in the recorded curves.</w:t>
      </w:r>
    </w:p>
    <w:p>
      <w:pPr>
        <w:jc w:val="center"/>
      </w:pPr>
      <w:r>
        <w:rPr>
          <w:rFonts w:ascii="Times New Roman" w:hAnsi="Times New Roman" w:cs="Times New Roman"/>
          <w:b/>
          <w:sz w:val="18"/>
        </w:rPr>
        <w:t>Table 2.</w:t>
      </w:r>
      <w:r>
        <w:rPr>
          <w:rFonts w:ascii="Times New Roman" w:hAnsi="Times New Roman" w:cs="Times New Roman"/>
          <w:sz w:val="18"/>
        </w:rPr>
        <w:t xml:space="preserve"> Key articulation metrics by criterion, baseline versus final pipeline. Values are measured blendshape weights at the relevant check (0 to 1 scale) unless stated; decay is in milliseconds. Thresholds are the acceptance criteria.</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b/>
                <w:sz w:val="18"/>
              </w:rPr>
              <w:t>Criterion (threshold)</w:t>
            </w:r>
          </w:p>
        </w:tc>
        <w:tc>
          <w:tcPr>
            <w:tcW w:type="dxa" w:w="3120"/>
          </w:tcPr>
          <w:p>
            <w:r/>
            <w:r>
              <w:rPr>
                <w:rFonts w:ascii="Times New Roman" w:hAnsi="Times New Roman" w:cs="Times New Roman"/>
                <w:b/>
                <w:sz w:val="18"/>
              </w:rPr>
              <w:t>Baseline</w:t>
            </w:r>
          </w:p>
        </w:tc>
        <w:tc>
          <w:tcPr>
            <w:tcW w:type="dxa" w:w="3120"/>
          </w:tcPr>
          <w:p>
            <w:r/>
            <w:r>
              <w:rPr>
                <w:rFonts w:ascii="Times New Roman" w:hAnsi="Times New Roman" w:cs="Times New Roman"/>
                <w:b/>
                <w:sz w:val="18"/>
              </w:rPr>
              <w:t>Final</w:t>
            </w:r>
          </w:p>
        </w:tc>
      </w:tr>
      <w:tr>
        <w:tc>
          <w:tcPr>
            <w:tcW w:type="dxa" w:w="3120"/>
          </w:tcPr>
          <w:p>
            <w:r/>
            <w:r>
              <w:rPr>
                <w:rFonts w:ascii="Times New Roman" w:hAnsi="Times New Roman" w:cs="Times New Roman"/>
                <w:sz w:val="18"/>
              </w:rPr>
              <w:t xml:space="preserve">Bilabial </w:t>
            </w:r>
            <w:r>
              <w:rPr>
                <w:rFonts w:ascii="Consolas" w:hAnsi="Consolas" w:cs="Consolas"/>
                <w:sz w:val="17"/>
              </w:rPr>
              <w:t>V_Explosive</w:t>
            </w:r>
            <w:r>
              <w:rPr>
                <w:rFonts w:ascii="Times New Roman" w:hAnsi="Times New Roman" w:cs="Times New Roman"/>
                <w:sz w:val="18"/>
              </w:rPr>
              <w:t xml:space="preserve"> peak (≥ 0.90)</w:t>
            </w:r>
          </w:p>
        </w:tc>
        <w:tc>
          <w:tcPr>
            <w:tcW w:type="dxa" w:w="3120"/>
          </w:tcPr>
          <w:p>
            <w:r/>
            <w:r>
              <w:rPr>
                <w:rFonts w:ascii="Times New Roman" w:hAnsi="Times New Roman" w:cs="Times New Roman"/>
                <w:sz w:val="18"/>
              </w:rPr>
              <w:t>0.58 to 0.94</w:t>
            </w:r>
          </w:p>
        </w:tc>
        <w:tc>
          <w:tcPr>
            <w:tcW w:type="dxa" w:w="3120"/>
          </w:tcPr>
          <w:p>
            <w:r/>
            <w:r>
              <w:rPr>
                <w:rFonts w:ascii="Times New Roman" w:hAnsi="Times New Roman" w:cs="Times New Roman"/>
                <w:sz w:val="18"/>
              </w:rPr>
              <w:t>0.93 to 0.95</w:t>
            </w:r>
          </w:p>
        </w:tc>
      </w:tr>
      <w:tr>
        <w:tc>
          <w:tcPr>
            <w:tcW w:type="dxa" w:w="3120"/>
          </w:tcPr>
          <w:p>
            <w:r/>
            <w:r>
              <w:rPr>
                <w:rFonts w:ascii="Times New Roman" w:hAnsi="Times New Roman" w:cs="Times New Roman"/>
                <w:sz w:val="18"/>
              </w:rPr>
              <w:t>Bilabial open-shape leakage (≤ 0.15)</w:t>
            </w:r>
          </w:p>
        </w:tc>
        <w:tc>
          <w:tcPr>
            <w:tcW w:type="dxa" w:w="3120"/>
          </w:tcPr>
          <w:p>
            <w:r/>
            <w:r>
              <w:rPr>
                <w:rFonts w:ascii="Times New Roman" w:hAnsi="Times New Roman" w:cs="Times New Roman"/>
                <w:sz w:val="18"/>
              </w:rPr>
              <w:t>up to 0.15</w:t>
            </w:r>
          </w:p>
        </w:tc>
        <w:tc>
          <w:tcPr>
            <w:tcW w:type="dxa" w:w="3120"/>
          </w:tcPr>
          <w:p>
            <w:r/>
            <w:r>
              <w:rPr>
                <w:rFonts w:ascii="Times New Roman" w:hAnsi="Times New Roman" w:cs="Times New Roman"/>
                <w:sz w:val="18"/>
              </w:rPr>
              <w:t>≤ 0.08</w:t>
            </w:r>
          </w:p>
        </w:tc>
      </w:tr>
      <w:tr>
        <w:tc>
          <w:tcPr>
            <w:tcW w:type="dxa" w:w="3120"/>
          </w:tcPr>
          <w:p>
            <w:r/>
            <w:r>
              <w:rPr>
                <w:rFonts w:ascii="Times New Roman" w:hAnsi="Times New Roman" w:cs="Times New Roman"/>
                <w:sz w:val="18"/>
              </w:rPr>
              <w:t xml:space="preserve">Labiodental </w:t>
            </w:r>
            <w:r>
              <w:rPr>
                <w:rFonts w:ascii="Consolas" w:hAnsi="Consolas" w:cs="Consolas"/>
                <w:sz w:val="17"/>
              </w:rPr>
              <w:t>V_Dental_Lip</w:t>
            </w:r>
            <w:r>
              <w:rPr>
                <w:rFonts w:ascii="Times New Roman" w:hAnsi="Times New Roman" w:cs="Times New Roman"/>
                <w:sz w:val="18"/>
              </w:rPr>
              <w:t xml:space="preserve"> peak (≥ 0.80)</w:t>
            </w:r>
          </w:p>
        </w:tc>
        <w:tc>
          <w:tcPr>
            <w:tcW w:type="dxa" w:w="3120"/>
          </w:tcPr>
          <w:p>
            <w:r/>
            <w:r>
              <w:rPr>
                <w:rFonts w:ascii="Times New Roman" w:hAnsi="Times New Roman" w:cs="Times New Roman"/>
                <w:sz w:val="18"/>
              </w:rPr>
              <w:t>0.525 to 0.90</w:t>
            </w:r>
          </w:p>
        </w:tc>
        <w:tc>
          <w:tcPr>
            <w:tcW w:type="dxa" w:w="3120"/>
          </w:tcPr>
          <w:p>
            <w:r/>
            <w:r>
              <w:rPr>
                <w:rFonts w:ascii="Times New Roman" w:hAnsi="Times New Roman" w:cs="Times New Roman"/>
                <w:sz w:val="18"/>
              </w:rPr>
              <w:t>0.94 to 0.95</w:t>
            </w:r>
          </w:p>
        </w:tc>
      </w:tr>
      <w:tr>
        <w:tc>
          <w:tcPr>
            <w:tcW w:type="dxa" w:w="3120"/>
          </w:tcPr>
          <w:p>
            <w:r/>
            <w:r>
              <w:rPr>
                <w:rFonts w:ascii="Times New Roman" w:hAnsi="Times New Roman" w:cs="Times New Roman"/>
                <w:sz w:val="18"/>
              </w:rPr>
              <w:t>Tongue shape peak (≥ 0.30)</w:t>
            </w:r>
          </w:p>
        </w:tc>
        <w:tc>
          <w:tcPr>
            <w:tcW w:type="dxa" w:w="3120"/>
          </w:tcPr>
          <w:p>
            <w:r/>
            <w:r>
              <w:rPr>
                <w:rFonts w:ascii="Times New Roman" w:hAnsi="Times New Roman" w:cs="Times New Roman"/>
                <w:sz w:val="18"/>
              </w:rPr>
              <w:t>0.00 (all 27 checks)</w:t>
            </w:r>
          </w:p>
        </w:tc>
        <w:tc>
          <w:tcPr>
            <w:tcW w:type="dxa" w:w="3120"/>
          </w:tcPr>
          <w:p>
            <w:r/>
            <w:r>
              <w:rPr>
                <w:rFonts w:ascii="Times New Roman" w:hAnsi="Times New Roman" w:cs="Times New Roman"/>
                <w:sz w:val="18"/>
              </w:rPr>
              <w:t>0.40 to 0.72</w:t>
            </w:r>
          </w:p>
        </w:tc>
      </w:tr>
      <w:tr>
        <w:tc>
          <w:tcPr>
            <w:tcW w:type="dxa" w:w="3120"/>
          </w:tcPr>
          <w:p>
            <w:r/>
            <w:r>
              <w:rPr>
                <w:rFonts w:ascii="Times New Roman" w:hAnsi="Times New Roman" w:cs="Times New Roman"/>
                <w:sz w:val="18"/>
              </w:rPr>
              <w:t>Silence max lip weight (&lt; 0.10)</w:t>
            </w:r>
          </w:p>
        </w:tc>
        <w:tc>
          <w:tcPr>
            <w:tcW w:type="dxa" w:w="3120"/>
          </w:tcPr>
          <w:p>
            <w:r/>
            <w:r>
              <w:rPr>
                <w:rFonts w:ascii="Times New Roman" w:hAnsi="Times New Roman" w:cs="Times New Roman"/>
                <w:sz w:val="18"/>
              </w:rPr>
              <w:t>0.15, 0.17, 0.54</w:t>
            </w:r>
          </w:p>
        </w:tc>
        <w:tc>
          <w:tcPr>
            <w:tcW w:type="dxa" w:w="3120"/>
          </w:tcPr>
          <w:p>
            <w:r/>
            <w:r>
              <w:rPr>
                <w:rFonts w:ascii="Times New Roman" w:hAnsi="Times New Roman" w:cs="Times New Roman"/>
                <w:sz w:val="18"/>
              </w:rPr>
              <w:t>0.00, 0.04, 0.10</w:t>
            </w:r>
          </w:p>
        </w:tc>
      </w:tr>
      <w:tr>
        <w:tc>
          <w:tcPr>
            <w:tcW w:type="dxa" w:w="3120"/>
          </w:tcPr>
          <w:p>
            <w:r/>
            <w:r>
              <w:rPr>
                <w:rFonts w:ascii="Times New Roman" w:hAnsi="Times New Roman" w:cs="Times New Roman"/>
                <w:sz w:val="18"/>
              </w:rPr>
              <w:t>Segment-end decay (&lt; 250 ms)</w:t>
            </w:r>
          </w:p>
        </w:tc>
        <w:tc>
          <w:tcPr>
            <w:tcW w:type="dxa" w:w="3120"/>
          </w:tcPr>
          <w:p>
            <w:r/>
            <w:r>
              <w:rPr>
                <w:rFonts w:ascii="Times New Roman" w:hAnsi="Times New Roman" w:cs="Times New Roman"/>
                <w:sz w:val="18"/>
              </w:rPr>
              <w:t>313 to 324 ms</w:t>
            </w:r>
          </w:p>
        </w:tc>
        <w:tc>
          <w:tcPr>
            <w:tcW w:type="dxa" w:w="3120"/>
          </w:tcPr>
          <w:p>
            <w:r/>
            <w:r>
              <w:rPr>
                <w:rFonts w:ascii="Times New Roman" w:hAnsi="Times New Roman" w:cs="Times New Roman"/>
                <w:sz w:val="18"/>
              </w:rPr>
              <w:t>30 to 95 ms</w:t>
            </w:r>
          </w:p>
        </w:tc>
      </w:tr>
      <w:tr>
        <w:tc>
          <w:tcPr>
            <w:tcW w:type="dxa" w:w="3120"/>
          </w:tcPr>
          <w:p>
            <w:r/>
            <w:r>
              <w:rPr>
                <w:rFonts w:ascii="Times New Roman" w:hAnsi="Times New Roman" w:cs="Times New Roman"/>
                <w:sz w:val="18"/>
              </w:rPr>
              <w:t>Jitter RMS (reported, not gated; lower = smoother)</w:t>
            </w:r>
          </w:p>
        </w:tc>
        <w:tc>
          <w:tcPr>
            <w:tcW w:type="dxa" w:w="3120"/>
          </w:tcPr>
          <w:p>
            <w:r/>
            <w:r>
              <w:rPr>
                <w:rFonts w:ascii="Times New Roman" w:hAnsi="Times New Roman" w:cs="Times New Roman"/>
                <w:sz w:val="18"/>
              </w:rPr>
              <w:t>0.0056 to 0.0125</w:t>
            </w:r>
          </w:p>
        </w:tc>
        <w:tc>
          <w:tcPr>
            <w:tcW w:type="dxa" w:w="3120"/>
          </w:tcPr>
          <w:p>
            <w:r/>
            <w:r>
              <w:rPr>
                <w:rFonts w:ascii="Times New Roman" w:hAnsi="Times New Roman" w:cs="Times New Roman"/>
                <w:sz w:val="18"/>
              </w:rPr>
              <w:t>0.0115 to 0.0191</w:t>
            </w:r>
          </w:p>
        </w:tc>
      </w:tr>
    </w:tbl>
    <w:p>
      <w:pPr>
        <w:spacing w:after="40"/>
      </w:pPr>
    </w:p>
    <w:p>
      <w:pPr>
        <w:spacing w:before="200" w:after="80"/>
      </w:pPr>
      <w:r>
        <w:rPr>
          <w:rFonts w:ascii="Times New Roman" w:hAnsi="Times New Roman" w:cs="Times New Roman"/>
          <w:b/>
          <w:sz w:val="22"/>
        </w:rPr>
        <w:t>6.9 Retrieval-augmented generation: grounding evaluation</w:t>
      </w:r>
    </w:p>
    <w:p>
      <w:pPr>
        <w:jc w:val="both"/>
      </w:pPr>
      <w:r>
        <w:rPr>
          <w:rFonts w:ascii="Times New Roman" w:hAnsi="Times New Roman" w:cs="Times New Roman"/>
          <w:sz w:val="20"/>
        </w:rPr>
        <w:t xml:space="preserve">The RAG protocol (§4.3) was executed on 2026-07-13 against the live 449-chunk knowledge base using the question set in </w:t>
      </w:r>
      <w:r>
        <w:rPr>
          <w:rFonts w:ascii="Consolas" w:hAnsi="Consolas" w:cs="Consolas"/>
          <w:sz w:val="19"/>
        </w:rPr>
        <w:t>rag_eval_question_set.md</w:t>
      </w:r>
      <w:r>
        <w:rPr>
          <w:rFonts w:ascii="Times New Roman" w:hAnsi="Times New Roman" w:cs="Times New Roman"/>
          <w:sz w:val="20"/>
        </w:rPr>
        <w:t xml:space="preserve"> (harness: </w:t>
      </w:r>
      <w:r>
        <w:rPr>
          <w:rFonts w:ascii="Consolas" w:hAnsi="Consolas" w:cs="Consolas"/>
          <w:sz w:val="19"/>
        </w:rPr>
        <w:t>scripts/rag-eval.mjs</w:t>
      </w:r>
      <w:r>
        <w:rPr>
          <w:rFonts w:ascii="Times New Roman" w:hAnsi="Times New Roman" w:cs="Times New Roman"/>
          <w:sz w:val="20"/>
        </w:rPr>
        <w:t xml:space="preserve">; raw output: </w:t>
      </w:r>
      <w:r>
        <w:rPr>
          <w:rFonts w:ascii="Consolas" w:hAnsi="Consolas" w:cs="Consolas"/>
          <w:sz w:val="19"/>
        </w:rPr>
        <w:t>rag_eval_results.csv</w:t>
      </w:r>
      <w:r>
        <w:rPr>
          <w:rFonts w:ascii="Times New Roman" w:hAnsi="Times New Roman" w:cs="Times New Roman"/>
          <w:sz w:val="20"/>
        </w:rPr>
        <w:t>).</w:t>
      </w:r>
    </w:p>
    <w:p>
      <w:pPr>
        <w:jc w:val="both"/>
      </w:pPr>
      <w:r>
        <w:rPr>
          <w:rFonts w:ascii="Times New Roman" w:hAnsi="Times New Roman" w:cs="Times New Roman"/>
          <w:b/>
          <w:sz w:val="20"/>
        </w:rPr>
        <w:t>Retrieval.</w:t>
      </w:r>
      <w:r>
        <w:rPr>
          <w:rFonts w:ascii="Times New Roman" w:hAnsi="Times New Roman" w:cs="Times New Roman"/>
          <w:sz w:val="20"/>
        </w:rPr>
        <w:t xml:space="preserve"> The evaluation was run twice: once on the initial retrieval path, and once after a source-family diversity cap was added to address the corpus imbalance found in the first run (below). On the initial path, 29 of the 32 in-scope questions retrieved an expected chunk within the top five; the three misses fell in the best-practices (two) and communication (one) categories, where topically related WHO/NZ iSupport course chunks (all stored under the caregiving category) ranked above the hand-authored target. Inspecting the wider candidate list showed the two best-practices targets sitting just outside the top five (ranks 7 and 6), while the communication target was beyond rank 50. Over-fetching candidates and capping the iSupport source family at two before taking the top five (now applied in </w:t>
      </w:r>
      <w:r>
        <w:rPr>
          <w:rFonts w:ascii="Consolas" w:hAnsi="Consolas" w:cs="Consolas"/>
          <w:sz w:val="19"/>
        </w:rPr>
        <w:t>openaiService.search</w:t>
      </w:r>
      <w:r>
        <w:rPr>
          <w:rFonts w:ascii="Times New Roman" w:hAnsi="Times New Roman" w:cs="Times New Roman"/>
          <w:sz w:val="20"/>
        </w:rPr>
        <w:t>) recovered both best-practices targets, raising retrieval to 31 of 32; the communication target (A17) remained a miss because it was not competitive in the candidate set, and its answer was grounded in the iSupport validation-therapy content that was retrieved instead. Table 4 gives the post-cap per-category counts. The six caregiving questions retrieved their expected chunk in both runs despite the 387 competing iSupport chunks.</w:t>
      </w:r>
    </w:p>
    <w:p>
      <w:pPr>
        <w:jc w:val="center"/>
      </w:pPr>
      <w:r>
        <w:rPr>
          <w:rFonts w:ascii="Times New Roman" w:hAnsi="Times New Roman" w:cs="Times New Roman"/>
          <w:b/>
          <w:sz w:val="18"/>
        </w:rPr>
        <w:t>Table 4.</w:t>
      </w:r>
      <w:r>
        <w:rPr>
          <w:rFonts w:ascii="Times New Roman" w:hAnsi="Times New Roman" w:cs="Times New Roman"/>
          <w:sz w:val="18"/>
        </w:rPr>
        <w:t xml:space="preserve"> In-scope retrieval hits by category after the source-family cap (an expected chunk in the top five). Initial-run total before the cap was 29 of 32.</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cs="Times New Roman"/>
                <w:b/>
                <w:sz w:val="18"/>
              </w:rPr>
              <w:t>Category</w:t>
            </w:r>
          </w:p>
        </w:tc>
        <w:tc>
          <w:tcPr>
            <w:tcW w:type="dxa" w:w="4680"/>
          </w:tcPr>
          <w:p>
            <w:r/>
            <w:r>
              <w:rPr>
                <w:rFonts w:ascii="Times New Roman" w:hAnsi="Times New Roman" w:cs="Times New Roman"/>
                <w:b/>
                <w:sz w:val="18"/>
              </w:rPr>
              <w:t>Hits / questions</w:t>
            </w:r>
          </w:p>
        </w:tc>
      </w:tr>
      <w:tr>
        <w:tc>
          <w:tcPr>
            <w:tcW w:type="dxa" w:w="4680"/>
          </w:tcPr>
          <w:p>
            <w:r/>
            <w:r>
              <w:rPr>
                <w:rFonts w:ascii="Times New Roman" w:hAnsi="Times New Roman" w:cs="Times New Roman"/>
                <w:sz w:val="18"/>
              </w:rPr>
              <w:t>caregiving</w:t>
            </w:r>
          </w:p>
        </w:tc>
        <w:tc>
          <w:tcPr>
            <w:tcW w:type="dxa" w:w="4680"/>
          </w:tcPr>
          <w:p>
            <w:r/>
            <w:r>
              <w:rPr>
                <w:rFonts w:ascii="Times New Roman" w:hAnsi="Times New Roman" w:cs="Times New Roman"/>
                <w:sz w:val="18"/>
              </w:rPr>
              <w:t>6 / 6</w:t>
            </w:r>
          </w:p>
        </w:tc>
      </w:tr>
      <w:tr>
        <w:tc>
          <w:tcPr>
            <w:tcW w:type="dxa" w:w="4680"/>
          </w:tcPr>
          <w:p>
            <w:r/>
            <w:r>
              <w:rPr>
                <w:rFonts w:ascii="Times New Roman" w:hAnsi="Times New Roman" w:cs="Times New Roman"/>
                <w:sz w:val="18"/>
              </w:rPr>
              <w:t>clinical</w:t>
            </w:r>
          </w:p>
        </w:tc>
        <w:tc>
          <w:tcPr>
            <w:tcW w:type="dxa" w:w="4680"/>
          </w:tcPr>
          <w:p>
            <w:r/>
            <w:r>
              <w:rPr>
                <w:rFonts w:ascii="Times New Roman" w:hAnsi="Times New Roman" w:cs="Times New Roman"/>
                <w:sz w:val="18"/>
              </w:rPr>
              <w:t>5 / 5</w:t>
            </w:r>
          </w:p>
        </w:tc>
      </w:tr>
      <w:tr>
        <w:tc>
          <w:tcPr>
            <w:tcW w:type="dxa" w:w="4680"/>
          </w:tcPr>
          <w:p>
            <w:r/>
            <w:r>
              <w:rPr>
                <w:rFonts w:ascii="Times New Roman" w:hAnsi="Times New Roman" w:cs="Times New Roman"/>
                <w:sz w:val="18"/>
              </w:rPr>
              <w:t>home-safety</w:t>
            </w:r>
          </w:p>
        </w:tc>
        <w:tc>
          <w:tcPr>
            <w:tcW w:type="dxa" w:w="4680"/>
          </w:tcPr>
          <w:p>
            <w:r/>
            <w:r>
              <w:rPr>
                <w:rFonts w:ascii="Times New Roman" w:hAnsi="Times New Roman" w:cs="Times New Roman"/>
                <w:sz w:val="18"/>
              </w:rPr>
              <w:t>3 / 3</w:t>
            </w:r>
          </w:p>
        </w:tc>
      </w:tr>
      <w:tr>
        <w:tc>
          <w:tcPr>
            <w:tcW w:type="dxa" w:w="4680"/>
          </w:tcPr>
          <w:p>
            <w:r/>
            <w:r>
              <w:rPr>
                <w:rFonts w:ascii="Times New Roman" w:hAnsi="Times New Roman" w:cs="Times New Roman"/>
                <w:sz w:val="18"/>
              </w:rPr>
              <w:t>prevention</w:t>
            </w:r>
          </w:p>
        </w:tc>
        <w:tc>
          <w:tcPr>
            <w:tcW w:type="dxa" w:w="4680"/>
          </w:tcPr>
          <w:p>
            <w:r/>
            <w:r>
              <w:rPr>
                <w:rFonts w:ascii="Times New Roman" w:hAnsi="Times New Roman" w:cs="Times New Roman"/>
                <w:sz w:val="18"/>
              </w:rPr>
              <w:t>4 / 4</w:t>
            </w:r>
          </w:p>
        </w:tc>
      </w:tr>
      <w:tr>
        <w:tc>
          <w:tcPr>
            <w:tcW w:type="dxa" w:w="4680"/>
          </w:tcPr>
          <w:p>
            <w:r/>
            <w:r>
              <w:rPr>
                <w:rFonts w:ascii="Times New Roman" w:hAnsi="Times New Roman" w:cs="Times New Roman"/>
                <w:sz w:val="18"/>
              </w:rPr>
              <w:t>wellbeing</w:t>
            </w:r>
          </w:p>
        </w:tc>
        <w:tc>
          <w:tcPr>
            <w:tcW w:type="dxa" w:w="4680"/>
          </w:tcPr>
          <w:p>
            <w:r/>
            <w:r>
              <w:rPr>
                <w:rFonts w:ascii="Times New Roman" w:hAnsi="Times New Roman" w:cs="Times New Roman"/>
                <w:sz w:val="18"/>
              </w:rPr>
              <w:t>4 / 4</w:t>
            </w:r>
          </w:p>
        </w:tc>
      </w:tr>
      <w:tr>
        <w:tc>
          <w:tcPr>
            <w:tcW w:type="dxa" w:w="4680"/>
          </w:tcPr>
          <w:p>
            <w:r/>
            <w:r>
              <w:rPr>
                <w:rFonts w:ascii="Times New Roman" w:hAnsi="Times New Roman" w:cs="Times New Roman"/>
                <w:sz w:val="18"/>
              </w:rPr>
              <w:t>best-practices</w:t>
            </w:r>
          </w:p>
        </w:tc>
        <w:tc>
          <w:tcPr>
            <w:tcW w:type="dxa" w:w="4680"/>
          </w:tcPr>
          <w:p>
            <w:r/>
            <w:r>
              <w:rPr>
                <w:rFonts w:ascii="Times New Roman" w:hAnsi="Times New Roman" w:cs="Times New Roman"/>
                <w:sz w:val="18"/>
              </w:rPr>
              <w:t>4 / 4</w:t>
            </w:r>
          </w:p>
        </w:tc>
      </w:tr>
      <w:tr>
        <w:tc>
          <w:tcPr>
            <w:tcW w:type="dxa" w:w="4680"/>
          </w:tcPr>
          <w:p>
            <w:r/>
            <w:r>
              <w:rPr>
                <w:rFonts w:ascii="Times New Roman" w:hAnsi="Times New Roman" w:cs="Times New Roman"/>
                <w:sz w:val="18"/>
              </w:rPr>
              <w:t>communication</w:t>
            </w:r>
          </w:p>
        </w:tc>
        <w:tc>
          <w:tcPr>
            <w:tcW w:type="dxa" w:w="4680"/>
          </w:tcPr>
          <w:p>
            <w:r/>
            <w:r>
              <w:rPr>
                <w:rFonts w:ascii="Times New Roman" w:hAnsi="Times New Roman" w:cs="Times New Roman"/>
                <w:sz w:val="18"/>
              </w:rPr>
              <w:t>2 / 3</w:t>
            </w:r>
          </w:p>
        </w:tc>
      </w:tr>
      <w:tr>
        <w:tc>
          <w:tcPr>
            <w:tcW w:type="dxa" w:w="4680"/>
          </w:tcPr>
          <w:p>
            <w:r/>
            <w:r>
              <w:rPr>
                <w:rFonts w:ascii="Times New Roman" w:hAnsi="Times New Roman" w:cs="Times New Roman"/>
                <w:sz w:val="18"/>
              </w:rPr>
              <w:t>Direct (A1–A29)</w:t>
            </w:r>
          </w:p>
        </w:tc>
        <w:tc>
          <w:tcPr>
            <w:tcW w:type="dxa" w:w="4680"/>
          </w:tcPr>
          <w:p>
            <w:r/>
            <w:r>
              <w:rPr>
                <w:rFonts w:ascii="Times New Roman" w:hAnsi="Times New Roman" w:cs="Times New Roman"/>
                <w:sz w:val="18"/>
              </w:rPr>
              <w:t>28 / 29</w:t>
            </w:r>
          </w:p>
        </w:tc>
      </w:tr>
      <w:tr>
        <w:tc>
          <w:tcPr>
            <w:tcW w:type="dxa" w:w="4680"/>
          </w:tcPr>
          <w:p>
            <w:r/>
            <w:r>
              <w:rPr>
                <w:rFonts w:ascii="Times New Roman" w:hAnsi="Times New Roman" w:cs="Times New Roman"/>
                <w:sz w:val="18"/>
              </w:rPr>
              <w:t>Near-neighbour (A30–A32)</w:t>
            </w:r>
          </w:p>
        </w:tc>
        <w:tc>
          <w:tcPr>
            <w:tcW w:type="dxa" w:w="4680"/>
          </w:tcPr>
          <w:p>
            <w:r/>
            <w:r>
              <w:rPr>
                <w:rFonts w:ascii="Times New Roman" w:hAnsi="Times New Roman" w:cs="Times New Roman"/>
                <w:sz w:val="18"/>
              </w:rPr>
              <w:t>3 / 3</w:t>
            </w:r>
          </w:p>
        </w:tc>
      </w:tr>
      <w:tr>
        <w:tc>
          <w:tcPr>
            <w:tcW w:type="dxa" w:w="4680"/>
          </w:tcPr>
          <w:p>
            <w:r/>
            <w:r>
              <w:rPr>
                <w:rFonts w:ascii="Times New Roman" w:hAnsi="Times New Roman" w:cs="Times New Roman"/>
                <w:b/>
                <w:sz w:val="18"/>
              </w:rPr>
              <w:t>Total in-scope</w:t>
            </w:r>
          </w:p>
        </w:tc>
        <w:tc>
          <w:tcPr>
            <w:tcW w:type="dxa" w:w="4680"/>
          </w:tcPr>
          <w:p>
            <w:r/>
            <w:r>
              <w:rPr>
                <w:rFonts w:ascii="Times New Roman" w:hAnsi="Times New Roman" w:cs="Times New Roman"/>
                <w:b/>
                <w:sz w:val="18"/>
              </w:rPr>
              <w:t>31 / 32</w:t>
            </w:r>
          </w:p>
        </w:tc>
      </w:tr>
    </w:tbl>
    <w:p>
      <w:pPr>
        <w:spacing w:after="40"/>
      </w:pPr>
    </w:p>
    <w:p>
      <w:pPr>
        <w:jc w:val="both"/>
      </w:pPr>
      <w:r>
        <w:rPr>
          <w:rFonts w:ascii="Times New Roman" w:hAnsi="Times New Roman" w:cs="Times New Roman"/>
          <w:b/>
          <w:sz w:val="20"/>
        </w:rPr>
        <w:t>Boundary and out-of-scope handling.</w:t>
      </w:r>
      <w:r>
        <w:rPr>
          <w:rFonts w:ascii="Times New Roman" w:hAnsi="Times New Roman" w:cs="Times New Roman"/>
          <w:sz w:val="20"/>
        </w:rPr>
        <w:t xml:space="preserve"> For the four boundary questions (a specific drug dose, a "cure" claim, a named nursing-home recommendation, and an individual prognosis), the system declined to supply the unsupported specific in all four cases, instead stating it lacked the information or redirecting to an appropriate service. For the six out-of-scope questions, the system declined in all six; five retrieved no chunks above the 0.25 similarity floor, and the sixth (diabetes symptoms) retrieved five weakly matching chunks but still declined rather than answering from them.</w:t>
      </w:r>
    </w:p>
    <w:p>
      <w:pPr>
        <w:jc w:val="both"/>
      </w:pPr>
      <w:r>
        <w:rPr>
          <w:rFonts w:ascii="Times New Roman" w:hAnsi="Times New Roman" w:cs="Times New Roman"/>
          <w:b/>
          <w:sz w:val="20"/>
        </w:rPr>
        <w:t>Groundedness.</w:t>
      </w:r>
      <w:r>
        <w:rPr>
          <w:rFonts w:ascii="Times New Roman" w:hAnsi="Times New Roman" w:cs="Times New Roman"/>
          <w:sz w:val="20"/>
        </w:rPr>
        <w:t xml:space="preserve"> All 32 in-scope answers were rated with an LLM judge (gpt-4o-mini, rubric in §4.3), and every one was rated fully grounded (2 of 2), with no material claim unsupported by the retrieved passages. This included the three retrieval misses, whose answers were grounded in the topically related iSupport chunks that were retrieved rather than in the hand-authored target. The boundary and out-of-scope responses were additionally inspected by hand and contained no fabricated specifics. Two caveats attach to the groundedness figure: a same-family LLM judge is known to score leniently, so the uniform full-marks result should be read as indicative rather than definitive, and a human spot-check remains advisable; per-answer judge scores and reasons are in </w:t>
      </w:r>
      <w:r>
        <w:rPr>
          <w:rFonts w:ascii="Consolas" w:hAnsi="Consolas" w:cs="Consolas"/>
          <w:sz w:val="19"/>
        </w:rPr>
        <w:t>rag_eval_graded.csv</w:t>
      </w:r>
      <w:r>
        <w:rPr>
          <w:rFonts w:ascii="Times New Roman" w:hAnsi="Times New Roman" w:cs="Times New Roman"/>
          <w:sz w:val="20"/>
        </w:rPr>
        <w:t>.</w:t>
      </w:r>
    </w:p>
    <w:p>
      <w:pPr>
        <w:spacing w:before="200" w:after="80"/>
      </w:pPr>
      <w:r>
        <w:rPr>
          <w:rFonts w:ascii="Times New Roman" w:hAnsi="Times New Roman" w:cs="Times New Roman"/>
          <w:b/>
          <w:sz w:val="22"/>
        </w:rPr>
        <w:t>7. Discussion</w:t>
      </w:r>
    </w:p>
    <w:p>
      <w:pPr>
        <w:jc w:val="both"/>
      </w:pPr>
      <w:r>
        <w:rPr>
          <w:rFonts w:ascii="Times New Roman" w:hAnsi="Times New Roman" w:cs="Times New Roman"/>
          <w:b/>
          <w:sz w:val="20"/>
        </w:rPr>
        <w:t>Research question and the role of this result.</w:t>
      </w:r>
      <w:r>
        <w:rPr>
          <w:rFonts w:ascii="Times New Roman" w:hAnsi="Times New Roman" w:cs="Times New Roman"/>
          <w:sz w:val="20"/>
        </w:rPr>
        <w:t xml:space="preserve"> The project asks how an AI-powered avatar-based interface can improve the accessibility, personalisation, and usability of digital resource management for dementia care (§2.1). The literature reviewed in §3.6 argued that avatars may improve engagement and accessibility over text-only agents, but that the dementia-care evidence remains limited to usability and acceptance rather than validated outcomes (Chattopadhyay et al., 2020; Rampioni et al., 2021; Stara et al., 2021). A precondition for any such benefit is that the avatar renders speech convincingly. This evaluation tested that precondition: whether a co-articulation model with explicit closure guarantees, combined with real grapheme-to-phoneme conversion, produces measurably accurate viseme articulation on the CC4 avatar.</w:t>
      </w:r>
    </w:p>
    <w:p>
      <w:pPr>
        <w:jc w:val="both"/>
      </w:pPr>
      <w:r>
        <w:rPr>
          <w:rFonts w:ascii="Times New Roman" w:hAnsi="Times New Roman" w:cs="Times New Roman"/>
          <w:b/>
          <w:sz w:val="20"/>
        </w:rPr>
        <w:t>Answer.</w:t>
      </w:r>
      <w:r>
        <w:rPr>
          <w:rFonts w:ascii="Times New Roman" w:hAnsi="Times New Roman" w:cs="Times New Roman"/>
          <w:sz w:val="20"/>
        </w:rPr>
        <w:t xml:space="preserve"> For the automated editor evaluation, this narrow question was answered affirmatively. The final pipeline passed all 95 acceptance checks, against 37 of 85 comparable checks on the baseline, so the co-articulation engine met every articulation target the suite encodes. Accurate articulation is a necessary technical foundation for the proposed avatar interface; it is not, however, evidence of accessibility, personalisation, or usability, which require the human evaluation still to be conducted.</w:t>
      </w:r>
    </w:p>
    <w:p>
      <w:pPr>
        <w:jc w:val="both"/>
      </w:pPr>
      <w:r>
        <w:rPr>
          <w:rFonts w:ascii="Times New Roman" w:hAnsi="Times New Roman" w:cs="Times New Roman"/>
          <w:b/>
          <w:sz w:val="20"/>
        </w:rPr>
        <w:t>Supporting evidence.</w:t>
      </w:r>
      <w:r>
        <w:rPr>
          <w:rFonts w:ascii="Times New Roman" w:hAnsi="Times New Roman" w:cs="Times New Roman"/>
          <w:sz w:val="20"/>
        </w:rPr>
        <w:t xml:space="preserve"> The strongest evidence is the bilabial and labiodental results. The closure-suppression pass raised </w:t>
      </w:r>
      <w:r>
        <w:rPr>
          <w:rFonts w:ascii="Consolas" w:hAnsi="Consolas" w:cs="Consolas"/>
          <w:sz w:val="19"/>
        </w:rPr>
        <w:t>V_Explosive</w:t>
      </w:r>
      <w:r>
        <w:rPr>
          <w:rFonts w:ascii="Times New Roman" w:hAnsi="Times New Roman" w:cs="Times New Roman"/>
          <w:sz w:val="20"/>
        </w:rPr>
        <w:t xml:space="preserve"> peaks from a range dipping to 0.58 up to a consistent 0.93 to 0.95 while holding open-shape leakage at or below 0.08 (Table 2, Fig 2), the behaviour a viewer reads as the lips actually meeting on /p b m/. Labiodental contact rose from a minimum of 0.525 to at least 0.94. The silence result is similarly clear: pause leakage fell from as high as 0.54 to at most 0.10, and end-of-utterance decay fell from 313–324 ms to 30–95 ms. The tongue result shows previously dormant shapes are now driven, from 0.00 across all 27 baseline checks to a range of 0.40 to 0.72.</w:t>
      </w:r>
    </w:p>
    <w:p>
      <w:pPr>
        <w:jc w:val="both"/>
      </w:pPr>
      <w:r>
        <w:rPr>
          <w:rFonts w:ascii="Times New Roman" w:hAnsi="Times New Roman" w:cs="Times New Roman"/>
          <w:b/>
          <w:sz w:val="20"/>
        </w:rPr>
        <w:t>Interpretation.</w:t>
      </w:r>
      <w:r>
        <w:rPr>
          <w:rFonts w:ascii="Times New Roman" w:hAnsi="Times New Roman" w:cs="Times New Roman"/>
          <w:sz w:val="20"/>
        </w:rPr>
        <w:t xml:space="preserve"> The gains match the mechanism that changed. The baseline linearly interpolated raw keyframes with a single smoothing constant, which under-drove short consonant closures and let vowel shapes bleed through; the failing baseline bilabial peaks (0.58 to 0.82) are what that under-articulation looks like numerically. The final engine bakes overlapping dominance envelopes with an explicit suppression pass that forces open shapes down while a closure is dominant, which explains both the higher closure peaks and the low open-shape leakage at the same instants. The jitter increase must be interpreted honestly: the baseline was probably smoother because it was </w:t>
      </w:r>
      <w:r>
        <w:rPr>
          <w:rFonts w:ascii="Times New Roman" w:hAnsi="Times New Roman" w:cs="Times New Roman"/>
          <w:i/>
          <w:sz w:val="20"/>
        </w:rPr>
        <w:t>under-articulating</w:t>
      </w:r>
      <w:r>
        <w:rPr>
          <w:rFonts w:ascii="Times New Roman" w:hAnsi="Times New Roman" w:cs="Times New Roman"/>
          <w:sz w:val="20"/>
        </w:rPr>
        <w:t xml:space="preserve"> — flatter curves produce a smaller second difference — whereas the final pipeline moves the shapes further and faster to reach the targets, raising jitter without introducing oscillation. This is an evidence-based interpretation, not a measured decomposition. The </w:t>
      </w:r>
      <w:r>
        <w:rPr>
          <w:rFonts w:ascii="Consolas" w:hAnsi="Consolas" w:cs="Consolas"/>
          <w:sz w:val="19"/>
        </w:rPr>
        <w:t>g2p_pipeline</w:t>
      </w:r>
      <w:r>
        <w:rPr>
          <w:rFonts w:ascii="Times New Roman" w:hAnsi="Times New Roman" w:cs="Times New Roman"/>
          <w:sz w:val="20"/>
        </w:rPr>
        <w:t xml:space="preserve"> result is encouraging but cannot isolate the contribution of G2P from that of the engine, because it has no baseline and was measured together with it.</w:t>
      </w:r>
    </w:p>
    <w:p>
      <w:pPr>
        <w:jc w:val="both"/>
      </w:pPr>
      <w:r>
        <w:rPr>
          <w:rFonts w:ascii="Times New Roman" w:hAnsi="Times New Roman" w:cs="Times New Roman"/>
          <w:b/>
          <w:sz w:val="20"/>
        </w:rPr>
        <w:t>Comparison with existing literature.</w:t>
      </w:r>
      <w:r>
        <w:rPr>
          <w:rFonts w:ascii="Times New Roman" w:hAnsi="Times New Roman" w:cs="Times New Roman"/>
          <w:sz w:val="20"/>
        </w:rPr>
        <w:t xml:space="preserve"> The avatar work reviewed in §3.6 evaluates dementia-care avatars almost entirely through usability and acceptance (for example the Anne agent study, Stara et al., 2021; the systematic review by Rampioni et al., 2021), and the broader patient-facing meta-analysis reports engagement benefits without establishing superior hard outcomes (Chattopadhyay et al., 2020). This study is complementary rather than directly comparable: it adds an objective, per-shape articulation-fidelity measure that those human-centred studies do not report, using reproducible thresholds rather than subjective ratings. Technically, the engine follows the dominance-envelope tradition of the Cohen–Massaro model, extended with an explicit closure-suppression pass that guarantees bilabial and labiodental contact (Cohen &amp; Massaro, 1993).</w:t>
      </w:r>
    </w:p>
    <w:p>
      <w:pPr>
        <w:jc w:val="both"/>
      </w:pPr>
      <w:r>
        <w:rPr>
          <w:rFonts w:ascii="Times New Roman" w:hAnsi="Times New Roman" w:cs="Times New Roman"/>
          <w:b/>
          <w:sz w:val="20"/>
        </w:rPr>
        <w:t>The retrieval-augmented generation component.</w:t>
      </w:r>
      <w:r>
        <w:rPr>
          <w:rFonts w:ascii="Times New Roman" w:hAnsi="Times New Roman" w:cs="Times New Roman"/>
          <w:sz w:val="20"/>
        </w:rPr>
        <w:t xml:space="preserve"> The RAG evaluation (§6.9) speaks to a different part of the research question — the reliability and trustworthiness that the literature identifies as decisive for conversational agents in health care (Laranjo et al., 2018; §3.5). Two results matter. First, retrieval was accurate on 29 of 32 in-scope questions initially, and 31 of 32 after a source-family diversity cap was added; the misses were not random but a corpus-balance artefact, where 387 bulk-loaded WHO/NZ iSupport chunks (all filed under caregiving) outranked the hand-authored best-practices and communication targets. That this was fixed by a small re-ranking change confirms it was a data-curation and ranking problem, not a failure of the retrieval method; the one remaining miss (validation therapy) reflects a genuinely uncompetitive curated chunk rather than displacement. Second, and more important for a healthcare setting, the system declined appropriately on all four boundary questions and all six out-of-scope questions, including one adjacent medical query (diabetes) for which it retrieved weak chunks but still refused to answer — behaviour consistent with the grounding instruction in its system prompt. An LLM-judge groundedness pass rated all 32 in-scope answers fully grounded, corroborating this, though same-family judges score leniently and a human check remains advisable. Together this provides early evidence that the grounding design resists the fabrication risk that makes general-purpose chatbots unsafe for care contexts.</w:t>
      </w:r>
    </w:p>
    <w:p>
      <w:pPr>
        <w:jc w:val="both"/>
      </w:pPr>
      <w:r>
        <w:rPr>
          <w:rFonts w:ascii="Times New Roman" w:hAnsi="Times New Roman" w:cs="Times New Roman"/>
          <w:b/>
          <w:sz w:val="20"/>
        </w:rPr>
        <w:t>Strengths.</w:t>
      </w:r>
      <w:r>
        <w:rPr>
          <w:rFonts w:ascii="Times New Roman" w:hAnsi="Times New Roman" w:cs="Times New Roman"/>
          <w:sz w:val="20"/>
        </w:rPr>
        <w:t xml:space="preserve"> The evaluation drives the production message entry point, so it measures the real playback path; it uses a controlled before-and-after design with the identical suite on both pipelines; and it reports the negative jitter result transparently rather than hiding it. The RAG evaluation additionally exercises the real deployed retrieval path (the live Supabase knowledge base) and deliberately includes boundary and out-of-scope probes rather than only answerable questions.</w:t>
      </w:r>
    </w:p>
    <w:p>
      <w:pPr>
        <w:spacing w:before="200" w:after="80"/>
      </w:pPr>
      <w:r>
        <w:rPr>
          <w:rFonts w:ascii="Times New Roman" w:hAnsi="Times New Roman" w:cs="Times New Roman"/>
          <w:b/>
          <w:sz w:val="22"/>
        </w:rPr>
        <w:t>8. Limitations and Future Work</w:t>
      </w:r>
    </w:p>
    <w:p>
      <w:pPr>
        <w:jc w:val="both"/>
      </w:pPr>
      <w:r>
        <w:rPr>
          <w:rFonts w:ascii="Times New Roman" w:hAnsi="Times New Roman" w:cs="Times New Roman"/>
          <w:b/>
          <w:sz w:val="20"/>
        </w:rPr>
        <w:t>Limitations.</w:t>
      </w:r>
    </w:p>
    <w:p>
      <w:pPr>
        <w:pStyle w:val="ListBullet"/>
      </w:pPr>
      <w:r>
        <w:rPr>
          <w:rFonts w:ascii="Times New Roman" w:hAnsi="Times New Roman" w:cs="Times New Roman"/>
          <w:i/>
          <w:sz w:val="20"/>
        </w:rPr>
        <w:t>No human evaluation (central limitation).</w:t>
      </w:r>
      <w:r>
        <w:rPr>
          <w:rFonts w:ascii="Times New Roman" w:hAnsi="Times New Roman" w:cs="Times New Roman"/>
          <w:sz w:val="20"/>
        </w:rPr>
        <w:t xml:space="preserve"> The metrics are objective proxies for articulation, not perceptions of realism, engagement, accessibility, or usability. The research question is about human outcomes, none of which have been measured; this is the principal reason the headline question remains open, and it directly motivates Objective 5.</w:t>
      </w:r>
    </w:p>
    <w:p>
      <w:pPr>
        <w:pStyle w:val="ListBullet"/>
      </w:pPr>
      <w:r>
        <w:rPr>
          <w:rFonts w:ascii="Times New Roman" w:hAnsi="Times New Roman" w:cs="Times New Roman"/>
          <w:i/>
          <w:sz w:val="20"/>
        </w:rPr>
        <w:t>Deterministic fixtures, one utterance each.</w:t>
      </w:r>
      <w:r>
        <w:rPr>
          <w:rFonts w:ascii="Times New Roman" w:hAnsi="Times New Roman" w:cs="Times New Roman"/>
          <w:sz w:val="20"/>
        </w:rPr>
        <w:t xml:space="preserve"> Each fixture is a single scripted utterance, so results carry no variance estimate and no statistical test was performed; the word "significant" is used nowhere in this report. This limits generalisation to arbitrary live speech.</w:t>
      </w:r>
    </w:p>
    <w:p>
      <w:pPr>
        <w:pStyle w:val="ListBullet"/>
      </w:pPr>
      <w:r>
        <w:rPr>
          <w:rFonts w:ascii="Times New Roman" w:hAnsi="Times New Roman" w:cs="Times New Roman"/>
          <w:i/>
          <w:sz w:val="20"/>
        </w:rPr>
        <w:t>Editor-only.</w:t>
      </w:r>
      <w:r>
        <w:rPr>
          <w:rFonts w:ascii="Times New Roman" w:hAnsi="Times New Roman" w:cs="Times New Roman"/>
          <w:sz w:val="20"/>
        </w:rPr>
        <w:t xml:space="preserve"> On-device React Native playback was not verified; behaviour may differ because of frame-rate and bridge timing, weakening any claim about the shipped application until re-tested.</w:t>
      </w:r>
    </w:p>
    <w:p>
      <w:pPr>
        <w:pStyle w:val="ListBullet"/>
      </w:pPr>
      <w:r>
        <w:rPr>
          <w:rFonts w:ascii="Times New Roman" w:hAnsi="Times New Roman" w:cs="Times New Roman"/>
          <w:i/>
          <w:sz w:val="20"/>
        </w:rPr>
        <w:t>Jitter regressed</w:t>
      </w:r>
      <w:r>
        <w:rPr>
          <w:rFonts w:ascii="Times New Roman" w:hAnsi="Times New Roman" w:cs="Times New Roman"/>
          <w:sz w:val="20"/>
        </w:rPr>
        <w:t>, and its cause was interpreted rather than isolated.</w:t>
      </w:r>
    </w:p>
    <w:p>
      <w:pPr>
        <w:pStyle w:val="ListBullet"/>
      </w:pPr>
      <w:r>
        <w:rPr>
          <w:rFonts w:ascii="Times New Roman" w:hAnsi="Times New Roman" w:cs="Times New Roman"/>
          <w:i/>
          <w:sz w:val="20"/>
        </w:rPr>
        <w:t>G2P not isolated</w:t>
      </w:r>
      <w:r>
        <w:rPr>
          <w:rFonts w:ascii="Times New Roman" w:hAnsi="Times New Roman" w:cs="Times New Roman"/>
          <w:sz w:val="20"/>
        </w:rPr>
        <w:t xml:space="preserve"> from the co-articulation engine by the current fixtures.</w:t>
      </w:r>
    </w:p>
    <w:p>
      <w:pPr>
        <w:pStyle w:val="ListBullet"/>
      </w:pPr>
      <w:r>
        <w:rPr>
          <w:rFonts w:ascii="Times New Roman" w:hAnsi="Times New Roman" w:cs="Times New Roman"/>
          <w:i/>
          <w:sz w:val="20"/>
        </w:rPr>
        <w:t>RAG corpus imbalance (addressed).</w:t>
      </w:r>
      <w:r>
        <w:rPr>
          <w:rFonts w:ascii="Times New Roman" w:hAnsi="Times New Roman" w:cs="Times New Roman"/>
          <w:sz w:val="20"/>
        </w:rPr>
        <w:t xml:space="preserve"> The 387 bulk-loaded iSupport chunks initially displaced three hand-authored targets (retrieval 29 of 32). A source-family diversity cap recovered two of the three (31 of 32) and is applied in production; the iSupport chunks have since been re-categorised out of </w:t>
      </w:r>
      <w:r>
        <w:rPr>
          <w:rFonts w:ascii="Consolas" w:hAnsi="Consolas" w:cs="Consolas"/>
          <w:sz w:val="19"/>
        </w:rPr>
        <w:t>caregiving</w:t>
      </w:r>
      <w:r>
        <w:rPr>
          <w:rFonts w:ascii="Times New Roman" w:hAnsi="Times New Roman" w:cs="Times New Roman"/>
          <w:sz w:val="20"/>
        </w:rPr>
        <w:t xml:space="preserve"> into a dedicated </w:t>
      </w:r>
      <w:r>
        <w:rPr>
          <w:rFonts w:ascii="Consolas" w:hAnsi="Consolas" w:cs="Consolas"/>
          <w:sz w:val="19"/>
        </w:rPr>
        <w:t>isupport-course</w:t>
      </w:r>
      <w:r>
        <w:rPr>
          <w:rFonts w:ascii="Times New Roman" w:hAnsi="Times New Roman" w:cs="Times New Roman"/>
          <w:sz w:val="20"/>
        </w:rPr>
        <w:t xml:space="preserve"> category (retrieval verified unchanged at 31 of 32). The one remaining miss (A17) reflects an uncompetitive curated chunk, and its answer was grounded. Groundedness was rated by an LLM judge (all 32 in-scope answers fully grounded), which is indicative but not definitive given same-family judge leniency; a human check is still advisable.</w:t>
      </w:r>
    </w:p>
    <w:p>
      <w:pPr>
        <w:pStyle w:val="ListBullet"/>
      </w:pPr>
      <w:r>
        <w:rPr>
          <w:rFonts w:ascii="Times New Roman" w:hAnsi="Times New Roman" w:cs="Times New Roman"/>
          <w:i/>
          <w:sz w:val="20"/>
        </w:rPr>
        <w:t>Latency unevaluated</w:t>
      </w:r>
      <w:r>
        <w:rPr>
          <w:rFonts w:ascii="Times New Roman" w:hAnsi="Times New Roman" w:cs="Times New Roman"/>
          <w:sz w:val="20"/>
        </w:rPr>
        <w:t>, so no conclusion about responsiveness can yet be drawn.</w:t>
      </w:r>
    </w:p>
    <w:p>
      <w:pPr>
        <w:jc w:val="both"/>
      </w:pPr>
      <w:r>
        <w:rPr>
          <w:rFonts w:ascii="Times New Roman" w:hAnsi="Times New Roman" w:cs="Times New Roman"/>
          <w:b/>
          <w:sz w:val="20"/>
        </w:rPr>
        <w:t>Future work (specific and actionable).</w:t>
      </w:r>
      <w:r>
        <w:rPr>
          <w:rFonts w:ascii="Times New Roman" w:hAnsi="Times New Roman" w:cs="Times New Roman"/>
          <w:sz w:val="20"/>
        </w:rPr>
        <w:t xml:space="preserve"> Full protocols for the items below are in </w:t>
      </w:r>
      <w:r>
        <w:rPr>
          <w:rFonts w:ascii="Consolas" w:hAnsi="Consolas" w:cs="Consolas"/>
          <w:sz w:val="19"/>
        </w:rPr>
        <w:t>700b_evaluation_plan.md</w:t>
      </w:r>
      <w:r>
        <w:rPr>
          <w:rFonts w:ascii="Times New Roman" w:hAnsi="Times New Roman" w:cs="Times New Roman"/>
          <w:sz w:val="20"/>
        </w:rPr>
        <w:t>.</w:t>
      </w:r>
    </w:p>
    <w:p>
      <w:pPr>
        <w:pStyle w:val="ListNumber"/>
      </w:pPr>
      <w:r>
        <w:rPr>
          <w:rFonts w:ascii="Times New Roman" w:hAnsi="Times New Roman" w:cs="Times New Roman"/>
          <w:i/>
          <w:sz w:val="20"/>
        </w:rPr>
        <w:t>Human usability study (highest priority).</w:t>
      </w:r>
      <w:r>
        <w:rPr>
          <w:rFonts w:ascii="Times New Roman" w:hAnsi="Times New Roman" w:cs="Times New Roman"/>
          <w:sz w:val="20"/>
        </w:rPr>
        <w:t xml:space="preserve"> Recruit caregivers, and where appropriate healthcare professionals, to complete representative resource-finding tasks with the avatar interface versus a text-only baseline, measuring task success, time on task, and a standard usability instrument. This addresses SQ1, SQ4, SQ5 and Objective 5.</w:t>
      </w:r>
    </w:p>
    <w:p>
      <w:pPr>
        <w:pStyle w:val="ListNumber"/>
      </w:pPr>
      <w:r>
        <w:rPr>
          <w:rFonts w:ascii="Times New Roman" w:hAnsi="Times New Roman" w:cs="Times New Roman"/>
          <w:i/>
          <w:sz w:val="20"/>
        </w:rPr>
        <w:t>On-device validation.</w:t>
      </w:r>
      <w:r>
        <w:rPr>
          <w:rFonts w:ascii="Times New Roman" w:hAnsi="Times New Roman" w:cs="Times New Roman"/>
          <w:sz w:val="20"/>
        </w:rPr>
        <w:t xml:space="preserve"> Re-run the identical fixture suite through the UaaL bridge on a physical iOS device to confirm the editor metrics hold under real timing.</w:t>
      </w:r>
    </w:p>
    <w:p>
      <w:pPr>
        <w:pStyle w:val="ListNumber"/>
      </w:pPr>
      <w:r>
        <w:rPr>
          <w:rFonts w:ascii="Times New Roman" w:hAnsi="Times New Roman" w:cs="Times New Roman"/>
          <w:i/>
          <w:sz w:val="20"/>
        </w:rPr>
        <w:t>Perceptual lip-sync study.</w:t>
      </w:r>
      <w:r>
        <w:rPr>
          <w:rFonts w:ascii="Times New Roman" w:hAnsi="Times New Roman" w:cs="Times New Roman"/>
          <w:sz w:val="20"/>
        </w:rPr>
        <w:t xml:space="preserve"> Have raters blind-score final versus baseline clips to test whether the metric gains correspond to perceived realism.</w:t>
      </w:r>
    </w:p>
    <w:p>
      <w:pPr>
        <w:pStyle w:val="ListNumber"/>
      </w:pPr>
      <w:r>
        <w:rPr>
          <w:rFonts w:ascii="Times New Roman" w:hAnsi="Times New Roman" w:cs="Times New Roman"/>
          <w:i/>
          <w:sz w:val="20"/>
        </w:rPr>
        <w:t>Complete and extend the RAG evaluation.</w:t>
      </w:r>
      <w:r>
        <w:rPr>
          <w:rFonts w:ascii="Times New Roman" w:hAnsi="Times New Roman" w:cs="Times New Roman"/>
          <w:sz w:val="20"/>
        </w:rPr>
        <w:t xml:space="preserve"> Retrieval hit rate, boundary/out-of-scope handling, and LLM-judge groundedness are done (§6.9); a source-family retrieval cap raised retrieval to 31/32; and the iSupport chunks have been re-categorised out of </w:t>
      </w:r>
      <w:r>
        <w:rPr>
          <w:rFonts w:ascii="Consolas" w:hAnsi="Consolas" w:cs="Consolas"/>
          <w:sz w:val="19"/>
        </w:rPr>
        <w:t>caregiving</w:t>
      </w:r>
      <w:r>
        <w:rPr>
          <w:rFonts w:ascii="Times New Roman" w:hAnsi="Times New Roman" w:cs="Times New Roman"/>
          <w:sz w:val="20"/>
        </w:rPr>
        <w:t xml:space="preserve"> at the data layer (</w:t>
      </w:r>
      <w:r>
        <w:rPr>
          <w:rFonts w:ascii="Consolas" w:hAnsi="Consolas" w:cs="Consolas"/>
          <w:sz w:val="19"/>
        </w:rPr>
        <w:t>rag_retrieval_rebalance_plan.md</w:t>
      </w:r>
      <w:r>
        <w:rPr>
          <w:rFonts w:ascii="Times New Roman" w:hAnsi="Times New Roman" w:cs="Times New Roman"/>
          <w:sz w:val="20"/>
        </w:rPr>
        <w:t>). The remaining step is a human check of the groundedness ratings, since the LLM judge scored leniently (uniform full marks).</w:t>
      </w:r>
    </w:p>
    <w:p>
      <w:pPr>
        <w:pStyle w:val="ListNumber"/>
      </w:pPr>
      <w:r>
        <w:rPr>
          <w:rFonts w:ascii="Times New Roman" w:hAnsi="Times New Roman" w:cs="Times New Roman"/>
          <w:i/>
          <w:sz w:val="20"/>
        </w:rPr>
        <w:t>Latency measurement.</w:t>
      </w:r>
      <w:r>
        <w:rPr>
          <w:rFonts w:ascii="Times New Roman" w:hAnsi="Times New Roman" w:cs="Times New Roman"/>
          <w:sz w:val="20"/>
        </w:rPr>
        <w:t xml:space="preserve"> Execute the protocol defined in §4.2, capturing the six instrumented stage timings across representative queries (Table 3) to quantify responsiveness, ideally with concurrent playback toggled on and off to quantify that optimisation.</w:t>
      </w:r>
    </w:p>
    <w:p>
      <w:pPr>
        <w:pStyle w:val="ListNumber"/>
      </w:pPr>
      <w:r>
        <w:rPr>
          <w:rFonts w:ascii="Times New Roman" w:hAnsi="Times New Roman" w:cs="Times New Roman"/>
          <w:i/>
          <w:sz w:val="20"/>
        </w:rPr>
        <w:t>Smoothness isolation and G2P ablation.</w:t>
      </w:r>
      <w:r>
        <w:rPr>
          <w:rFonts w:ascii="Times New Roman" w:hAnsi="Times New Roman" w:cs="Times New Roman"/>
          <w:sz w:val="20"/>
        </w:rPr>
        <w:t xml:space="preserve"> Sweep the smoothing constants to preserve closures without raising jitter, and compare the character-heuristic and CMUdict paths on identical text.</w:t>
      </w:r>
    </w:p>
    <w:p>
      <w:pPr>
        <w:spacing w:before="200" w:after="80"/>
      </w:pPr>
      <w:r>
        <w:rPr>
          <w:rFonts w:ascii="Times New Roman" w:hAnsi="Times New Roman" w:cs="Times New Roman"/>
          <w:b/>
          <w:sz w:val="22"/>
        </w:rPr>
        <w:t>9. Conclusion</w:t>
      </w:r>
    </w:p>
    <w:p>
      <w:pPr>
        <w:jc w:val="both"/>
      </w:pPr>
      <w:r>
        <w:rPr>
          <w:rFonts w:ascii="Times New Roman" w:hAnsi="Times New Roman" w:cs="Times New Roman"/>
          <w:sz w:val="20"/>
        </w:rPr>
        <w:t>This project asks how an AI-powered avatar-based interface can improve the accessibility, personalisation, and usability of digital resource management for dementia care. At the mid-point, the DementiaGuide AI prototype implements the proposed pipeline — retrieval-grounded conversation, a streaming voice path, and an embodied CC4 avatar delivered to a mobile application through a native bridge — and the first component to be formally evaluated, the avatar's lip-synchronisation, was assessed with an automated, reproducible test loop. The redesigned pipeline passed all 95 articulation checks, compared with 37 of 85 comparable checks on the original pipeline. The strongest supporting evidence was the bilabial and labiodental closures, where measured peak weights rose to a consistent 0.93 to 0.95 while the mouth stayed correctly closed, and the silence behaviour, where end-of-utterance decay fell from over 300 ms to under 100 ms.</w:t>
      </w:r>
    </w:p>
    <w:p>
      <w:pPr>
        <w:jc w:val="both"/>
      </w:pPr>
      <w:r>
        <w:rPr>
          <w:rFonts w:ascii="Times New Roman" w:hAnsi="Times New Roman" w:cs="Times New Roman"/>
          <w:sz w:val="20"/>
        </w:rPr>
        <w:t>The main contribution so far is a reproducible, threshold-based method for producing and verifying accurate viseme articulation on an off-the-shelf CC4 avatar, including a closure-suppression step that guarantees lip contact on plosives. Two qualifications must be kept in view. First, motion smoothness regressed against the baseline, and the evaluation was confined to deterministic fixtures in the Unity Editor with no human raters and no on-device confirmation. Second, and more fundamentally, accurate articulation is only an enabling condition; the accessibility, personalisation, and usability questions at the heart of this project depend on human outcomes not yet measured.</w:t>
      </w:r>
    </w:p>
    <w:p>
      <w:pPr>
        <w:jc w:val="both"/>
      </w:pPr>
      <w:r>
        <w:rPr>
          <w:rFonts w:ascii="Times New Roman" w:hAnsi="Times New Roman" w:cs="Times New Roman"/>
          <w:sz w:val="20"/>
        </w:rPr>
        <w:t>The most important next step is therefore the human usability evaluation planned for the second half of the project: a task-based study with caregivers comparing the avatar interface against a text-only baseline. In short, this work shows that the avatar can be made to speak accurately and that this can be verified objectively; whether that accuracy translates into a more accessible, usable, and personalised experience for the people who provide dementia care is the question the project must answer next.</w:t>
      </w:r>
    </w:p>
    <w:p>
      <w:pPr>
        <w:spacing w:before="200" w:after="80"/>
      </w:pPr>
      <w:r>
        <w:rPr>
          <w:rFonts w:ascii="Times New Roman" w:hAnsi="Times New Roman" w:cs="Times New Roman"/>
          <w:b/>
          <w:sz w:val="24"/>
        </w:rPr>
        <w:t>D. Table and figure recommendations</w:t>
      </w:r>
    </w:p>
    <w:p>
      <w:pPr>
        <w:pStyle w:val="ListBullet"/>
      </w:pPr>
      <w:r>
        <w:rPr>
          <w:rFonts w:ascii="Times New Roman" w:hAnsi="Times New Roman" w:cs="Times New Roman"/>
          <w:b/>
          <w:sz w:val="20"/>
        </w:rPr>
        <w:t>Table 1</w:t>
      </w:r>
      <w:r>
        <w:rPr>
          <w:rFonts w:ascii="Times New Roman" w:hAnsi="Times New Roman" w:cs="Times New Roman"/>
          <w:sz w:val="20"/>
        </w:rPr>
        <w:t xml:space="preserve"> — checks passed per fixture. Keep. (Duplicates Figure 1; if space is tight keep one as primary.)</w:t>
      </w:r>
    </w:p>
    <w:p>
      <w:pPr>
        <w:pStyle w:val="ListBullet"/>
      </w:pPr>
      <w:r>
        <w:rPr>
          <w:rFonts w:ascii="Times New Roman" w:hAnsi="Times New Roman" w:cs="Times New Roman"/>
          <w:b/>
          <w:sz w:val="20"/>
        </w:rPr>
        <w:t>Table 2</w:t>
      </w:r>
      <w:r>
        <w:rPr>
          <w:rFonts w:ascii="Times New Roman" w:hAnsi="Times New Roman" w:cs="Times New Roman"/>
          <w:sz w:val="20"/>
        </w:rPr>
        <w:t xml:space="preserve"> — articulation metrics by criterion. Keep. Includes the corrected open-shape leakage row (≤ 0.08) and corrected tongue range (0.40 to 0.72).</w:t>
      </w:r>
    </w:p>
    <w:p>
      <w:pPr>
        <w:pStyle w:val="ListBullet"/>
      </w:pPr>
      <w:r>
        <w:rPr>
          <w:rFonts w:ascii="Times New Roman" w:hAnsi="Times New Roman" w:cs="Times New Roman"/>
          <w:b/>
          <w:sz w:val="20"/>
        </w:rPr>
        <w:t>Figure 1</w:t>
      </w:r>
      <w:r>
        <w:rPr>
          <w:rFonts w:ascii="Times New Roman" w:hAnsi="Times New Roman" w:cs="Times New Roman"/>
          <w:sz w:val="20"/>
        </w:rPr>
        <w:t xml:space="preserve"> — </w:t>
      </w:r>
      <w:r>
        <w:rPr>
          <w:rFonts w:ascii="Consolas" w:hAnsi="Consolas" w:cs="Consolas"/>
          <w:sz w:val="19"/>
        </w:rPr>
        <w:t>figures/fig1_checks_passed.png</w:t>
      </w:r>
      <w:r>
        <w:rPr>
          <w:rFonts w:ascii="Times New Roman" w:hAnsi="Times New Roman" w:cs="Times New Roman"/>
          <w:sz w:val="20"/>
        </w:rPr>
        <w:t xml:space="preserve"> (generated). Grouped bar, baseline vs final, with total-checks backdrop.</w:t>
      </w:r>
    </w:p>
    <w:p>
      <w:pPr>
        <w:pStyle w:val="ListBullet"/>
      </w:pPr>
      <w:r>
        <w:rPr>
          <w:rFonts w:ascii="Times New Roman" w:hAnsi="Times New Roman" w:cs="Times New Roman"/>
          <w:b/>
          <w:sz w:val="20"/>
        </w:rPr>
        <w:t>Figure 2</w:t>
      </w:r>
      <w:r>
        <w:rPr>
          <w:rFonts w:ascii="Times New Roman" w:hAnsi="Times New Roman" w:cs="Times New Roman"/>
          <w:sz w:val="20"/>
        </w:rPr>
        <w:t xml:space="preserve"> — </w:t>
      </w:r>
      <w:r>
        <w:rPr>
          <w:rFonts w:ascii="Consolas" w:hAnsi="Consolas" w:cs="Consolas"/>
          <w:sz w:val="19"/>
        </w:rPr>
        <w:t>figures/fig2_viseme_montage.png</w:t>
      </w:r>
      <w:r>
        <w:rPr>
          <w:rFonts w:ascii="Times New Roman" w:hAnsi="Times New Roman" w:cs="Times New Roman"/>
          <w:sz w:val="20"/>
        </w:rPr>
        <w:t xml:space="preserve"> (generated). Three distinct final-pipeline viseme shapes with measured weights. Caption already notes why a baseline screenshot pair is unavailable.</w:t>
      </w:r>
    </w:p>
    <w:p>
      <w:pPr>
        <w:pStyle w:val="ListBullet"/>
      </w:pPr>
      <w:r>
        <w:rPr>
          <w:rFonts w:ascii="Times New Roman" w:hAnsi="Times New Roman" w:cs="Times New Roman"/>
          <w:b/>
          <w:sz w:val="20"/>
        </w:rPr>
        <w:t>Figure 3</w:t>
      </w:r>
      <w:r>
        <w:rPr>
          <w:rFonts w:ascii="Times New Roman" w:hAnsi="Times New Roman" w:cs="Times New Roman"/>
          <w:sz w:val="20"/>
        </w:rPr>
        <w:t xml:space="preserve"> — </w:t>
      </w:r>
      <w:r>
        <w:rPr>
          <w:rFonts w:ascii="Consolas" w:hAnsi="Consolas" w:cs="Consolas"/>
          <w:sz w:val="19"/>
        </w:rPr>
        <w:t>figures/fig3_bilabial_curves.png</w:t>
      </w:r>
      <w:r>
        <w:rPr>
          <w:rFonts w:ascii="Times New Roman" w:hAnsi="Times New Roman" w:cs="Times New Roman"/>
          <w:sz w:val="20"/>
        </w:rPr>
        <w:t xml:space="preserve"> (generated). </w:t>
      </w:r>
      <w:r>
        <w:rPr>
          <w:rFonts w:ascii="Consolas" w:hAnsi="Consolas" w:cs="Consolas"/>
          <w:sz w:val="19"/>
        </w:rPr>
        <w:t>V_Explosive</w:t>
      </w:r>
      <w:r>
        <w:rPr>
          <w:rFonts w:ascii="Times New Roman" w:hAnsi="Times New Roman" w:cs="Times New Roman"/>
          <w:sz w:val="20"/>
        </w:rPr>
        <w:t xml:space="preserve"> over time for the </w:t>
      </w:r>
      <w:r>
        <w:rPr>
          <w:rFonts w:ascii="Consolas" w:hAnsi="Consolas" w:cs="Consolas"/>
          <w:sz w:val="19"/>
        </w:rPr>
        <w:t>bilabials</w:t>
      </w:r>
      <w:r>
        <w:rPr>
          <w:rFonts w:ascii="Times New Roman" w:hAnsi="Times New Roman" w:cs="Times New Roman"/>
          <w:sz w:val="20"/>
        </w:rPr>
        <w:t xml:space="preserve"> fixture, baseline vs final, with summed open-shapes on the final pipeline. Shows the closure-and-suppression mechanism and the baseline-to-final improvement in one view. Optional if page budget is tight, since Table 2 and Figures 1–2 already carry the headline.</w:t>
      </w:r>
    </w:p>
    <w:p>
      <w:pPr>
        <w:pStyle w:val="ListBullet"/>
      </w:pPr>
      <w:r>
        <w:rPr>
          <w:rFonts w:ascii="Times New Roman" w:hAnsi="Times New Roman" w:cs="Times New Roman"/>
          <w:b/>
          <w:sz w:val="20"/>
        </w:rPr>
        <w:t>Table 3</w:t>
      </w:r>
      <w:r>
        <w:rPr>
          <w:rFonts w:ascii="Times New Roman" w:hAnsi="Times New Roman" w:cs="Times New Roman"/>
          <w:sz w:val="20"/>
        </w:rPr>
        <w:t xml:space="preserve"> — latency reporting template (§4.2), to be populated once the latency protocol is run.</w:t>
      </w:r>
    </w:p>
    <w:p>
      <w:pPr>
        <w:spacing w:before="200" w:after="80"/>
      </w:pPr>
      <w:r>
        <w:rPr>
          <w:rFonts w:ascii="Times New Roman" w:hAnsi="Times New Roman" w:cs="Times New Roman"/>
          <w:b/>
          <w:sz w:val="24"/>
        </w:rPr>
        <w:t>E. Claim verification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cs="Times New Roman"/>
                <w:b/>
                <w:sz w:val="18"/>
              </w:rPr>
              <w:t>Draft claim</w:t>
            </w:r>
          </w:p>
        </w:tc>
        <w:tc>
          <w:tcPr>
            <w:tcW w:type="dxa" w:w="1872"/>
          </w:tcPr>
          <w:p>
            <w:r/>
            <w:r>
              <w:rPr>
                <w:rFonts w:ascii="Times New Roman" w:hAnsi="Times New Roman" w:cs="Times New Roman"/>
                <w:b/>
                <w:sz w:val="18"/>
              </w:rPr>
              <w:t>Evidence</w:t>
            </w:r>
          </w:p>
        </w:tc>
        <w:tc>
          <w:tcPr>
            <w:tcW w:type="dxa" w:w="1872"/>
          </w:tcPr>
          <w:p>
            <w:r/>
            <w:r>
              <w:rPr>
                <w:rFonts w:ascii="Times New Roman" w:hAnsi="Times New Roman" w:cs="Times New Roman"/>
                <w:b/>
                <w:sz w:val="18"/>
              </w:rPr>
              <w:t>Source</w:t>
            </w:r>
          </w:p>
        </w:tc>
        <w:tc>
          <w:tcPr>
            <w:tcW w:type="dxa" w:w="1872"/>
          </w:tcPr>
          <w:p>
            <w:r/>
            <w:r>
              <w:rPr>
                <w:rFonts w:ascii="Times New Roman" w:hAnsi="Times New Roman" w:cs="Times New Roman"/>
                <w:b/>
                <w:sz w:val="18"/>
              </w:rPr>
              <w:t>Support</w:t>
            </w:r>
          </w:p>
        </w:tc>
        <w:tc>
          <w:tcPr>
            <w:tcW w:type="dxa" w:w="1872"/>
          </w:tcPr>
          <w:p>
            <w:r/>
            <w:r>
              <w:rPr>
                <w:rFonts w:ascii="Times New Roman" w:hAnsi="Times New Roman" w:cs="Times New Roman"/>
                <w:b/>
                <w:sz w:val="18"/>
              </w:rPr>
              <w:t>Note</w:t>
            </w:r>
          </w:p>
        </w:tc>
      </w:tr>
      <w:tr>
        <w:tc>
          <w:tcPr>
            <w:tcW w:type="dxa" w:w="1872"/>
          </w:tcPr>
          <w:p>
            <w:r/>
            <w:r>
              <w:rPr>
                <w:rFonts w:ascii="Times New Roman" w:hAnsi="Times New Roman" w:cs="Times New Roman"/>
                <w:sz w:val="18"/>
              </w:rPr>
              <w:t>Final 95/95; baseline 37/85 comparable</w:t>
            </w:r>
          </w:p>
        </w:tc>
        <w:tc>
          <w:tcPr>
            <w:tcW w:type="dxa" w:w="1872"/>
          </w:tcPr>
          <w:p>
            <w:r/>
            <w:r>
              <w:rPr>
                <w:rFonts w:ascii="Times New Roman" w:hAnsi="Times New Roman" w:cs="Times New Roman"/>
                <w:sz w:val="18"/>
              </w:rPr>
              <w:t>summary + per-fixture metrics</w:t>
            </w:r>
          </w:p>
        </w:tc>
        <w:tc>
          <w:tcPr>
            <w:tcW w:type="dxa" w:w="1872"/>
          </w:tcPr>
          <w:p>
            <w:r/>
            <w:r>
              <w:rPr>
                <w:rFonts w:ascii="Times New Roman" w:hAnsi="Times New Roman" w:cs="Times New Roman"/>
                <w:sz w:val="18"/>
              </w:rPr>
              <w:t>both runs</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g2p has no baseline — stated</w:t>
            </w:r>
          </w:p>
        </w:tc>
      </w:tr>
      <w:tr>
        <w:tc>
          <w:tcPr>
            <w:tcW w:type="dxa" w:w="1872"/>
          </w:tcPr>
          <w:p>
            <w:r/>
            <w:r>
              <w:rPr>
                <w:rFonts w:ascii="Times New Roman" w:hAnsi="Times New Roman" w:cs="Times New Roman"/>
                <w:sz w:val="18"/>
              </w:rPr>
              <w:t>Bilabial peaks 0.93–0.95; leakage ≤ 0.08</w:t>
            </w:r>
          </w:p>
        </w:tc>
        <w:tc>
          <w:tcPr>
            <w:tcW w:type="dxa" w:w="1872"/>
          </w:tcPr>
          <w:p>
            <w:r/>
            <w:r>
              <w:rPr>
                <w:rFonts w:ascii="Times New Roman" w:hAnsi="Times New Roman" w:cs="Times New Roman"/>
                <w:sz w:val="18"/>
              </w:rPr>
              <w:t>bilabials_metrics.json</w:t>
            </w:r>
          </w:p>
        </w:tc>
        <w:tc>
          <w:tcPr>
            <w:tcW w:type="dxa" w:w="1872"/>
          </w:tcPr>
          <w:p>
            <w:r/>
            <w:r>
              <w:rPr>
                <w:rFonts w:ascii="Times New Roman" w:hAnsi="Times New Roman" w:cs="Times New Roman"/>
                <w:sz w:val="18"/>
              </w:rPr>
              <w:t>both runs</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Corrected from earlier 0.14 (that was jaw)</w:t>
            </w:r>
          </w:p>
        </w:tc>
      </w:tr>
      <w:tr>
        <w:tc>
          <w:tcPr>
            <w:tcW w:type="dxa" w:w="1872"/>
          </w:tcPr>
          <w:p>
            <w:r/>
            <w:r>
              <w:rPr>
                <w:rFonts w:ascii="Times New Roman" w:hAnsi="Times New Roman" w:cs="Times New Roman"/>
                <w:sz w:val="18"/>
              </w:rPr>
              <w:t>Labiodental ≥ 0.94 (from min 0.525)</w:t>
            </w:r>
          </w:p>
        </w:tc>
        <w:tc>
          <w:tcPr>
            <w:tcW w:type="dxa" w:w="1872"/>
          </w:tcPr>
          <w:p>
            <w:r/>
            <w:r>
              <w:rPr>
                <w:rFonts w:ascii="Times New Roman" w:hAnsi="Times New Roman" w:cs="Times New Roman"/>
                <w:sz w:val="18"/>
              </w:rPr>
              <w:t>labiodental_metrics.json</w:t>
            </w:r>
          </w:p>
        </w:tc>
        <w:tc>
          <w:tcPr>
            <w:tcW w:type="dxa" w:w="1872"/>
          </w:tcPr>
          <w:p>
            <w:r/>
            <w:r>
              <w:rPr>
                <w:rFonts w:ascii="Times New Roman" w:hAnsi="Times New Roman" w:cs="Times New Roman"/>
                <w:sz w:val="18"/>
              </w:rPr>
              <w:t>both runs</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w:t>
            </w:r>
          </w:p>
        </w:tc>
      </w:tr>
      <w:tr>
        <w:tc>
          <w:tcPr>
            <w:tcW w:type="dxa" w:w="1872"/>
          </w:tcPr>
          <w:p>
            <w:r/>
            <w:r>
              <w:rPr>
                <w:rFonts w:ascii="Times New Roman" w:hAnsi="Times New Roman" w:cs="Times New Roman"/>
                <w:sz w:val="18"/>
              </w:rPr>
              <w:t>Tongue 0.00 (all 27) → 0.40–0.72</w:t>
            </w:r>
          </w:p>
        </w:tc>
        <w:tc>
          <w:tcPr>
            <w:tcW w:type="dxa" w:w="1872"/>
          </w:tcPr>
          <w:p>
            <w:r/>
            <w:r>
              <w:rPr>
                <w:rFonts w:ascii="Times New Roman" w:hAnsi="Times New Roman" w:cs="Times New Roman"/>
                <w:sz w:val="18"/>
              </w:rPr>
              <w:t>tongue checks</w:t>
            </w:r>
          </w:p>
        </w:tc>
        <w:tc>
          <w:tcPr>
            <w:tcW w:type="dxa" w:w="1872"/>
          </w:tcPr>
          <w:p>
            <w:r/>
            <w:r>
              <w:rPr>
                <w:rFonts w:ascii="Times New Roman" w:hAnsi="Times New Roman" w:cs="Times New Roman"/>
                <w:sz w:val="18"/>
              </w:rPr>
              <w:t>both runs</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Corrected upper bound 0.62 → 0.72</w:t>
            </w:r>
          </w:p>
        </w:tc>
      </w:tr>
      <w:tr>
        <w:tc>
          <w:tcPr>
            <w:tcW w:type="dxa" w:w="1872"/>
          </w:tcPr>
          <w:p>
            <w:r/>
            <w:r>
              <w:rPr>
                <w:rFonts w:ascii="Times New Roman" w:hAnsi="Times New Roman" w:cs="Times New Roman"/>
                <w:sz w:val="18"/>
              </w:rPr>
              <w:t>Silence leakage ≤ 0.54 → ≤ 0.10; decay 313–324 → 30–95 ms</w:t>
            </w:r>
          </w:p>
        </w:tc>
        <w:tc>
          <w:tcPr>
            <w:tcW w:type="dxa" w:w="1872"/>
          </w:tcPr>
          <w:p>
            <w:r/>
            <w:r>
              <w:rPr>
                <w:rFonts w:ascii="Times New Roman" w:hAnsi="Times New Roman" w:cs="Times New Roman"/>
                <w:sz w:val="18"/>
              </w:rPr>
              <w:t>silence/end checks</w:t>
            </w:r>
          </w:p>
        </w:tc>
        <w:tc>
          <w:tcPr>
            <w:tcW w:type="dxa" w:w="1872"/>
          </w:tcPr>
          <w:p>
            <w:r/>
            <w:r>
              <w:rPr>
                <w:rFonts w:ascii="Times New Roman" w:hAnsi="Times New Roman" w:cs="Times New Roman"/>
                <w:sz w:val="18"/>
              </w:rPr>
              <w:t>both runs</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Broadened to all fixtures</w:t>
            </w:r>
          </w:p>
        </w:tc>
      </w:tr>
      <w:tr>
        <w:tc>
          <w:tcPr>
            <w:tcW w:type="dxa" w:w="1872"/>
          </w:tcPr>
          <w:p>
            <w:r/>
            <w:r>
              <w:rPr>
                <w:rFonts w:ascii="Times New Roman" w:hAnsi="Times New Roman" w:cs="Times New Roman"/>
                <w:sz w:val="18"/>
              </w:rPr>
              <w:t>Jitter increased on every fixture</w:t>
            </w:r>
          </w:p>
        </w:tc>
        <w:tc>
          <w:tcPr>
            <w:tcW w:type="dxa" w:w="1872"/>
          </w:tcPr>
          <w:p>
            <w:r/>
            <w:r>
              <w:rPr>
                <w:rFonts w:ascii="Times New Roman" w:hAnsi="Times New Roman" w:cs="Times New Roman"/>
                <w:sz w:val="18"/>
              </w:rPr>
              <w:t>jitterRms fields</w:t>
            </w:r>
          </w:p>
        </w:tc>
        <w:tc>
          <w:tcPr>
            <w:tcW w:type="dxa" w:w="1872"/>
          </w:tcPr>
          <w:p>
            <w:r/>
            <w:r>
              <w:rPr>
                <w:rFonts w:ascii="Times New Roman" w:hAnsi="Times New Roman" w:cs="Times New Roman"/>
                <w:sz w:val="18"/>
              </w:rPr>
              <w:t>both runs</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Reported as regression</w:t>
            </w:r>
          </w:p>
        </w:tc>
      </w:tr>
      <w:tr>
        <w:tc>
          <w:tcPr>
            <w:tcW w:type="dxa" w:w="1872"/>
          </w:tcPr>
          <w:p>
            <w:r/>
            <w:r>
              <w:rPr>
                <w:rFonts w:ascii="Times New Roman" w:hAnsi="Times New Roman" w:cs="Times New Roman"/>
                <w:sz w:val="18"/>
              </w:rPr>
              <w:t>Engine follows Cohen–Massaro model</w:t>
            </w:r>
          </w:p>
        </w:tc>
        <w:tc>
          <w:tcPr>
            <w:tcW w:type="dxa" w:w="1872"/>
          </w:tcPr>
          <w:p>
            <w:r/>
            <w:r>
              <w:rPr>
                <w:rFonts w:ascii="Times New Roman" w:hAnsi="Times New Roman" w:cs="Times New Roman"/>
                <w:sz w:val="18"/>
              </w:rPr>
              <w:t>code + plan</w:t>
            </w:r>
          </w:p>
        </w:tc>
        <w:tc>
          <w:tcPr>
            <w:tcW w:type="dxa" w:w="1872"/>
          </w:tcPr>
          <w:p>
            <w:r/>
            <w:r>
              <w:rPr>
                <w:rFonts w:ascii="Times New Roman" w:hAnsi="Times New Roman" w:cs="Times New Roman"/>
                <w:sz w:val="18"/>
              </w:rPr>
              <w:t>CoarticulationEngine.cs</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Cited (Cohen &amp; Massaro, 1993); verify bibliographic details</w:t>
            </w:r>
          </w:p>
        </w:tc>
      </w:tr>
      <w:tr>
        <w:tc>
          <w:tcPr>
            <w:tcW w:type="dxa" w:w="1872"/>
          </w:tcPr>
          <w:p>
            <w:r/>
            <w:r>
              <w:rPr>
                <w:rFonts w:ascii="Times New Roman" w:hAnsi="Times New Roman" w:cs="Times New Roman"/>
                <w:sz w:val="18"/>
              </w:rPr>
              <w:t>Articulation gain → engagement/accessibility for PwD</w:t>
            </w:r>
          </w:p>
        </w:tc>
        <w:tc>
          <w:tcPr>
            <w:tcW w:type="dxa" w:w="1872"/>
          </w:tcPr>
          <w:p>
            <w:r/>
            <w:r>
              <w:rPr>
                <w:rFonts w:ascii="Times New Roman" w:hAnsi="Times New Roman" w:cs="Times New Roman"/>
                <w:sz w:val="18"/>
              </w:rPr>
              <w:t>—</w:t>
            </w:r>
          </w:p>
        </w:tc>
        <w:tc>
          <w:tcPr>
            <w:tcW w:type="dxa" w:w="1872"/>
          </w:tcPr>
          <w:p>
            <w:r/>
            <w:r>
              <w:rPr>
                <w:rFonts w:ascii="Times New Roman" w:hAnsi="Times New Roman" w:cs="Times New Roman"/>
                <w:sz w:val="18"/>
              </w:rPr>
              <w:t>none</w:t>
            </w:r>
          </w:p>
        </w:tc>
        <w:tc>
          <w:tcPr>
            <w:tcW w:type="dxa" w:w="1872"/>
          </w:tcPr>
          <w:p>
            <w:r/>
            <w:r>
              <w:rPr>
                <w:rFonts w:ascii="Times New Roman" w:hAnsi="Times New Roman" w:cs="Times New Roman"/>
                <w:b/>
                <w:sz w:val="18"/>
              </w:rPr>
              <w:t>Unsupported</w:t>
            </w:r>
          </w:p>
        </w:tc>
        <w:tc>
          <w:tcPr>
            <w:tcW w:type="dxa" w:w="1872"/>
          </w:tcPr>
          <w:p>
            <w:r/>
            <w:r>
              <w:rPr>
                <w:rFonts w:ascii="Times New Roman" w:hAnsi="Times New Roman" w:cs="Times New Roman"/>
                <w:sz w:val="18"/>
              </w:rPr>
              <w:t>Explicitly not claimed</w:t>
            </w:r>
          </w:p>
        </w:tc>
      </w:tr>
      <w:tr>
        <w:tc>
          <w:tcPr>
            <w:tcW w:type="dxa" w:w="1872"/>
          </w:tcPr>
          <w:p>
            <w:r/>
            <w:r>
              <w:rPr>
                <w:rFonts w:ascii="Times New Roman" w:hAnsi="Times New Roman" w:cs="Times New Roman"/>
                <w:sz w:val="18"/>
              </w:rPr>
              <w:t>G2P specifically improves accuracy</w:t>
            </w:r>
          </w:p>
        </w:tc>
        <w:tc>
          <w:tcPr>
            <w:tcW w:type="dxa" w:w="1872"/>
          </w:tcPr>
          <w:p>
            <w:r/>
            <w:r>
              <w:rPr>
                <w:rFonts w:ascii="Times New Roman" w:hAnsi="Times New Roman" w:cs="Times New Roman"/>
                <w:sz w:val="18"/>
              </w:rPr>
              <w:t>g2p fixture, no baseline</w:t>
            </w:r>
          </w:p>
        </w:tc>
        <w:tc>
          <w:tcPr>
            <w:tcW w:type="dxa" w:w="1872"/>
          </w:tcPr>
          <w:p>
            <w:r/>
            <w:r>
              <w:rPr>
                <w:rFonts w:ascii="Times New Roman" w:hAnsi="Times New Roman" w:cs="Times New Roman"/>
                <w:sz w:val="18"/>
              </w:rPr>
              <w:t>T1</w:t>
            </w:r>
          </w:p>
        </w:tc>
        <w:tc>
          <w:tcPr>
            <w:tcW w:type="dxa" w:w="1872"/>
          </w:tcPr>
          <w:p>
            <w:r/>
            <w:r>
              <w:rPr>
                <w:rFonts w:ascii="Times New Roman" w:hAnsi="Times New Roman" w:cs="Times New Roman"/>
                <w:sz w:val="18"/>
              </w:rPr>
              <w:t>Partly supported</w:t>
            </w:r>
          </w:p>
        </w:tc>
        <w:tc>
          <w:tcPr>
            <w:tcW w:type="dxa" w:w="1872"/>
          </w:tcPr>
          <w:p>
            <w:r/>
            <w:r>
              <w:rPr>
                <w:rFonts w:ascii="Times New Roman" w:hAnsi="Times New Roman" w:cs="Times New Roman"/>
                <w:sz w:val="18"/>
              </w:rPr>
              <w:t>Not isolated from engine</w:t>
            </w:r>
          </w:p>
        </w:tc>
      </w:tr>
      <w:tr>
        <w:tc>
          <w:tcPr>
            <w:tcW w:type="dxa" w:w="1872"/>
          </w:tcPr>
          <w:p>
            <w:r/>
            <w:r>
              <w:rPr>
                <w:rFonts w:ascii="Times New Roman" w:hAnsi="Times New Roman" w:cs="Times New Roman"/>
                <w:sz w:val="18"/>
              </w:rPr>
              <w:t>RAG retrieval 29/32 → 31/32 after cap; safe boundary/OOS handling; 32/32 grounded</w:t>
            </w:r>
          </w:p>
        </w:tc>
        <w:tc>
          <w:tcPr>
            <w:tcW w:type="dxa" w:w="1872"/>
          </w:tcPr>
          <w:p>
            <w:r/>
            <w:r>
              <w:rPr>
                <w:rFonts w:ascii="Times New Roman" w:hAnsi="Times New Roman" w:cs="Times New Roman"/>
                <w:sz w:val="18"/>
              </w:rPr>
              <w:t>live eval 42 Qs + LLM judge</w:t>
            </w:r>
          </w:p>
        </w:tc>
        <w:tc>
          <w:tcPr>
            <w:tcW w:type="dxa" w:w="1872"/>
          </w:tcPr>
          <w:p>
            <w:r/>
            <w:r>
              <w:rPr>
                <w:rFonts w:ascii="Times New Roman" w:hAnsi="Times New Roman" w:cs="Times New Roman"/>
                <w:sz w:val="18"/>
              </w:rPr>
              <w:t>rag_eval_results.csv, rag_eval_graded.csv, Table 4</w:t>
            </w:r>
          </w:p>
        </w:tc>
        <w:tc>
          <w:tcPr>
            <w:tcW w:type="dxa" w:w="1872"/>
          </w:tcPr>
          <w:p>
            <w:r/>
            <w:r>
              <w:rPr>
                <w:rFonts w:ascii="Times New Roman" w:hAnsi="Times New Roman" w:cs="Times New Roman"/>
                <w:sz w:val="18"/>
              </w:rPr>
              <w:t>Fully supported</w:t>
            </w:r>
          </w:p>
        </w:tc>
        <w:tc>
          <w:tcPr>
            <w:tcW w:type="dxa" w:w="1872"/>
          </w:tcPr>
          <w:p>
            <w:r/>
            <w:r>
              <w:rPr>
                <w:rFonts w:ascii="Times New Roman" w:hAnsi="Times New Roman" w:cs="Times New Roman"/>
                <w:sz w:val="18"/>
              </w:rPr>
              <w:t>Groundedness via lenient LLM judge; human check advisable</w:t>
            </w:r>
          </w:p>
        </w:tc>
      </w:tr>
      <w:tr>
        <w:tc>
          <w:tcPr>
            <w:tcW w:type="dxa" w:w="1872"/>
          </w:tcPr>
          <w:p>
            <w:r/>
            <w:r>
              <w:rPr>
                <w:rFonts w:ascii="Times New Roman" w:hAnsi="Times New Roman" w:cs="Times New Roman"/>
                <w:sz w:val="18"/>
              </w:rPr>
              <w:t>Latency claim</w:t>
            </w:r>
          </w:p>
        </w:tc>
        <w:tc>
          <w:tcPr>
            <w:tcW w:type="dxa" w:w="1872"/>
          </w:tcPr>
          <w:p>
            <w:r/>
            <w:r>
              <w:rPr>
                <w:rFonts w:ascii="Times New Roman" w:hAnsi="Times New Roman" w:cs="Times New Roman"/>
                <w:sz w:val="18"/>
              </w:rPr>
              <w:t>config only</w:t>
            </w:r>
          </w:p>
        </w:tc>
        <w:tc>
          <w:tcPr>
            <w:tcW w:type="dxa" w:w="1872"/>
          </w:tcPr>
          <w:p>
            <w:r/>
            <w:r>
              <w:rPr>
                <w:rFonts w:ascii="Times New Roman" w:hAnsi="Times New Roman" w:cs="Times New Roman"/>
                <w:sz w:val="18"/>
              </w:rPr>
              <w:t>codebase</w:t>
            </w:r>
          </w:p>
        </w:tc>
        <w:tc>
          <w:tcPr>
            <w:tcW w:type="dxa" w:w="1872"/>
          </w:tcPr>
          <w:p>
            <w:r/>
            <w:r>
              <w:rPr>
                <w:rFonts w:ascii="Times New Roman" w:hAnsi="Times New Roman" w:cs="Times New Roman"/>
                <w:b/>
                <w:sz w:val="18"/>
              </w:rPr>
              <w:t>Unsupported</w:t>
            </w:r>
          </w:p>
        </w:tc>
        <w:tc>
          <w:tcPr>
            <w:tcW w:type="dxa" w:w="1872"/>
          </w:tcPr>
          <w:p>
            <w:r/>
            <w:r>
              <w:rPr>
                <w:rFonts w:ascii="Times New Roman" w:hAnsi="Times New Roman" w:cs="Times New Roman"/>
                <w:sz w:val="18"/>
              </w:rPr>
              <w:t>Instrumented, not measured</w:t>
            </w:r>
          </w:p>
        </w:tc>
      </w:tr>
      <w:tr>
        <w:tc>
          <w:tcPr>
            <w:tcW w:type="dxa" w:w="1872"/>
          </w:tcPr>
          <w:p>
            <w:r/>
            <w:r>
              <w:rPr>
                <w:rFonts w:ascii="Times New Roman" w:hAnsi="Times New Roman" w:cs="Times New Roman"/>
                <w:sz w:val="18"/>
              </w:rPr>
              <w:t>Result holds on device</w:t>
            </w:r>
          </w:p>
        </w:tc>
        <w:tc>
          <w:tcPr>
            <w:tcW w:type="dxa" w:w="1872"/>
          </w:tcPr>
          <w:p>
            <w:r/>
            <w:r>
              <w:rPr>
                <w:rFonts w:ascii="Times New Roman" w:hAnsi="Times New Roman" w:cs="Times New Roman"/>
                <w:sz w:val="18"/>
              </w:rPr>
              <w:t>—</w:t>
            </w:r>
          </w:p>
        </w:tc>
        <w:tc>
          <w:tcPr>
            <w:tcW w:type="dxa" w:w="1872"/>
          </w:tcPr>
          <w:p>
            <w:r/>
            <w:r>
              <w:rPr>
                <w:rFonts w:ascii="Times New Roman" w:hAnsi="Times New Roman" w:cs="Times New Roman"/>
                <w:sz w:val="18"/>
              </w:rPr>
              <w:t>none</w:t>
            </w:r>
          </w:p>
        </w:tc>
        <w:tc>
          <w:tcPr>
            <w:tcW w:type="dxa" w:w="1872"/>
          </w:tcPr>
          <w:p>
            <w:r/>
            <w:r>
              <w:rPr>
                <w:rFonts w:ascii="Times New Roman" w:hAnsi="Times New Roman" w:cs="Times New Roman"/>
                <w:b/>
                <w:sz w:val="18"/>
              </w:rPr>
              <w:t>Unsupported</w:t>
            </w:r>
          </w:p>
        </w:tc>
        <w:tc>
          <w:tcPr>
            <w:tcW w:type="dxa" w:w="1872"/>
          </w:tcPr>
          <w:p>
            <w:r/>
            <w:r>
              <w:rPr>
                <w:rFonts w:ascii="Times New Roman" w:hAnsi="Times New Roman" w:cs="Times New Roman"/>
                <w:sz w:val="18"/>
              </w:rPr>
              <w:t>Editor-only</w:t>
            </w:r>
          </w:p>
        </w:tc>
      </w:tr>
    </w:tbl>
    <w:p>
      <w:pPr>
        <w:spacing w:after="40"/>
      </w:pPr>
    </w:p>
    <w:p>
      <w:pPr>
        <w:spacing w:before="200" w:after="80"/>
      </w:pPr>
      <w:r>
        <w:rPr>
          <w:rFonts w:ascii="Times New Roman" w:hAnsi="Times New Roman" w:cs="Times New Roman"/>
          <w:b/>
          <w:sz w:val="24"/>
        </w:rPr>
        <w:t>F. Final quality checklist</w:t>
      </w:r>
    </w:p>
    <w:tbl>
      <w:tblPr>
        <w:tblStyle w:val="TableGrid"/>
        <w:tblW w:type="auto" w:w="0"/>
        <w:jc w:val="center"/>
        <w:tblLook w:firstColumn="1" w:firstRow="1" w:lastColumn="0" w:lastRow="0" w:noHBand="0" w:noVBand="1" w:val="04A0"/>
      </w:tblPr>
      <w:tblGrid>
        <w:gridCol w:w="4680"/>
        <w:gridCol w:w="4680"/>
      </w:tblGrid>
      <w:tr>
        <w:tc>
          <w:tcPr>
            <w:tcW w:type="dxa" w:w="4680"/>
          </w:tcPr>
          <w:p>
            <w:r/>
            <w:r>
              <w:rPr>
                <w:rFonts w:ascii="Times New Roman" w:hAnsi="Times New Roman" w:cs="Times New Roman"/>
                <w:b/>
                <w:sz w:val="18"/>
              </w:rPr>
              <w:t>Criterion</w:t>
            </w:r>
          </w:p>
        </w:tc>
        <w:tc>
          <w:tcPr>
            <w:tcW w:type="dxa" w:w="4680"/>
          </w:tcPr>
          <w:p>
            <w:r/>
            <w:r>
              <w:rPr>
                <w:rFonts w:ascii="Times New Roman" w:hAnsi="Times New Roman" w:cs="Times New Roman"/>
                <w:b/>
                <w:sz w:val="18"/>
              </w:rPr>
              <w:t>Status</w:t>
            </w:r>
          </w:p>
        </w:tc>
      </w:tr>
      <w:tr>
        <w:tc>
          <w:tcPr>
            <w:tcW w:type="dxa" w:w="4680"/>
          </w:tcPr>
          <w:p>
            <w:r/>
            <w:r>
              <w:rPr>
                <w:rFonts w:ascii="Times New Roman" w:hAnsi="Times New Roman" w:cs="Times New Roman"/>
                <w:sz w:val="18"/>
              </w:rPr>
              <w:t>Reports findings from collected data</w:t>
            </w:r>
          </w:p>
        </w:tc>
        <w:tc>
          <w:tcPr>
            <w:tcW w:type="dxa" w:w="4680"/>
          </w:tcPr>
          <w:p>
            <w:r/>
            <w:r>
              <w:rPr>
                <w:rFonts w:ascii="Times New Roman" w:hAnsi="Times New Roman" w:cs="Times New Roman"/>
                <w:sz w:val="18"/>
              </w:rPr>
              <w:t>Yes — baseline vs final metrics</w:t>
            </w:r>
          </w:p>
        </w:tc>
      </w:tr>
      <w:tr>
        <w:tc>
          <w:tcPr>
            <w:tcW w:type="dxa" w:w="4680"/>
          </w:tcPr>
          <w:p>
            <w:r/>
            <w:r>
              <w:rPr>
                <w:rFonts w:ascii="Times New Roman" w:hAnsi="Times New Roman" w:cs="Times New Roman"/>
                <w:sz w:val="18"/>
              </w:rPr>
              <w:t>Tables, graphs, figures</w:t>
            </w:r>
          </w:p>
        </w:tc>
        <w:tc>
          <w:tcPr>
            <w:tcW w:type="dxa" w:w="4680"/>
          </w:tcPr>
          <w:p>
            <w:r/>
            <w:r>
              <w:rPr>
                <w:rFonts w:ascii="Times New Roman" w:hAnsi="Times New Roman" w:cs="Times New Roman"/>
                <w:sz w:val="18"/>
              </w:rPr>
              <w:t>Yes — T1, T2, F1, F2 (F1/F2 generated)</w:t>
            </w:r>
          </w:p>
        </w:tc>
      </w:tr>
      <w:tr>
        <w:tc>
          <w:tcPr>
            <w:tcW w:type="dxa" w:w="4680"/>
          </w:tcPr>
          <w:p>
            <w:r/>
            <w:r>
              <w:rPr>
                <w:rFonts w:ascii="Times New Roman" w:hAnsi="Times New Roman" w:cs="Times New Roman"/>
                <w:sz w:val="18"/>
              </w:rPr>
              <w:t>Interpretation and comparison with published research</w:t>
            </w:r>
          </w:p>
        </w:tc>
        <w:tc>
          <w:tcPr>
            <w:tcW w:type="dxa" w:w="4680"/>
          </w:tcPr>
          <w:p>
            <w:r/>
            <w:r>
              <w:rPr>
                <w:rFonts w:ascii="Times New Roman" w:hAnsi="Times New Roman" w:cs="Times New Roman"/>
                <w:sz w:val="18"/>
              </w:rPr>
              <w:t>Yes — §7 uses the report's own avatar references; Cohen–Massaro flagged</w:t>
            </w:r>
          </w:p>
        </w:tc>
      </w:tr>
      <w:tr>
        <w:tc>
          <w:tcPr>
            <w:tcW w:type="dxa" w:w="4680"/>
          </w:tcPr>
          <w:p>
            <w:r/>
            <w:r>
              <w:rPr>
                <w:rFonts w:ascii="Times New Roman" w:hAnsi="Times New Roman" w:cs="Times New Roman"/>
                <w:sz w:val="18"/>
              </w:rPr>
              <w:t>Limitations and validity of the data</w:t>
            </w:r>
          </w:p>
        </w:tc>
        <w:tc>
          <w:tcPr>
            <w:tcW w:type="dxa" w:w="4680"/>
          </w:tcPr>
          <w:p>
            <w:r/>
            <w:r>
              <w:rPr>
                <w:rFonts w:ascii="Times New Roman" w:hAnsi="Times New Roman" w:cs="Times New Roman"/>
                <w:sz w:val="18"/>
              </w:rPr>
              <w:t>Yes — §8, human-evaluation gap central</w:t>
            </w:r>
          </w:p>
        </w:tc>
      </w:tr>
      <w:tr>
        <w:tc>
          <w:tcPr>
            <w:tcW w:type="dxa" w:w="4680"/>
          </w:tcPr>
          <w:p>
            <w:r/>
            <w:r>
              <w:rPr>
                <w:rFonts w:ascii="Times New Roman" w:hAnsi="Times New Roman" w:cs="Times New Roman"/>
                <w:sz w:val="18"/>
              </w:rPr>
              <w:t>Recommendations for future research</w:t>
            </w:r>
          </w:p>
        </w:tc>
        <w:tc>
          <w:tcPr>
            <w:tcW w:type="dxa" w:w="4680"/>
          </w:tcPr>
          <w:p>
            <w:r/>
            <w:r>
              <w:rPr>
                <w:rFonts w:ascii="Times New Roman" w:hAnsi="Times New Roman" w:cs="Times New Roman"/>
                <w:sz w:val="18"/>
              </w:rPr>
              <w:t>Yes — §8, six specific items</w:t>
            </w:r>
          </w:p>
        </w:tc>
      </w:tr>
      <w:tr>
        <w:tc>
          <w:tcPr>
            <w:tcW w:type="dxa" w:w="4680"/>
          </w:tcPr>
          <w:p>
            <w:r/>
            <w:r>
              <w:rPr>
                <w:rFonts w:ascii="Times New Roman" w:hAnsi="Times New Roman" w:cs="Times New Roman"/>
                <w:sz w:val="18"/>
              </w:rPr>
              <w:t>Separates results from interpretation</w:t>
            </w:r>
          </w:p>
        </w:tc>
        <w:tc>
          <w:tcPr>
            <w:tcW w:type="dxa" w:w="4680"/>
          </w:tcPr>
          <w:p>
            <w:r/>
            <w:r>
              <w:rPr>
                <w:rFonts w:ascii="Times New Roman" w:hAnsi="Times New Roman" w:cs="Times New Roman"/>
                <w:sz w:val="18"/>
              </w:rPr>
              <w:t>Yes — §6 factual, §7 interpretation</w:t>
            </w:r>
          </w:p>
        </w:tc>
      </w:tr>
      <w:tr>
        <w:tc>
          <w:tcPr>
            <w:tcW w:type="dxa" w:w="4680"/>
          </w:tcPr>
          <w:p>
            <w:r/>
            <w:r>
              <w:rPr>
                <w:rFonts w:ascii="Times New Roman" w:hAnsi="Times New Roman" w:cs="Times New Roman"/>
                <w:sz w:val="18"/>
              </w:rPr>
              <w:t>Reports negative/inconclusive findings</w:t>
            </w:r>
          </w:p>
        </w:tc>
        <w:tc>
          <w:tcPr>
            <w:tcW w:type="dxa" w:w="4680"/>
          </w:tcPr>
          <w:p>
            <w:r/>
            <w:r>
              <w:rPr>
                <w:rFonts w:ascii="Times New Roman" w:hAnsi="Times New Roman" w:cs="Times New Roman"/>
                <w:sz w:val="18"/>
              </w:rPr>
              <w:t>Yes — jitter, G2P non-isolation, unevaluated components</w:t>
            </w:r>
          </w:p>
        </w:tc>
      </w:tr>
      <w:tr>
        <w:tc>
          <w:tcPr>
            <w:tcW w:type="dxa" w:w="4680"/>
          </w:tcPr>
          <w:p>
            <w:r/>
            <w:r>
              <w:rPr>
                <w:rFonts w:ascii="Times New Roman" w:hAnsi="Times New Roman" w:cs="Times New Roman"/>
                <w:sz w:val="18"/>
              </w:rPr>
              <w:t>Avoids invented evidence</w:t>
            </w:r>
          </w:p>
        </w:tc>
        <w:tc>
          <w:tcPr>
            <w:tcW w:type="dxa" w:w="4680"/>
          </w:tcPr>
          <w:p>
            <w:r/>
            <w:r>
              <w:rPr>
                <w:rFonts w:ascii="Times New Roman" w:hAnsi="Times New Roman" w:cs="Times New Roman"/>
                <w:sz w:val="18"/>
              </w:rPr>
              <w:t>Yes</w:t>
            </w:r>
          </w:p>
        </w:tc>
      </w:tr>
      <w:tr>
        <w:tc>
          <w:tcPr>
            <w:tcW w:type="dxa" w:w="4680"/>
          </w:tcPr>
          <w:p>
            <w:r/>
            <w:r>
              <w:rPr>
                <w:rFonts w:ascii="Times New Roman" w:hAnsi="Times New Roman" w:cs="Times New Roman"/>
                <w:sz w:val="18"/>
              </w:rPr>
              <w:t>Answers the research question</w:t>
            </w:r>
          </w:p>
        </w:tc>
        <w:tc>
          <w:tcPr>
            <w:tcW w:type="dxa" w:w="4680"/>
          </w:tcPr>
          <w:p>
            <w:r/>
            <w:r>
              <w:rPr>
                <w:rFonts w:ascii="Times New Roman" w:hAnsi="Times New Roman" w:cs="Times New Roman"/>
                <w:sz w:val="18"/>
              </w:rPr>
              <w:t>Honestly bounded — enabling sub-question answered; headline RQ left open</w:t>
            </w:r>
          </w:p>
        </w:tc>
      </w:tr>
      <w:tr>
        <w:tc>
          <w:tcPr>
            <w:tcW w:type="dxa" w:w="4680"/>
          </w:tcPr>
          <w:p>
            <w:r/>
            <w:r>
              <w:rPr>
                <w:rFonts w:ascii="Times New Roman" w:hAnsi="Times New Roman" w:cs="Times New Roman"/>
                <w:sz w:val="18"/>
              </w:rPr>
              <w:t>Number-reporting rules</w:t>
            </w:r>
          </w:p>
        </w:tc>
        <w:tc>
          <w:tcPr>
            <w:tcW w:type="dxa" w:w="4680"/>
          </w:tcPr>
          <w:p>
            <w:r/>
            <w:r>
              <w:rPr>
                <w:rFonts w:ascii="Times New Roman" w:hAnsi="Times New Roman" w:cs="Times New Roman"/>
                <w:sz w:val="18"/>
              </w:rPr>
              <w:t>Yes — counts not percentages (n &lt; 20), spaced units, leading zeros, ranges with "to", "significant" avoided</w:t>
            </w:r>
          </w:p>
        </w:tc>
      </w:tr>
      <w:tr>
        <w:tc>
          <w:tcPr>
            <w:tcW w:type="dxa" w:w="4680"/>
          </w:tcPr>
          <w:p>
            <w:r/>
            <w:r>
              <w:rPr>
                <w:rFonts w:ascii="Times New Roman" w:hAnsi="Times New Roman" w:cs="Times New Roman"/>
                <w:sz w:val="18"/>
              </w:rPr>
              <w:t>No unsupported claims</w:t>
            </w:r>
          </w:p>
        </w:tc>
        <w:tc>
          <w:tcPr>
            <w:tcW w:type="dxa" w:w="4680"/>
          </w:tcPr>
          <w:p>
            <w:r/>
            <w:r>
              <w:rPr>
                <w:rFonts w:ascii="Times New Roman" w:hAnsi="Times New Roman" w:cs="Times New Roman"/>
                <w:sz w:val="18"/>
              </w:rPr>
              <w:t>Yes — unsupported items flagged</w:t>
            </w:r>
          </w:p>
        </w:tc>
      </w:tr>
    </w:tbl>
    <w:p>
      <w:pPr>
        <w:spacing w:after="40"/>
      </w:pPr>
    </w:p>
    <w:p>
      <w:pPr>
        <w:spacing w:before="200" w:after="80"/>
      </w:pPr>
      <w:r>
        <w:rPr>
          <w:rFonts w:ascii="Times New Roman" w:hAnsi="Times New Roman" w:cs="Times New Roman"/>
          <w:b/>
          <w:sz w:val="24"/>
        </w:rPr>
        <w:t>G. Data provenance (reproducibility)</w:t>
      </w:r>
    </w:p>
    <w:p>
      <w:pPr>
        <w:pStyle w:val="ListBullet"/>
      </w:pPr>
      <w:r>
        <w:rPr>
          <w:rFonts w:ascii="Times New Roman" w:hAnsi="Times New Roman" w:cs="Times New Roman"/>
          <w:sz w:val="20"/>
        </w:rPr>
        <w:t xml:space="preserve">Baseline run: </w:t>
      </w:r>
      <w:r>
        <w:rPr>
          <w:rFonts w:ascii="Consolas" w:hAnsi="Consolas" w:cs="Consolas"/>
          <w:sz w:val="19"/>
        </w:rPr>
        <w:t>unity-avatar/UnityAvatarProject/TestResults/lipsync/20260711_231911/</w:t>
      </w:r>
    </w:p>
    <w:p>
      <w:pPr>
        <w:pStyle w:val="ListBullet"/>
      </w:pPr>
      <w:r>
        <w:rPr>
          <w:rFonts w:ascii="Times New Roman" w:hAnsi="Times New Roman" w:cs="Times New Roman"/>
          <w:sz w:val="20"/>
        </w:rPr>
        <w:t xml:space="preserve">Final run: </w:t>
      </w:r>
      <w:r>
        <w:rPr>
          <w:rFonts w:ascii="Consolas" w:hAnsi="Consolas" w:cs="Consolas"/>
          <w:sz w:val="19"/>
        </w:rPr>
        <w:t>unity-avatar/UnityAvatarProject/TestResults/lipsync/20260712_000426/</w:t>
      </w:r>
    </w:p>
    <w:p>
      <w:pPr>
        <w:pStyle w:val="ListBullet"/>
      </w:pPr>
      <w:r>
        <w:rPr>
          <w:rFonts w:ascii="Times New Roman" w:hAnsi="Times New Roman" w:cs="Times New Roman"/>
          <w:sz w:val="20"/>
        </w:rPr>
        <w:t xml:space="preserve">Metric definitions / thresholds: </w:t>
      </w:r>
      <w:r>
        <w:rPr>
          <w:rFonts w:ascii="Consolas" w:hAnsi="Consolas" w:cs="Consolas"/>
          <w:sz w:val="19"/>
        </w:rPr>
        <w:t>Assets/Scripts/Testing/LipSyncMetrics.cs</w:t>
      </w:r>
    </w:p>
    <w:p>
      <w:pPr>
        <w:pStyle w:val="ListBullet"/>
      </w:pPr>
      <w:r>
        <w:rPr>
          <w:rFonts w:ascii="Times New Roman" w:hAnsi="Times New Roman" w:cs="Times New Roman"/>
          <w:sz w:val="20"/>
        </w:rPr>
        <w:t xml:space="preserve">Co-articulation engine: </w:t>
      </w:r>
      <w:r>
        <w:rPr>
          <w:rFonts w:ascii="Consolas" w:hAnsi="Consolas" w:cs="Consolas"/>
          <w:sz w:val="19"/>
        </w:rPr>
        <w:t>Assets/Scripts/LipSync/CoarticulationEngine.cs</w:t>
      </w:r>
    </w:p>
    <w:p>
      <w:pPr>
        <w:pStyle w:val="ListBullet"/>
      </w:pPr>
      <w:r>
        <w:rPr>
          <w:rFonts w:ascii="Times New Roman" w:hAnsi="Times New Roman" w:cs="Times New Roman"/>
          <w:sz w:val="20"/>
        </w:rPr>
        <w:t xml:space="preserve">Raw data: </w:t>
      </w:r>
      <w:r>
        <w:rPr>
          <w:rFonts w:ascii="Consolas" w:hAnsi="Consolas" w:cs="Consolas"/>
          <w:sz w:val="19"/>
        </w:rPr>
        <w:t>&lt;run&gt;/&lt;fixture&gt;.csv</w:t>
      </w:r>
      <w:r>
        <w:rPr>
          <w:rFonts w:ascii="Times New Roman" w:hAnsi="Times New Roman" w:cs="Times New Roman"/>
          <w:sz w:val="20"/>
        </w:rPr>
        <w:t xml:space="preserve">, </w:t>
      </w:r>
      <w:r>
        <w:rPr>
          <w:rFonts w:ascii="Consolas" w:hAnsi="Consolas" w:cs="Consolas"/>
          <w:sz w:val="19"/>
        </w:rPr>
        <w:t>&lt;run&gt;/&lt;fixture&gt;_metrics.json</w:t>
      </w:r>
      <w:r>
        <w:rPr>
          <w:rFonts w:ascii="Times New Roman" w:hAnsi="Times New Roman" w:cs="Times New Roman"/>
          <w:sz w:val="20"/>
        </w:rPr>
        <w:t xml:space="preserve">; screenshots: </w:t>
      </w:r>
      <w:r>
        <w:rPr>
          <w:rFonts w:ascii="Consolas" w:hAnsi="Consolas" w:cs="Consolas"/>
          <w:sz w:val="19"/>
        </w:rPr>
        <w:t>&lt;run&gt;/&lt;fixture&gt;_&lt;label&gt;_&lt;ms&gt;.png</w:t>
      </w:r>
    </w:p>
    <w:p>
      <w:pPr>
        <w:pStyle w:val="ListBullet"/>
      </w:pPr>
      <w:r>
        <w:rPr>
          <w:rFonts w:ascii="Times New Roman" w:hAnsi="Times New Roman" w:cs="Times New Roman"/>
          <w:sz w:val="20"/>
        </w:rPr>
        <w:t xml:space="preserve">Figures generated by </w:t>
      </w:r>
      <w:r>
        <w:rPr>
          <w:rFonts w:ascii="Consolas" w:hAnsi="Consolas" w:cs="Consolas"/>
          <w:sz w:val="19"/>
        </w:rPr>
        <w:t>scripts/make-figures.py</w:t>
      </w:r>
      <w:r>
        <w:rPr>
          <w:rFonts w:ascii="Times New Roman" w:hAnsi="Times New Roman" w:cs="Times New Roman"/>
          <w:sz w:val="20"/>
        </w:rPr>
        <w:t xml:space="preserve"> (reads the two TestResults runs above) into </w:t>
      </w:r>
      <w:r>
        <w:rPr>
          <w:rFonts w:ascii="Consolas" w:hAnsi="Consolas" w:cs="Consolas"/>
          <w:sz w:val="19"/>
        </w:rPr>
        <w:t>docs/report/figures/</w:t>
      </w:r>
      <w:r>
        <w:rPr>
          <w:rFonts w:ascii="Times New Roman" w:hAnsi="Times New Roman" w:cs="Times New Roman"/>
          <w:sz w:val="20"/>
        </w:rPr>
        <w:t xml:space="preserve"> — </w:t>
      </w:r>
      <w:r>
        <w:rPr>
          <w:rFonts w:ascii="Consolas" w:hAnsi="Consolas" w:cs="Consolas"/>
          <w:sz w:val="19"/>
        </w:rPr>
        <w:t>fig1_checks_passed.png</w:t>
      </w:r>
      <w:r>
        <w:rPr>
          <w:rFonts w:ascii="Times New Roman" w:hAnsi="Times New Roman" w:cs="Times New Roman"/>
          <w:sz w:val="20"/>
        </w:rPr>
        <w:t xml:space="preserve">, </w:t>
      </w:r>
      <w:r>
        <w:rPr>
          <w:rFonts w:ascii="Consolas" w:hAnsi="Consolas" w:cs="Consolas"/>
          <w:sz w:val="19"/>
        </w:rPr>
        <w:t>fig2_viseme_montage.png</w:t>
      </w:r>
      <w:r>
        <w:rPr>
          <w:rFonts w:ascii="Times New Roman" w:hAnsi="Times New Roman" w:cs="Times New Roman"/>
          <w:sz w:val="20"/>
        </w:rPr>
        <w:t xml:space="preserve">, </w:t>
      </w:r>
      <w:r>
        <w:rPr>
          <w:rFonts w:ascii="Consolas" w:hAnsi="Consolas" w:cs="Consolas"/>
          <w:sz w:val="19"/>
        </w:rPr>
        <w:t>fig3_bilabial_curves.png</w:t>
      </w:r>
      <w:r>
        <w:rPr>
          <w:rFonts w:ascii="Times New Roman" w:hAnsi="Times New Roman" w:cs="Times New Roman"/>
          <w:sz w:val="20"/>
        </w:rPr>
        <w:t xml:space="preserve">; Fig 2 viseme face captures in </w:t>
      </w:r>
      <w:r>
        <w:rPr>
          <w:rFonts w:ascii="Consolas" w:hAnsi="Consolas" w:cs="Consolas"/>
          <w:sz w:val="19"/>
        </w:rPr>
        <w:t>figures/_captures/</w:t>
      </w:r>
    </w:p>
    <w:p>
      <w:pPr>
        <w:pStyle w:val="ListBullet"/>
      </w:pPr>
      <w:r>
        <w:rPr>
          <w:rFonts w:ascii="Times New Roman" w:hAnsi="Times New Roman" w:cs="Times New Roman"/>
          <w:sz w:val="20"/>
        </w:rPr>
        <w:t xml:space="preserve">Latency instrumentation (stages / </w:t>
      </w:r>
      <w:r>
        <w:rPr>
          <w:rFonts w:ascii="Consolas" w:hAnsi="Consolas" w:cs="Consolas"/>
          <w:sz w:val="19"/>
        </w:rPr>
        <w:t>[LATENCY SUMMARY]</w:t>
      </w:r>
      <w:r>
        <w:rPr>
          <w:rFonts w:ascii="Times New Roman" w:hAnsi="Times New Roman" w:cs="Times New Roman"/>
          <w:sz w:val="20"/>
        </w:rPr>
        <w:t xml:space="preserve">): </w:t>
      </w:r>
      <w:r>
        <w:rPr>
          <w:rFonts w:ascii="Consolas" w:hAnsi="Consolas" w:cs="Consolas"/>
          <w:sz w:val="19"/>
        </w:rPr>
        <w:t>src/features/voice/hooks/useAvatarConversation.js</w:t>
      </w:r>
    </w:p>
    <w:p>
      <w:pPr>
        <w:pStyle w:val="ListBullet"/>
      </w:pPr>
      <w:r>
        <w:rPr>
          <w:rFonts w:ascii="Times New Roman" w:hAnsi="Times New Roman" w:cs="Times New Roman"/>
          <w:sz w:val="20"/>
        </w:rPr>
        <w:t>RAG parameters (</w:t>
      </w:r>
      <w:r>
        <w:rPr>
          <w:rFonts w:ascii="Consolas" w:hAnsi="Consolas" w:cs="Consolas"/>
          <w:sz w:val="19"/>
        </w:rPr>
        <w:t>TOP_K</w:t>
      </w:r>
      <w:r>
        <w:rPr>
          <w:rFonts w:ascii="Times New Roman" w:hAnsi="Times New Roman" w:cs="Times New Roman"/>
          <w:sz w:val="20"/>
        </w:rPr>
        <w:t xml:space="preserve">, </w:t>
      </w:r>
      <w:r>
        <w:rPr>
          <w:rFonts w:ascii="Consolas" w:hAnsi="Consolas" w:cs="Consolas"/>
          <w:sz w:val="19"/>
        </w:rPr>
        <w:t>MIN_SIMILARITY</w:t>
      </w:r>
      <w:r>
        <w:rPr>
          <w:rFonts w:ascii="Times New Roman" w:hAnsi="Times New Roman" w:cs="Times New Roman"/>
          <w:sz w:val="20"/>
        </w:rPr>
        <w:t xml:space="preserve">, source-family cap, models): </w:t>
      </w:r>
      <w:r>
        <w:rPr>
          <w:rFonts w:ascii="Consolas" w:hAnsi="Consolas" w:cs="Consolas"/>
          <w:sz w:val="19"/>
        </w:rPr>
        <w:t>src/lib/openaiService.js</w:t>
      </w:r>
      <w:r>
        <w:rPr>
          <w:rFonts w:ascii="Times New Roman" w:hAnsi="Times New Roman" w:cs="Times New Roman"/>
          <w:sz w:val="20"/>
        </w:rPr>
        <w:t xml:space="preserve">; local knowledge base seed (70 chunks, 7 categories): </w:t>
      </w:r>
      <w:r>
        <w:rPr>
          <w:rFonts w:ascii="Consolas" w:hAnsi="Consolas" w:cs="Consolas"/>
          <w:sz w:val="19"/>
        </w:rPr>
        <w:t>src/features/library/data/knowledgeBase.js</w:t>
      </w:r>
      <w:r>
        <w:rPr>
          <w:rFonts w:ascii="Times New Roman" w:hAnsi="Times New Roman" w:cs="Times New Roman"/>
          <w:sz w:val="20"/>
        </w:rPr>
        <w:t xml:space="preserve">; deployed knowledge base (449 chunks incl. iSupport): Supabase </w:t>
      </w:r>
      <w:r>
        <w:rPr>
          <w:rFonts w:ascii="Consolas" w:hAnsi="Consolas" w:cs="Consolas"/>
          <w:sz w:val="19"/>
        </w:rPr>
        <w:t>knowledge_chunks</w:t>
      </w:r>
    </w:p>
    <w:p>
      <w:pPr>
        <w:pStyle w:val="ListBullet"/>
      </w:pPr>
      <w:r>
        <w:rPr>
          <w:rFonts w:ascii="Times New Roman" w:hAnsi="Times New Roman" w:cs="Times New Roman"/>
          <w:sz w:val="20"/>
        </w:rPr>
        <w:t xml:space="preserve">RAG evaluation: </w:t>
      </w:r>
      <w:r>
        <w:rPr>
          <w:rFonts w:ascii="Consolas" w:hAnsi="Consolas" w:cs="Consolas"/>
          <w:sz w:val="19"/>
        </w:rPr>
        <w:t>scripts/rag-eval.mjs</w:t>
      </w:r>
      <w:r>
        <w:rPr>
          <w:rFonts w:ascii="Times New Roman" w:hAnsi="Times New Roman" w:cs="Times New Roman"/>
          <w:sz w:val="20"/>
        </w:rPr>
        <w:t xml:space="preserve">, </w:t>
      </w:r>
      <w:r>
        <w:rPr>
          <w:rFonts w:ascii="Consolas" w:hAnsi="Consolas" w:cs="Consolas"/>
          <w:sz w:val="19"/>
        </w:rPr>
        <w:t>scripts/rag-grade.mjs</w:t>
      </w:r>
      <w:r>
        <w:rPr>
          <w:rFonts w:ascii="Times New Roman" w:hAnsi="Times New Roman" w:cs="Times New Roman"/>
          <w:sz w:val="20"/>
        </w:rPr>
        <w:t xml:space="preserve">; question set </w:t>
      </w:r>
      <w:r>
        <w:rPr>
          <w:rFonts w:ascii="Consolas" w:hAnsi="Consolas" w:cs="Consolas"/>
          <w:sz w:val="19"/>
        </w:rPr>
        <w:t>docs/report/rag_eval_question_set.md</w:t>
      </w:r>
      <w:r>
        <w:rPr>
          <w:rFonts w:ascii="Times New Roman" w:hAnsi="Times New Roman" w:cs="Times New Roman"/>
          <w:sz w:val="20"/>
        </w:rPr>
        <w:t xml:space="preserve">; results </w:t>
      </w:r>
      <w:r>
        <w:rPr>
          <w:rFonts w:ascii="Consolas" w:hAnsi="Consolas" w:cs="Consolas"/>
          <w:sz w:val="19"/>
        </w:rPr>
        <w:t>rag_eval_results.csv</w:t>
      </w:r>
      <w:r>
        <w:rPr>
          <w:rFonts w:ascii="Times New Roman" w:hAnsi="Times New Roman" w:cs="Times New Roman"/>
          <w:sz w:val="20"/>
        </w:rPr>
        <w:t xml:space="preserve">, </w:t>
      </w:r>
      <w:r>
        <w:rPr>
          <w:rFonts w:ascii="Consolas" w:hAnsi="Consolas" w:cs="Consolas"/>
          <w:sz w:val="19"/>
        </w:rPr>
        <w:t>rag_eval_graded.csv</w:t>
      </w:r>
    </w:p>
    <w:p>
      <w:pPr>
        <w:spacing w:before="200" w:after="80"/>
      </w:pPr>
      <w:r>
        <w:rPr>
          <w:rFonts w:ascii="Times New Roman" w:hAnsi="Times New Roman" w:cs="Times New Roman"/>
          <w:b/>
          <w:sz w:val="24"/>
        </w:rPr>
        <w:t>H. References addendum (to merge into the report bibliography)</w:t>
      </w:r>
    </w:p>
    <w:p>
      <w:pPr>
        <w:jc w:val="both"/>
      </w:pPr>
      <w:r>
        <w:rPr>
          <w:rFonts w:ascii="Times New Roman" w:hAnsi="Times New Roman" w:cs="Times New Roman"/>
          <w:sz w:val="20"/>
        </w:rPr>
        <w:t>The following source is cited in §7 but is not yet in the report's reference list. Confirm the editors and page range against your citation style before merging.</w:t>
      </w:r>
    </w:p>
    <w:p>
      <w:pPr>
        <w:pStyle w:val="ListBullet"/>
      </w:pPr>
      <w:r>
        <w:rPr>
          <w:rFonts w:ascii="Times New Roman" w:hAnsi="Times New Roman" w:cs="Times New Roman"/>
          <w:sz w:val="20"/>
        </w:rPr>
        <w:t xml:space="preserve">Cohen, M. M., &amp; Massaro, D. W. (1993). Modeling coarticulation in synthetic visual speech. In N. Magnenat-Thalmann &amp; D. Thalmann (Eds.), </w:t>
      </w:r>
      <w:r>
        <w:rPr>
          <w:rFonts w:ascii="Times New Roman" w:hAnsi="Times New Roman" w:cs="Times New Roman"/>
          <w:i/>
          <w:sz w:val="20"/>
        </w:rPr>
        <w:t>Models and Techniques in Computer Animation</w:t>
      </w:r>
      <w:r>
        <w:rPr>
          <w:rFonts w:ascii="Times New Roman" w:hAnsi="Times New Roman" w:cs="Times New Roman"/>
          <w:sz w:val="20"/>
        </w:rPr>
        <w:t xml:space="preserve"> (pp. 139–156). Springer-Verlag.</w:t>
      </w:r>
    </w:p>
    <w:p>
      <w:pPr>
        <w:jc w:val="both"/>
      </w:pPr>
      <w:r>
        <w:rPr>
          <w:rFonts w:ascii="Times New Roman" w:hAnsi="Times New Roman" w:cs="Times New Roman"/>
          <w:sz w:val="20"/>
        </w:rPr>
        <w:t>All other in-text citations in §7 (Chattopadhyay et al., 2020; Rampioni et al., 2021; Stara et al., 2021; Laranjo et al., 2018) are already present in the report's existing reference list.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