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200" w:after="80"/>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551 dementia-care chunks (72 hand-curated New Zealand chunks plus 479 WHO/NZ iSupport course chunks),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a Reallusion Character Creator 4 (CC4) avatar rendered in Unity and embedded through a Unity-as-a-Library native bridge; a Three.js WebView renderer is the alternative avatar path.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avatar articulation engine (Section 2), the RAG grounding and safety layer (Section 3), and the end-to-end voice latency after a streaming redesign (Section 4). Section 5 sets out the major steps for the remainder of the project.</w:t>
      </w:r>
    </w:p>
    <w:p>
      <w:pPr>
        <w:spacing w:before="200" w:after="80"/>
      </w:pPr>
      <w:r>
        <w:rPr>
          <w:rFonts w:ascii="Times New Roman" w:hAnsi="Times New Roman" w:cs="Times New Roman"/>
          <w:b/>
          <w:sz w:val="28"/>
        </w:rPr>
        <w:t>2. Avatar articulation engine</w:t>
      </w:r>
    </w:p>
    <w:p>
      <w:pPr>
        <w:spacing w:before="20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spacing w:after="120"/>
        <w:ind w:left="432" w:right="432"/>
      </w:pP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 xml:space="preserve">)) for </w:t>
      </w:r>
      <w:r>
        <w:rPr>
          <w:rFonts w:ascii="Times New Roman" w:hAnsi="Times New Roman" w:cs="Times New Roman"/>
          <w:i/>
          <w:sz w:val="22"/>
        </w:rPr>
        <w:t>a</w:t>
      </w:r>
      <w:r>
        <w:rPr>
          <w:rFonts w:ascii="Times New Roman" w:hAnsi="Times New Roman" w:cs="Times New Roman"/>
          <w:i/>
          <w:sz w:val="22"/>
          <w:vertAlign w:val="subscript"/>
        </w:rPr>
        <w:t>i</w:t>
      </w:r>
      <w:r>
        <w:rPr>
          <w:rFonts w:ascii="Times New Roman" w:hAnsi="Times New Roman" w:cs="Times New Roman"/>
          <w:i/>
          <w:sz w:val="22"/>
        </w:rPr>
        <w:t xml:space="preserve"> &lt; </w:t>
      </w:r>
      <w:r>
        <w:rPr>
          <w:rFonts w:ascii="Times New Roman" w:hAnsi="Times New Roman" w:cs="Times New Roman"/>
          <w:i/>
          <w:sz w:val="22"/>
        </w:rPr>
        <w:t>t</w:t>
      </w:r>
      <w:r>
        <w:rPr>
          <w:rFonts w:ascii="Times New Roman" w:hAnsi="Times New Roman" w:cs="Times New Roman"/>
          <w:i/>
          <w:sz w:val="22"/>
        </w:rPr>
        <w:t xml:space="preserve"> &lt; </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1 for </w:t>
      </w:r>
      <w:r>
        <w:rPr>
          <w:rFonts w:ascii="Times New Roman" w:hAnsi="Times New Roman" w:cs="Times New Roman"/>
          <w:i/>
          <w:sz w:val="22"/>
        </w:rPr>
        <w:t>p</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1 − </w:t>
      </w:r>
      <w:r>
        <w:rPr>
          <w:rFonts w:ascii="Times New Roman" w:hAnsi="Times New Roman" w:cs="Times New Roman"/>
          <w:i/>
          <w:sz w:val="22"/>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f</w:t>
      </w:r>
      <w:r>
        <w:rPr>
          <w:rFonts w:ascii="Times New Roman" w:hAnsi="Times New Roman" w:cs="Times New Roman"/>
          <w:i/>
          <w:sz w:val="22"/>
          <w:vertAlign w:val="subscript"/>
        </w:rPr>
        <w:t>i</w:t>
      </w:r>
      <w:r>
        <w:rPr>
          <w:rFonts w:ascii="Times New Roman" w:hAnsi="Times New Roman" w:cs="Times New Roman"/>
          <w:i/>
          <w:sz w:val="22"/>
        </w:rPr>
        <w:t xml:space="preserve"> −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for </w:t>
      </w:r>
      <w:r>
        <w:rPr>
          <w:rFonts w:ascii="Times New Roman" w:hAnsi="Times New Roman" w:cs="Times New Roman"/>
          <w:i/>
          <w:sz w:val="22"/>
        </w:rPr>
        <w:t>s</w:t>
      </w:r>
      <w:r>
        <w:rPr>
          <w:rFonts w:ascii="Times New Roman" w:hAnsi="Times New Roman" w:cs="Times New Roman"/>
          <w:i/>
          <w:sz w:val="22"/>
          <w:vertAlign w:val="subscript"/>
        </w:rPr>
        <w:t>i</w:t>
      </w:r>
      <w:r>
        <w:rPr>
          <w:rFonts w:ascii="Times New Roman" w:hAnsi="Times New Roman" w:cs="Times New Roman"/>
          <w:i/>
          <w:sz w:val="22"/>
        </w:rPr>
        <w:t xml:space="preserve"> &lt; </w:t>
      </w:r>
      <w:r>
        <w:rPr>
          <w:rFonts w:ascii="Times New Roman" w:hAnsi="Times New Roman" w:cs="Times New Roman"/>
          <w:i/>
          <w:sz w:val="22"/>
        </w:rPr>
        <w:t>t</w:t>
      </w:r>
      <w:r>
        <w:rPr>
          <w:rFonts w:ascii="Times New Roman" w:hAnsi="Times New Roman" w:cs="Times New Roman"/>
          <w:i/>
          <w:sz w:val="22"/>
        </w:rPr>
        <w:t xml:space="preserve"> &lt; </w:t>
      </w:r>
      <w:r>
        <w:rPr>
          <w:rFonts w:ascii="Times New Roman" w:hAnsi="Times New Roman" w:cs="Times New Roman"/>
          <w:i/>
          <w:sz w:val="22"/>
        </w:rPr>
        <w:t>f</w:t>
      </w:r>
      <w:r>
        <w:rPr>
          <w:rFonts w:ascii="Times New Roman" w:hAnsi="Times New Roman" w:cs="Times New Roman"/>
          <w:i/>
          <w:sz w:val="22"/>
          <w:vertAlign w:val="subscript"/>
        </w:rPr>
        <w:t>i</w:t>
      </w:r>
      <w:r>
        <w:rPr>
          <w:rFonts w:ascii="Times New Roman" w:hAnsi="Times New Roman" w:cs="Times New Roman"/>
          <w:i/>
          <w:sz w:val="22"/>
        </w:rPr>
        <w:t>;  0 otherwise,</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w:t>
      </w:r>
    </w:p>
    <w:p>
      <w:pPr>
        <w:spacing w:after="120"/>
        <w:ind w:left="432" w:right="432"/>
      </w:pPr>
      <w:r>
        <w:rPr>
          <w:rFonts w:ascii="Times New Roman" w:hAnsi="Times New Roman" w:cs="Times New Roman"/>
          <w:i/>
          <w:sz w:val="22"/>
        </w:rPr>
        <w:t>w</w:t>
      </w:r>
      <w:r>
        <w:rPr>
          <w:rFonts w:ascii="Times New Roman" w:hAnsi="Times New Roman" w:cs="Times New Roman"/>
          <w:i/>
          <w:sz w:val="22"/>
          <w:vertAlign w:val="subscript"/>
        </w:rPr>
        <w:t>s</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 = Σ&lt;sub&gt;</w:t>
      </w:r>
      <w:r>
        <w:rPr>
          <w:rFonts w:ascii="Times New Roman" w:hAnsi="Times New Roman" w:cs="Times New Roman"/>
          <w:i/>
          <w:sz w:val="22"/>
        </w:rPr>
        <w:t>i</w:t>
      </w:r>
      <w:r>
        <w:rPr>
          <w:rFonts w:ascii="Times New Roman" w:hAnsi="Times New Roman" w:cs="Times New Roman"/>
          <w:i/>
          <w:sz w:val="22"/>
        </w:rPr>
        <w:t xml:space="preserve">&lt;/sub&gt; </w:t>
      </w: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w:t>
      </w:r>
      <w:r>
        <w:rPr>
          <w:rFonts w:ascii="Times New Roman" w:hAnsi="Times New Roman" w:cs="Times New Roman"/>
          <w:i/>
          <w:sz w:val="22"/>
          <w:vertAlign w:val="superscript"/>
        </w:rPr>
        <w:t>ρ</w:t>
      </w:r>
      <w:r>
        <w:rPr>
          <w:rFonts w:ascii="Times New Roman" w:hAnsi="Times New Roman" w:cs="Times New Roman"/>
          <w:i/>
          <w:sz w:val="22"/>
        </w:rPr>
        <w:t xml:space="preserve"> · τ&lt;sub&gt;</w:t>
      </w:r>
      <w:r>
        <w:rPr>
          <w:rFonts w:ascii="Times New Roman" w:hAnsi="Times New Roman" w:cs="Times New Roman"/>
          <w:i/>
          <w:sz w:val="22"/>
        </w:rPr>
        <w:t>i</w:t>
      </w:r>
      <w:r>
        <w:rPr>
          <w:rFonts w:ascii="Times New Roman" w:hAnsi="Times New Roman" w:cs="Times New Roman"/>
          <w:i/>
          <w:sz w:val="22"/>
        </w:rPr>
        <w:t>,</w:t>
      </w:r>
      <w:r>
        <w:rPr>
          <w:rFonts w:ascii="Times New Roman" w:hAnsi="Times New Roman" w:cs="Times New Roman"/>
          <w:i/>
          <w:sz w:val="22"/>
        </w:rPr>
        <w:t>s</w:t>
      </w:r>
      <w:r>
        <w:rPr>
          <w:rFonts w:ascii="Times New Roman" w:hAnsi="Times New Roman" w:cs="Times New Roman"/>
          <w:i/>
          <w:sz w:val="22"/>
        </w:rPr>
        <w:t>&lt;/sub&gt; / max(Σ&lt;sub&gt;</w:t>
      </w:r>
      <w:r>
        <w:rPr>
          <w:rFonts w:ascii="Times New Roman" w:hAnsi="Times New Roman" w:cs="Times New Roman"/>
          <w:i/>
          <w:sz w:val="22"/>
        </w:rPr>
        <w:t>i</w:t>
      </w:r>
      <w:r>
        <w:rPr>
          <w:rFonts w:ascii="Times New Roman" w:hAnsi="Times New Roman" w:cs="Times New Roman"/>
          <w:i/>
          <w:sz w:val="22"/>
        </w:rPr>
        <w:t xml:space="preserve">&lt;/sub&gt; </w:t>
      </w:r>
      <w:r>
        <w:rPr>
          <w:rFonts w:ascii="Times New Roman" w:hAnsi="Times New Roman" w:cs="Times New Roman"/>
          <w:i/>
          <w:sz w:val="22"/>
        </w:rPr>
        <w:t>D</w:t>
      </w:r>
      <w:r>
        <w:rPr>
          <w:rFonts w:ascii="Times New Roman" w:hAnsi="Times New Roman" w:cs="Times New Roman"/>
          <w:i/>
          <w:sz w:val="22"/>
          <w:vertAlign w:val="subscript"/>
        </w:rPr>
        <w:t>i</w:t>
      </w:r>
      <w:r>
        <w:rPr>
          <w:rFonts w:ascii="Times New Roman" w:hAnsi="Times New Roman" w:cs="Times New Roman"/>
          <w:i/>
          <w:sz w:val="22"/>
        </w:rPr>
        <w:t>(</w:t>
      </w:r>
      <w:r>
        <w:rPr>
          <w:rFonts w:ascii="Times New Roman" w:hAnsi="Times New Roman" w:cs="Times New Roman"/>
          <w:i/>
          <w:sz w:val="22"/>
        </w:rPr>
        <w:t>t</w:t>
      </w:r>
      <w:r>
        <w:rPr>
          <w:rFonts w:ascii="Times New Roman" w:hAnsi="Times New Roman" w:cs="Times New Roman"/>
          <w:i/>
          <w:sz w:val="22"/>
        </w:rPr>
        <w:t>)</w:t>
      </w:r>
      <w:r>
        <w:rPr>
          <w:rFonts w:ascii="Times New Roman" w:hAnsi="Times New Roman" w:cs="Times New Roman"/>
          <w:i/>
          <w:sz w:val="22"/>
          <w:vertAlign w:val="superscript"/>
        </w:rPr>
        <w:t>ρ</w:t>
      </w:r>
      <w:r>
        <w:rPr>
          <w:rFonts w:ascii="Times New Roman" w:hAnsi="Times New Roman" w:cs="Times New Roman"/>
          <w:i/>
          <w:sz w:val="22"/>
        </w:rPr>
        <w:t>, 1),</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τ</w:t>
      </w:r>
      <w:r>
        <w:rPr>
          <w:rFonts w:ascii="Times New Roman" w:hAnsi="Times New Roman" w:cs="Times New Roman"/>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while a closure is dominant, guaranteeing that the lips visibly meet. The engine is pure C# with no engine-state dependency: curves are baked once per utterance and playback is a constant-time frame lookup.</w:t>
      </w:r>
    </w:p>
    <w:p>
      <w:pPr>
        <w:jc w:val="both"/>
      </w:pPr>
      <w:r>
        <w:rPr>
          <w:rFonts w:ascii="Times New Roman" w:hAnsi="Times New Roman" w:cs="Times New Roman"/>
          <w:sz w:val="24"/>
        </w:rPr>
        <w:t>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20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chosen over visual inspection so that every design iteration could be scored identically and the suite could serve as a standing regression test. The loop plays a fixture through the production message entry point, records all facial blendshape weights each frame (about 90 Hz; 147 to 209 samples per fixture across the two runs), and scores the recording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is additionally reported — the root-mean-square second difference of all curves on a 60 Hz grid ("jitter RMS") — but not gated. The identical suite was run on the baseline pipeline (2026-07-11) and the final pipeline (2026-07-12), giving a controlled before-and-after comparison.</w:t>
      </w:r>
    </w:p>
    <w:p>
      <w:pPr>
        <w:spacing w:before="20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Figure 1). Every fixture improved, with the largest absolute gain in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Fixture</w:t>
            </w:r>
          </w:p>
        </w:tc>
        <w:tc>
          <w:tcPr>
            <w:tcW w:type="dxa" w:w="3009"/>
          </w:tcPr>
          <w:p>
            <w:r/>
            <w:r>
              <w:rPr>
                <w:rFonts w:ascii="Times New Roman" w:hAnsi="Times New Roman" w:cs="Times New Roman"/>
                <w:b/>
                <w:sz w:val="20"/>
              </w:rPr>
              <w:t>Baseline</w:t>
            </w:r>
          </w:p>
        </w:tc>
        <w:tc>
          <w:tcPr>
            <w:tcW w:type="dxa" w:w="3009"/>
          </w:tcPr>
          <w:p>
            <w:r/>
            <w:r>
              <w:rPr>
                <w:rFonts w:ascii="Times New Roman" w:hAnsi="Times New Roman" w:cs="Times New Roman"/>
                <w:b/>
                <w:sz w:val="20"/>
              </w:rPr>
              <w:t>Final</w:t>
            </w:r>
          </w:p>
        </w:tc>
      </w:tr>
      <w:tr>
        <w:tc>
          <w:tcPr>
            <w:tcW w:type="dxa" w:w="3009"/>
          </w:tcPr>
          <w:p>
            <w:r/>
            <w:r>
              <w:rPr>
                <w:rFonts w:ascii="Times New Roman" w:hAnsi="Times New Roman" w:cs="Times New Roman"/>
                <w:sz w:val="20"/>
              </w:rPr>
              <w:t>bilabials</w:t>
            </w:r>
          </w:p>
        </w:tc>
        <w:tc>
          <w:tcPr>
            <w:tcW w:type="dxa" w:w="3009"/>
          </w:tcPr>
          <w:p>
            <w:r/>
            <w:r>
              <w:rPr>
                <w:rFonts w:ascii="Times New Roman" w:hAnsi="Times New Roman" w:cs="Times New Roman"/>
                <w:sz w:val="20"/>
              </w:rPr>
              <w:t>6 / 17</w:t>
            </w:r>
          </w:p>
        </w:tc>
        <w:tc>
          <w:tcPr>
            <w:tcW w:type="dxa" w:w="3009"/>
          </w:tcPr>
          <w:p>
            <w:r/>
            <w:r>
              <w:rPr>
                <w:rFonts w:ascii="Times New Roman" w:hAnsi="Times New Roman" w:cs="Times New Roman"/>
                <w:sz w:val="20"/>
              </w:rPr>
              <w:t>17 / 17</w:t>
            </w:r>
          </w:p>
        </w:tc>
      </w:tr>
      <w:tr>
        <w:tc>
          <w:tcPr>
            <w:tcW w:type="dxa" w:w="3009"/>
          </w:tcPr>
          <w:p>
            <w:r/>
            <w:r>
              <w:rPr>
                <w:rFonts w:ascii="Times New Roman" w:hAnsi="Times New Roman" w:cs="Times New Roman"/>
                <w:sz w:val="20"/>
              </w:rPr>
              <w:t>dental</w:t>
            </w:r>
          </w:p>
        </w:tc>
        <w:tc>
          <w:tcPr>
            <w:tcW w:type="dxa" w:w="3009"/>
          </w:tcPr>
          <w:p>
            <w:r/>
            <w:r>
              <w:rPr>
                <w:rFonts w:ascii="Times New Roman" w:hAnsi="Times New Roman" w:cs="Times New Roman"/>
                <w:sz w:val="20"/>
              </w:rPr>
              <w:t>4 / 13</w:t>
            </w:r>
          </w:p>
        </w:tc>
        <w:tc>
          <w:tcPr>
            <w:tcW w:type="dxa" w:w="3009"/>
          </w:tcPr>
          <w:p>
            <w:r/>
            <w:r>
              <w:rPr>
                <w:rFonts w:ascii="Times New Roman" w:hAnsi="Times New Roman" w:cs="Times New Roman"/>
                <w:sz w:val="20"/>
              </w:rPr>
              <w:t>13 / 13</w:t>
            </w:r>
          </w:p>
        </w:tc>
      </w:tr>
      <w:tr>
        <w:tc>
          <w:tcPr>
            <w:tcW w:type="dxa" w:w="3009"/>
          </w:tcPr>
          <w:p>
            <w:r/>
            <w:r>
              <w:rPr>
                <w:rFonts w:ascii="Times New Roman" w:hAnsi="Times New Roman" w:cs="Times New Roman"/>
                <w:sz w:val="20"/>
              </w:rPr>
              <w:t>labiodental</w:t>
            </w:r>
          </w:p>
        </w:tc>
        <w:tc>
          <w:tcPr>
            <w:tcW w:type="dxa" w:w="3009"/>
          </w:tcPr>
          <w:p>
            <w:r/>
            <w:r>
              <w:rPr>
                <w:rFonts w:ascii="Times New Roman" w:hAnsi="Times New Roman" w:cs="Times New Roman"/>
                <w:sz w:val="20"/>
              </w:rPr>
              <w:t>9 / 16</w:t>
            </w:r>
          </w:p>
        </w:tc>
        <w:tc>
          <w:tcPr>
            <w:tcW w:type="dxa" w:w="3009"/>
          </w:tcPr>
          <w:p>
            <w:r/>
            <w:r>
              <w:rPr>
                <w:rFonts w:ascii="Times New Roman" w:hAnsi="Times New Roman" w:cs="Times New Roman"/>
                <w:sz w:val="20"/>
              </w:rPr>
              <w:t>16 / 16</w:t>
            </w:r>
          </w:p>
        </w:tc>
      </w:tr>
      <w:tr>
        <w:tc>
          <w:tcPr>
            <w:tcW w:type="dxa" w:w="3009"/>
          </w:tcPr>
          <w:p>
            <w:r/>
            <w:r>
              <w:rPr>
                <w:rFonts w:ascii="Times New Roman" w:hAnsi="Times New Roman" w:cs="Times New Roman"/>
                <w:sz w:val="20"/>
              </w:rPr>
              <w:t>sibilant_rhotic</w:t>
            </w:r>
          </w:p>
        </w:tc>
        <w:tc>
          <w:tcPr>
            <w:tcW w:type="dxa" w:w="3009"/>
          </w:tcPr>
          <w:p>
            <w:r/>
            <w:r>
              <w:rPr>
                <w:rFonts w:ascii="Times New Roman" w:hAnsi="Times New Roman" w:cs="Times New Roman"/>
                <w:sz w:val="20"/>
              </w:rPr>
              <w:t>6 / 13</w:t>
            </w:r>
          </w:p>
        </w:tc>
        <w:tc>
          <w:tcPr>
            <w:tcW w:type="dxa" w:w="3009"/>
          </w:tcPr>
          <w:p>
            <w:r/>
            <w:r>
              <w:rPr>
                <w:rFonts w:ascii="Times New Roman" w:hAnsi="Times New Roman" w:cs="Times New Roman"/>
                <w:sz w:val="20"/>
              </w:rPr>
              <w:t>13 / 13</w:t>
            </w:r>
          </w:p>
        </w:tc>
      </w:tr>
      <w:tr>
        <w:tc>
          <w:tcPr>
            <w:tcW w:type="dxa" w:w="3009"/>
          </w:tcPr>
          <w:p>
            <w:r/>
            <w:r>
              <w:rPr>
                <w:rFonts w:ascii="Times New Roman" w:hAnsi="Times New Roman" w:cs="Times New Roman"/>
                <w:sz w:val="20"/>
              </w:rPr>
              <w:t>hello</w:t>
            </w:r>
          </w:p>
        </w:tc>
        <w:tc>
          <w:tcPr>
            <w:tcW w:type="dxa" w:w="3009"/>
          </w:tcPr>
          <w:p>
            <w:r/>
            <w:r>
              <w:rPr>
                <w:rFonts w:ascii="Times New Roman" w:hAnsi="Times New Roman" w:cs="Times New Roman"/>
                <w:sz w:val="20"/>
              </w:rPr>
              <w:t>4 / 11</w:t>
            </w:r>
          </w:p>
        </w:tc>
        <w:tc>
          <w:tcPr>
            <w:tcW w:type="dxa" w:w="3009"/>
          </w:tcPr>
          <w:p>
            <w:r/>
            <w:r>
              <w:rPr>
                <w:rFonts w:ascii="Times New Roman" w:hAnsi="Times New Roman" w:cs="Times New Roman"/>
                <w:sz w:val="20"/>
              </w:rPr>
              <w:t>11 / 11</w:t>
            </w:r>
          </w:p>
        </w:tc>
      </w:tr>
      <w:tr>
        <w:tc>
          <w:tcPr>
            <w:tcW w:type="dxa" w:w="3009"/>
          </w:tcPr>
          <w:p>
            <w:r/>
            <w:r>
              <w:rPr>
                <w:rFonts w:ascii="Times New Roman" w:hAnsi="Times New Roman" w:cs="Times New Roman"/>
                <w:sz w:val="20"/>
              </w:rPr>
              <w:t>silence_gaps</w:t>
            </w:r>
          </w:p>
        </w:tc>
        <w:tc>
          <w:tcPr>
            <w:tcW w:type="dxa" w:w="3009"/>
          </w:tcPr>
          <w:p>
            <w:r/>
            <w:r>
              <w:rPr>
                <w:rFonts w:ascii="Times New Roman" w:hAnsi="Times New Roman" w:cs="Times New Roman"/>
                <w:sz w:val="20"/>
              </w:rPr>
              <w:t>4 / 9</w:t>
            </w:r>
          </w:p>
        </w:tc>
        <w:tc>
          <w:tcPr>
            <w:tcW w:type="dxa" w:w="3009"/>
          </w:tcPr>
          <w:p>
            <w:r/>
            <w:r>
              <w:rPr>
                <w:rFonts w:ascii="Times New Roman" w:hAnsi="Times New Roman" w:cs="Times New Roman"/>
                <w:sz w:val="20"/>
              </w:rPr>
              <w:t>9 / 9</w:t>
            </w:r>
          </w:p>
        </w:tc>
      </w:tr>
      <w:tr>
        <w:tc>
          <w:tcPr>
            <w:tcW w:type="dxa" w:w="3009"/>
          </w:tcPr>
          <w:p>
            <w:r/>
            <w:r>
              <w:rPr>
                <w:rFonts w:ascii="Times New Roman" w:hAnsi="Times New Roman" w:cs="Times New Roman"/>
                <w:sz w:val="20"/>
              </w:rPr>
              <w:t>rounded</w:t>
            </w:r>
          </w:p>
        </w:tc>
        <w:tc>
          <w:tcPr>
            <w:tcW w:type="dxa" w:w="3009"/>
          </w:tcPr>
          <w:p>
            <w:r/>
            <w:r>
              <w:rPr>
                <w:rFonts w:ascii="Times New Roman" w:hAnsi="Times New Roman" w:cs="Times New Roman"/>
                <w:sz w:val="20"/>
              </w:rPr>
              <w:t>4 / 6</w:t>
            </w:r>
          </w:p>
        </w:tc>
        <w:tc>
          <w:tcPr>
            <w:tcW w:type="dxa" w:w="3009"/>
          </w:tcPr>
          <w:p>
            <w:r/>
            <w:r>
              <w:rPr>
                <w:rFonts w:ascii="Times New Roman" w:hAnsi="Times New Roman" w:cs="Times New Roman"/>
                <w:sz w:val="20"/>
              </w:rPr>
              <w:t>6 / 6</w:t>
            </w:r>
          </w:p>
        </w:tc>
      </w:tr>
      <w:tr>
        <w:tc>
          <w:tcPr>
            <w:tcW w:type="dxa" w:w="3009"/>
          </w:tcPr>
          <w:p>
            <w:r/>
            <w:r>
              <w:rPr>
                <w:rFonts w:ascii="Times New Roman" w:hAnsi="Times New Roman" w:cs="Times New Roman"/>
                <w:sz w:val="20"/>
              </w:rPr>
              <w:t>g2p_pipeline</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10 / 10</w:t>
            </w:r>
          </w:p>
        </w:tc>
      </w:tr>
      <w:tr>
        <w:tc>
          <w:tcPr>
            <w:tcW w:type="dxa" w:w="3009"/>
          </w:tcPr>
          <w:p>
            <w:r/>
            <w:r>
              <w:rPr>
                <w:rFonts w:ascii="Times New Roman" w:hAnsi="Times New Roman" w:cs="Times New Roman"/>
                <w:b/>
                <w:sz w:val="20"/>
              </w:rPr>
              <w:t>Total</w:t>
            </w:r>
          </w:p>
        </w:tc>
        <w:tc>
          <w:tcPr>
            <w:tcW w:type="dxa" w:w="3009"/>
          </w:tcPr>
          <w:p>
            <w:r/>
            <w:r>
              <w:rPr>
                <w:rFonts w:ascii="Times New Roman" w:hAnsi="Times New Roman" w:cs="Times New Roman"/>
                <w:b/>
                <w:sz w:val="20"/>
              </w:rPr>
              <w:t>37 / 85</w:t>
            </w:r>
          </w:p>
        </w:tc>
        <w:tc>
          <w:tcPr>
            <w:tcW w:type="dxa" w:w="3009"/>
          </w:tcPr>
          <w:p>
            <w:r/>
            <w:r>
              <w:rPr>
                <w:rFonts w:ascii="Times New Roman" w:hAnsi="Times New Roman" w:cs="Times New Roman"/>
                <w:b/>
                <w:sz w:val="20"/>
              </w:rPr>
              <w:t>95 / 95</w:t>
            </w:r>
          </w:p>
        </w:tc>
      </w:tr>
    </w:tbl>
    <w:p>
      <w:pPr>
        <w:spacing w:after="40"/>
      </w:pPr>
    </w:p>
    <w:p>
      <w:pPr>
        <w:jc w:val="center"/>
      </w:pPr>
      <w:r>
        <w:drawing>
          <wp:inline xmlns:a="http://schemas.openxmlformats.org/drawingml/2006/main" xmlns:pic="http://schemas.openxmlformats.org/drawingml/2006/picture">
            <wp:extent cx="5733288" cy="2734337"/>
            <wp:docPr id="1" name="Picture 1"/>
            <wp:cNvGraphicFramePr>
              <a:graphicFrameLocks noChangeAspect="1"/>
            </wp:cNvGraphicFramePr>
            <a:graphic>
              <a:graphicData uri="http://schemas.openxmlformats.org/drawingml/2006/picture">
                <pic:pic>
                  <pic:nvPicPr>
                    <pic:cNvPr id="0" name="fig1_checks_passed.png"/>
                    <pic:cNvPicPr/>
                  </pic:nvPicPr>
                  <pic:blipFill>
                    <a:blip r:embed="rId9"/>
                    <a:stretch>
                      <a:fillRect/>
                    </a:stretch>
                  </pic:blipFill>
                  <pic:spPr>
                    <a:xfrm>
                      <a:off x="0" y="0"/>
                      <a:ext cx="5733288" cy="2734337"/>
                    </a:xfrm>
                    <a:prstGeom prst="rect"/>
                  </pic:spPr>
                </pic:pic>
              </a:graphicData>
            </a:graphic>
          </wp:inline>
        </w:drawing>
      </w:r>
    </w:p>
    <w:p>
      <w:pPr>
        <w:jc w:val="center"/>
      </w:pPr>
      <w:r>
        <w:rPr>
          <w:rFonts w:ascii="Times New Roman" w:hAnsi="Times New Roman" w:cs="Times New Roman"/>
          <w:b/>
          <w:sz w:val="20"/>
        </w:rPr>
        <w:t>Figure 1.</w:t>
      </w:r>
      <w:r>
        <w:rPr>
          <w:rFonts w:ascii="Times New Roman" w:hAnsi="Times New Roman" w:cs="Times New Roman"/>
          <w:sz w:val="20"/>
        </w:rPr>
        <w:t xml:space="preserve"> Acceptance checks passed per fixture on the baseline and final pipelines. The light backdrop bar is the total number of checks in each fixture.</w:t>
      </w: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(the tongue shapes were never driven); on the final pipeline every tongue check passed with peaks of 0.40 to 0.72. Pause leakage fell from up to 0.54 to at most 0.10, and end-of-utterance decay fell from 313 to 324 ms down to 30 to 95 ms. Figure 2 traces the mechanism on the </w:t>
      </w:r>
      <w:r>
        <w:rPr>
          <w:rFonts w:ascii="Consolas" w:hAnsi="Consolas" w:cs="Consolas"/>
          <w:sz w:val="23"/>
        </w:rPr>
        <w:t>bilabials</w:t>
      </w:r>
      <w:r>
        <w:rPr>
          <w:rFonts w:ascii="Times New Roman" w:hAnsi="Times New Roman" w:cs="Times New Roman"/>
          <w:sz w:val="24"/>
        </w:rPr>
        <w:t xml:space="preserve"> fixture: the closure curve reaches the 0.90 threshold at each /p b m/ instant while the summed open-mouth shapes are suppressed to near zero at the same instants, rising only for the vowels between closures.</w:t>
      </w:r>
    </w:p>
    <w:p>
      <w:pPr>
        <w:jc w:val="both"/>
      </w:pPr>
      <w:r>
        <w:rPr>
          <w:rFonts w:ascii="Times New Roman" w:hAnsi="Times New Roman" w:cs="Times New Roman"/>
          <w:sz w:val="24"/>
        </w:rPr>
        <w:t xml:space="preserve">One metric regressed: jitter RMS increased on every fixture, from a baseline range of 0.0056 to 0.0125 to a final range of 0.0115 to 0.0191 (the </w:t>
      </w:r>
      <w:r>
        <w:rPr>
          <w:rFonts w:ascii="Consolas" w:hAnsi="Consolas" w:cs="Consolas"/>
          <w:sz w:val="23"/>
        </w:rPr>
        <w:t>g2p_pipeline</w:t>
      </w:r>
      <w:r>
        <w:rPr>
          <w:rFonts w:ascii="Times New Roman" w:hAnsi="Times New Roman" w:cs="Times New Roman"/>
          <w:sz w:val="24"/>
        </w:rPr>
        <w:t xml:space="preserve"> fixture measured 0.0270). No oscillation was visible in the recorded curves; the baseline's lower jitter is consistent with its under-articulation (flatter curves have a smaller second difference), but this interpretation was not isolated experimentally and the regression stands as a finding.</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Criterion (threshold)</w:t>
            </w:r>
          </w:p>
        </w:tc>
        <w:tc>
          <w:tcPr>
            <w:tcW w:type="dxa" w:w="3009"/>
          </w:tcPr>
          <w:p>
            <w:r/>
            <w:r>
              <w:rPr>
                <w:rFonts w:ascii="Times New Roman" w:hAnsi="Times New Roman" w:cs="Times New Roman"/>
                <w:b/>
                <w:sz w:val="20"/>
              </w:rPr>
              <w:t>Baseline</w:t>
            </w:r>
          </w:p>
        </w:tc>
        <w:tc>
          <w:tcPr>
            <w:tcW w:type="dxa" w:w="3009"/>
          </w:tcPr>
          <w:p>
            <w:r/>
            <w:r>
              <w:rPr>
                <w:rFonts w:ascii="Times New Roman" w:hAnsi="Times New Roman" w:cs="Times New Roman"/>
                <w:b/>
                <w:sz w:val="20"/>
              </w:rPr>
              <w:t>Final</w:t>
            </w:r>
          </w:p>
        </w:tc>
      </w:tr>
      <w:tr>
        <w:tc>
          <w:tcPr>
            <w:tcW w:type="dxa" w:w="3009"/>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009"/>
          </w:tcPr>
          <w:p>
            <w:r/>
            <w:r>
              <w:rPr>
                <w:rFonts w:ascii="Times New Roman" w:hAnsi="Times New Roman" w:cs="Times New Roman"/>
                <w:sz w:val="20"/>
              </w:rPr>
              <w:t>0.58 to 0.94</w:t>
            </w:r>
          </w:p>
        </w:tc>
        <w:tc>
          <w:tcPr>
            <w:tcW w:type="dxa" w:w="3009"/>
          </w:tcPr>
          <w:p>
            <w:r/>
            <w:r>
              <w:rPr>
                <w:rFonts w:ascii="Times New Roman" w:hAnsi="Times New Roman" w:cs="Times New Roman"/>
                <w:sz w:val="20"/>
              </w:rPr>
              <w:t>0.93 to 0.95</w:t>
            </w:r>
          </w:p>
        </w:tc>
      </w:tr>
      <w:tr>
        <w:tc>
          <w:tcPr>
            <w:tcW w:type="dxa" w:w="3009"/>
          </w:tcPr>
          <w:p>
            <w:r/>
            <w:r>
              <w:rPr>
                <w:rFonts w:ascii="Times New Roman" w:hAnsi="Times New Roman" w:cs="Times New Roman"/>
                <w:sz w:val="20"/>
              </w:rPr>
              <w:t>Bilabial open-shape leakage (≤ 0.15)</w:t>
            </w:r>
          </w:p>
        </w:tc>
        <w:tc>
          <w:tcPr>
            <w:tcW w:type="dxa" w:w="3009"/>
          </w:tcPr>
          <w:p>
            <w:r/>
            <w:r>
              <w:rPr>
                <w:rFonts w:ascii="Times New Roman" w:hAnsi="Times New Roman" w:cs="Times New Roman"/>
                <w:sz w:val="20"/>
              </w:rPr>
              <w:t>up to 0.15</w:t>
            </w:r>
          </w:p>
        </w:tc>
        <w:tc>
          <w:tcPr>
            <w:tcW w:type="dxa" w:w="3009"/>
          </w:tcPr>
          <w:p>
            <w:r/>
            <w:r>
              <w:rPr>
                <w:rFonts w:ascii="Times New Roman" w:hAnsi="Times New Roman" w:cs="Times New Roman"/>
                <w:sz w:val="20"/>
              </w:rPr>
              <w:t>≤ 0.08</w:t>
            </w:r>
          </w:p>
        </w:tc>
      </w:tr>
      <w:tr>
        <w:tc>
          <w:tcPr>
            <w:tcW w:type="dxa" w:w="3009"/>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009"/>
          </w:tcPr>
          <w:p>
            <w:r/>
            <w:r>
              <w:rPr>
                <w:rFonts w:ascii="Times New Roman" w:hAnsi="Times New Roman" w:cs="Times New Roman"/>
                <w:sz w:val="20"/>
              </w:rPr>
              <w:t>0.525 to 0.90</w:t>
            </w:r>
          </w:p>
        </w:tc>
        <w:tc>
          <w:tcPr>
            <w:tcW w:type="dxa" w:w="3009"/>
          </w:tcPr>
          <w:p>
            <w:r/>
            <w:r>
              <w:rPr>
                <w:rFonts w:ascii="Times New Roman" w:hAnsi="Times New Roman" w:cs="Times New Roman"/>
                <w:sz w:val="20"/>
              </w:rPr>
              <w:t>0.94 to 0.95</w:t>
            </w:r>
          </w:p>
        </w:tc>
      </w:tr>
      <w:tr>
        <w:tc>
          <w:tcPr>
            <w:tcW w:type="dxa" w:w="3009"/>
          </w:tcPr>
          <w:p>
            <w:r/>
            <w:r>
              <w:rPr>
                <w:rFonts w:ascii="Times New Roman" w:hAnsi="Times New Roman" w:cs="Times New Roman"/>
                <w:sz w:val="20"/>
              </w:rPr>
              <w:t>Tongue shape peak (≥ 0.30)</w:t>
            </w:r>
          </w:p>
        </w:tc>
        <w:tc>
          <w:tcPr>
            <w:tcW w:type="dxa" w:w="3009"/>
          </w:tcPr>
          <w:p>
            <w:r/>
            <w:r>
              <w:rPr>
                <w:rFonts w:ascii="Times New Roman" w:hAnsi="Times New Roman" w:cs="Times New Roman"/>
                <w:sz w:val="20"/>
              </w:rPr>
              <w:t>0.00 (all 27 checks)</w:t>
            </w:r>
          </w:p>
        </w:tc>
        <w:tc>
          <w:tcPr>
            <w:tcW w:type="dxa" w:w="3009"/>
          </w:tcPr>
          <w:p>
            <w:r/>
            <w:r>
              <w:rPr>
                <w:rFonts w:ascii="Times New Roman" w:hAnsi="Times New Roman" w:cs="Times New Roman"/>
                <w:sz w:val="20"/>
              </w:rPr>
              <w:t>0.40 to 0.72</w:t>
            </w:r>
          </w:p>
        </w:tc>
      </w:tr>
      <w:tr>
        <w:tc>
          <w:tcPr>
            <w:tcW w:type="dxa" w:w="3009"/>
          </w:tcPr>
          <w:p>
            <w:r/>
            <w:r>
              <w:rPr>
                <w:rFonts w:ascii="Times New Roman" w:hAnsi="Times New Roman" w:cs="Times New Roman"/>
                <w:sz w:val="20"/>
              </w:rPr>
              <w:t>Silence max lip weight (&lt; 0.10)</w:t>
            </w:r>
          </w:p>
        </w:tc>
        <w:tc>
          <w:tcPr>
            <w:tcW w:type="dxa" w:w="3009"/>
          </w:tcPr>
          <w:p>
            <w:r/>
            <w:r>
              <w:rPr>
                <w:rFonts w:ascii="Times New Roman" w:hAnsi="Times New Roman" w:cs="Times New Roman"/>
                <w:sz w:val="20"/>
              </w:rPr>
              <w:t>0.15, 0.17, 0.54</w:t>
            </w:r>
          </w:p>
        </w:tc>
        <w:tc>
          <w:tcPr>
            <w:tcW w:type="dxa" w:w="3009"/>
          </w:tcPr>
          <w:p>
            <w:r/>
            <w:r>
              <w:rPr>
                <w:rFonts w:ascii="Times New Roman" w:hAnsi="Times New Roman" w:cs="Times New Roman"/>
                <w:sz w:val="20"/>
              </w:rPr>
              <w:t>0.00, 0.04, 0.10</w:t>
            </w:r>
          </w:p>
        </w:tc>
      </w:tr>
      <w:tr>
        <w:tc>
          <w:tcPr>
            <w:tcW w:type="dxa" w:w="3009"/>
          </w:tcPr>
          <w:p>
            <w:r/>
            <w:r>
              <w:rPr>
                <w:rFonts w:ascii="Times New Roman" w:hAnsi="Times New Roman" w:cs="Times New Roman"/>
                <w:sz w:val="20"/>
              </w:rPr>
              <w:t>Segment-end decay (&lt; 250 ms)</w:t>
            </w:r>
          </w:p>
        </w:tc>
        <w:tc>
          <w:tcPr>
            <w:tcW w:type="dxa" w:w="3009"/>
          </w:tcPr>
          <w:p>
            <w:r/>
            <w:r>
              <w:rPr>
                <w:rFonts w:ascii="Times New Roman" w:hAnsi="Times New Roman" w:cs="Times New Roman"/>
                <w:sz w:val="20"/>
              </w:rPr>
              <w:t>313 to 324 ms</w:t>
            </w:r>
          </w:p>
        </w:tc>
        <w:tc>
          <w:tcPr>
            <w:tcW w:type="dxa" w:w="3009"/>
          </w:tcPr>
          <w:p>
            <w:r/>
            <w:r>
              <w:rPr>
                <w:rFonts w:ascii="Times New Roman" w:hAnsi="Times New Roman" w:cs="Times New Roman"/>
                <w:sz w:val="20"/>
              </w:rPr>
              <w:t>30 to 95 ms</w:t>
            </w:r>
          </w:p>
        </w:tc>
      </w:tr>
      <w:tr>
        <w:tc>
          <w:tcPr>
            <w:tcW w:type="dxa" w:w="3009"/>
          </w:tcPr>
          <w:p>
            <w:r/>
            <w:r>
              <w:rPr>
                <w:rFonts w:ascii="Times New Roman" w:hAnsi="Times New Roman" w:cs="Times New Roman"/>
                <w:sz w:val="20"/>
              </w:rPr>
              <w:t>Jitter RMS (reported, not gated)</w:t>
            </w:r>
          </w:p>
        </w:tc>
        <w:tc>
          <w:tcPr>
            <w:tcW w:type="dxa" w:w="3009"/>
          </w:tcPr>
          <w:p>
            <w:r/>
            <w:r>
              <w:rPr>
                <w:rFonts w:ascii="Times New Roman" w:hAnsi="Times New Roman" w:cs="Times New Roman"/>
                <w:sz w:val="20"/>
              </w:rPr>
              <w:t>0.0056 to 0.0125</w:t>
            </w:r>
          </w:p>
        </w:tc>
        <w:tc>
          <w:tcPr>
            <w:tcW w:type="dxa" w:w="3009"/>
          </w:tcPr>
          <w:p>
            <w:r/>
            <w:r>
              <w:rPr>
                <w:rFonts w:ascii="Times New Roman" w:hAnsi="Times New Roman" w:cs="Times New Roman"/>
                <w:sz w:val="20"/>
              </w:rPr>
              <w:t>0.0115 to 0.0191</w:t>
            </w:r>
          </w:p>
        </w:tc>
      </w:tr>
    </w:tbl>
    <w:p>
      <w:pPr>
        <w:spacing w:after="40"/>
      </w:pPr>
    </w:p>
    <w:p>
      <w:pPr>
        <w:jc w:val="center"/>
      </w:pPr>
      <w:r>
        <w:drawing>
          <wp:inline xmlns:a="http://schemas.openxmlformats.org/drawingml/2006/main" xmlns:pic="http://schemas.openxmlformats.org/drawingml/2006/picture">
            <wp:extent cx="5733288" cy="2734337"/>
            <wp:docPr id="2" name="Picture 2"/>
            <wp:cNvGraphicFramePr>
              <a:graphicFrameLocks noChangeAspect="1"/>
            </wp:cNvGraphicFramePr>
            <a:graphic>
              <a:graphicData uri="http://schemas.openxmlformats.org/drawingml/2006/picture">
                <pic:pic>
                  <pic:nvPicPr>
                    <pic:cNvPr id="0" name="fig3_bilabial_curves.png"/>
                    <pic:cNvPicPr/>
                  </pic:nvPicPr>
                  <pic:blipFill>
                    <a:blip r:embed="rId10"/>
                    <a:stretch>
                      <a:fillRect/>
                    </a:stretch>
                  </pic:blipFill>
                  <pic:spPr>
                    <a:xfrm>
                      <a:off x="0" y="0"/>
                      <a:ext cx="5733288" cy="2734337"/>
                    </a:xfrm>
                    <a:prstGeom prst="rect"/>
                  </pic:spPr>
                </pic:pic>
              </a:graphicData>
            </a:graphic>
          </wp:inline>
        </w:drawing>
      </w:r>
    </w:p>
    <w:p>
      <w:pPr>
        <w:jc w:val="center"/>
      </w:pPr>
      <w:r>
        <w:rPr>
          <w:rFonts w:ascii="Times New Roman" w:hAnsi="Times New Roman" w:cs="Times New Roman"/>
          <w:b/>
          <w:sz w:val="20"/>
        </w:rPr>
        <w:t>Figure 2.</w:t>
      </w:r>
      <w:r>
        <w:rPr>
          <w:rFonts w:ascii="Times New Roman" w:hAnsi="Times New Roman" w:cs="Times New Roman"/>
          <w:sz w:val="20"/>
        </w:rPr>
        <w:t xml:space="preserve"> Closure shape </w:t>
      </w:r>
      <w:r>
        <w:rPr>
          <w:rFonts w:ascii="Consolas" w:hAnsi="Consolas" w:cs="Consolas"/>
          <w:sz w:val="19"/>
        </w:rPr>
        <w:t>V_Explosive</w:t>
      </w:r>
      <w:r>
        <w:rPr>
          <w:rFonts w:ascii="Times New Roman" w:hAnsi="Times New Roman" w:cs="Times New Roman"/>
          <w:sz w:val="20"/>
        </w:rPr>
        <w:t xml:space="preserve"> over time for the </w:t>
      </w:r>
      <w:r>
        <w:rPr>
          <w:rFonts w:ascii="Consolas" w:hAnsi="Consolas" w:cs="Consolas"/>
          <w:sz w:val="19"/>
        </w:rPr>
        <w:t>bilabials</w:t>
      </w:r>
      <w:r>
        <w:rPr>
          <w:rFonts w:ascii="Times New Roman" w:hAnsi="Times New Roman" w:cs="Times New Roman"/>
          <w:sz w:val="20"/>
        </w:rPr>
        <w:t xml:space="preserve"> fixture, baseline versus final, with the summed open-mouth shapes on the final pipeline. The dotted line is the 0.90 acceptance threshold; grey verticals mark the /p b m/ check times.</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200" w:after="80"/>
      </w:pPr>
      <w:r>
        <w:rPr>
          <w:rFonts w:ascii="Times New Roman" w:hAnsi="Times New Roman" w:cs="Times New Roman"/>
          <w:b/>
          <w:sz w:val="28"/>
        </w:rPr>
        <w:t>3. RAG grounding and safety</w:t>
      </w:r>
    </w:p>
    <w:p>
      <w:pPr>
        <w:spacing w:before="20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not reciprocal-rank fusion:</w:t>
      </w:r>
    </w:p>
    <w:p>
      <w:pPr>
        <w:spacing w:after="120"/>
        <w:ind w:left="432" w:right="432"/>
      </w:pPr>
      <w:r>
        <w:rPr>
          <w:rFonts w:ascii="Times New Roman" w:hAnsi="Times New Roman" w:cs="Times New Roman"/>
          <w:i/>
          <w:sz w:val="22"/>
        </w:rPr>
        <w:t>score(</w:t>
      </w:r>
      <w:r>
        <w:rPr>
          <w:rFonts w:ascii="Times New Roman" w:hAnsi="Times New Roman" w:cs="Times New Roman"/>
          <w:i/>
          <w:sz w:val="22"/>
        </w:rPr>
        <w:t>q</w:t>
      </w:r>
      <w:r>
        <w:rPr>
          <w:rFonts w:ascii="Times New Roman" w:hAnsi="Times New Roman" w:cs="Times New Roman"/>
          <w:i/>
          <w:sz w:val="22"/>
        </w:rPr>
        <w:t xml:space="preserve">, </w:t>
      </w:r>
      <w:r>
        <w:rPr>
          <w:rFonts w:ascii="Times New Roman" w:hAnsi="Times New Roman" w:cs="Times New Roman"/>
          <w:i/>
          <w:sz w:val="22"/>
        </w:rPr>
        <w:t>c</w:t>
      </w:r>
      <w:r>
        <w:rPr>
          <w:rFonts w:ascii="Times New Roman" w:hAnsi="Times New Roman" w:cs="Times New Roman"/>
          <w:i/>
          <w:sz w:val="22"/>
        </w:rPr>
        <w:t xml:space="preserve">) = 0.7 · (1 − </w:t>
      </w:r>
      <w:r>
        <w:rPr>
          <w:rFonts w:ascii="Times New Roman" w:hAnsi="Times New Roman" w:cs="Times New Roman"/>
          <w:i/>
          <w:sz w:val="22"/>
        </w:rPr>
        <w:t>d</w:t>
      </w:r>
      <w:r>
        <w:rPr>
          <w:rFonts w:ascii="Times New Roman" w:hAnsi="Times New Roman" w:cs="Times New Roman"/>
          <w:i/>
          <w:sz w:val="22"/>
          <w:vertAlign w:val="subscript"/>
        </w:rPr>
        <w:t>cos</w:t>
      </w:r>
      <w:r>
        <w:rPr>
          <w:rFonts w:ascii="Times New Roman" w:hAnsi="Times New Roman" w:cs="Times New Roman"/>
          <w:i/>
          <w:sz w:val="22"/>
        </w:rPr>
        <w:t>(</w:t>
      </w:r>
      <w:r>
        <w:rPr>
          <w:rFonts w:ascii="Times New Roman" w:hAnsi="Times New Roman" w:cs="Times New Roman"/>
          <w:i/>
          <w:sz w:val="22"/>
        </w:rPr>
        <w:t>e</w:t>
      </w:r>
      <w:r>
        <w:rPr>
          <w:rFonts w:ascii="Times New Roman" w:hAnsi="Times New Roman" w:cs="Times New Roman"/>
          <w:i/>
          <w:sz w:val="22"/>
          <w:vertAlign w:val="subscript"/>
        </w:rPr>
        <w:t>q</w:t>
      </w:r>
      <w:r>
        <w:rPr>
          <w:rFonts w:ascii="Times New Roman" w:hAnsi="Times New Roman" w:cs="Times New Roman"/>
          <w:i/>
          <w:sz w:val="22"/>
        </w:rPr>
        <w:t xml:space="preserve">, </w:t>
      </w:r>
      <w:r>
        <w:rPr>
          <w:rFonts w:ascii="Times New Roman" w:hAnsi="Times New Roman" w:cs="Times New Roman"/>
          <w:i/>
          <w:sz w:val="22"/>
        </w:rPr>
        <w:t>e</w:t>
      </w:r>
      <w:r>
        <w:rPr>
          <w:rFonts w:ascii="Times New Roman" w:hAnsi="Times New Roman" w:cs="Times New Roman"/>
          <w:i/>
          <w:sz w:val="22"/>
          <w:vertAlign w:val="subscript"/>
        </w:rPr>
        <w:t>c</w:t>
      </w:r>
      <w:r>
        <w:rPr>
          <w:rFonts w:ascii="Times New Roman" w:hAnsi="Times New Roman" w:cs="Times New Roman"/>
          <w:i/>
          <w:sz w:val="22"/>
        </w:rPr>
        <w:t>)) + 0.3 · ts_rank_cd(</w:t>
      </w:r>
      <w:r>
        <w:rPr>
          <w:rFonts w:ascii="Times New Roman" w:hAnsi="Times New Roman" w:cs="Times New Roman"/>
          <w:i/>
          <w:sz w:val="22"/>
        </w:rPr>
        <w:t>v</w:t>
      </w:r>
      <w:r>
        <w:rPr>
          <w:rFonts w:ascii="Times New Roman" w:hAnsi="Times New Roman" w:cs="Times New Roman"/>
          <w:i/>
          <w:sz w:val="22"/>
          <w:vertAlign w:val="subscript"/>
        </w:rPr>
        <w:t>c</w:t>
      </w:r>
      <w:r>
        <w:rPr>
          <w:rFonts w:ascii="Times New Roman" w:hAnsi="Times New Roman" w:cs="Times New Roman"/>
          <w:i/>
          <w:sz w:val="22"/>
        </w:rPr>
        <w:t>, tsquery(</w:t>
      </w:r>
      <w:r>
        <w:rPr>
          <w:rFonts w:ascii="Times New Roman" w:hAnsi="Times New Roman" w:cs="Times New Roman"/>
          <w:i/>
          <w:sz w:val="22"/>
        </w:rPr>
        <w:t>q</w:t>
      </w:r>
      <w:r>
        <w:rPr>
          <w:rFonts w:ascii="Times New Roman" w:hAnsi="Times New Roman" w:cs="Times New Roman"/>
          <w:i/>
          <w:sz w:val="22"/>
        </w:rPr>
        <w:t>)),</w:t>
      </w:r>
    </w:p>
    <w:p>
      <w:pPr>
        <w:jc w:val="both"/>
      </w:pPr>
      <w:r>
        <w:rPr>
          <w:rFonts w:ascii="Times New Roman" w:hAnsi="Times New Roman" w:cs="Times New Roman"/>
          <w:sz w:val="24"/>
        </w:rPr>
        <w:t xml:space="preserve">over candidates whose cosine similarity exceeds 0.25 or whose text matches the keyword query. Because 479 of the 551 chunks come from two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passages actually supplied; markers that do not correspond to a supplied passage are stripped before rendering, by construction.</w:t>
      </w:r>
    </w:p>
    <w:p>
      <w:pPr>
        <w:spacing w:before="20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identifier within the top five) against the live database. Safety was scored by 36 deterministic MUST/MUST-NOT regular-expression assertions over generations produced at temperature 0 with a fixed seed, covering emergency escalation, dosing, region correctness, crisis response, and prompt-injection resistance. Groundedness was rated by an LLM judge (</w:t>
      </w:r>
      <w:r>
        <w:rPr>
          <w:rFonts w:ascii="Consolas" w:hAnsi="Consolas" w:cs="Consolas"/>
          <w:sz w:val="23"/>
        </w:rPr>
        <w:t>gpt-4o-mini</w:t>
      </w:r>
      <w:r>
        <w:rPr>
          <w:rFonts w:ascii="Times New Roman" w:hAnsi="Times New Roman" w:cs="Times New Roman"/>
          <w:sz w:val="24"/>
        </w:rPr>
        <w:t>, 0/1/2 rubric). A retrieval parameter sweep crossed five similarity thresholds (0.15 to 0.35) with three diversity caps (one to three).</w:t>
      </w:r>
    </w:p>
    <w:p>
      <w:pPr>
        <w:spacing w:before="20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cs="Times New Roman"/>
                <w:b/>
                <w:sz w:val="20"/>
              </w:rPr>
              <w:t>Measure (n)</w:t>
            </w:r>
          </w:p>
        </w:tc>
        <w:tc>
          <w:tcPr>
            <w:tcW w:type="dxa" w:w="3009"/>
          </w:tcPr>
          <w:p>
            <w:r/>
            <w:r>
              <w:rPr>
                <w:rFonts w:ascii="Times New Roman" w:hAnsi="Times New Roman" w:cs="Times New Roman"/>
                <w:b/>
                <w:sz w:val="20"/>
              </w:rPr>
              <w:t>Before</w:t>
            </w:r>
          </w:p>
        </w:tc>
        <w:tc>
          <w:tcPr>
            <w:tcW w:type="dxa" w:w="3009"/>
          </w:tcPr>
          <w:p>
            <w:r/>
            <w:r>
              <w:rPr>
                <w:rFonts w:ascii="Times New Roman" w:hAnsi="Times New Roman" w:cs="Times New Roman"/>
                <w:b/>
                <w:sz w:val="20"/>
              </w:rPr>
              <w:t>After</w:t>
            </w:r>
          </w:p>
        </w:tc>
      </w:tr>
      <w:tr>
        <w:tc>
          <w:tcPr>
            <w:tcW w:type="dxa" w:w="3009"/>
          </w:tcPr>
          <w:p>
            <w:r/>
            <w:r>
              <w:rPr>
                <w:rFonts w:ascii="Times New Roman" w:hAnsi="Times New Roman" w:cs="Times New Roman"/>
                <w:sz w:val="20"/>
              </w:rPr>
              <w:t>Retrieval recall@1 / @3 / @5 (32)</w:t>
            </w:r>
          </w:p>
        </w:tc>
        <w:tc>
          <w:tcPr>
            <w:tcW w:type="dxa" w:w="3009"/>
          </w:tcPr>
          <w:p>
            <w:r/>
            <w:r>
              <w:rPr>
                <w:rFonts w:ascii="Times New Roman" w:hAnsi="Times New Roman" w:cs="Times New Roman"/>
                <w:sz w:val="20"/>
              </w:rPr>
              <w:t>0.844 / 0.938 / 0.969</w:t>
            </w:r>
          </w:p>
        </w:tc>
        <w:tc>
          <w:tcPr>
            <w:tcW w:type="dxa" w:w="3009"/>
          </w:tcPr>
          <w:p>
            <w:r/>
            <w:r>
              <w:rPr>
                <w:rFonts w:ascii="Times New Roman" w:hAnsi="Times New Roman" w:cs="Times New Roman"/>
                <w:sz w:val="20"/>
              </w:rPr>
              <w:t>0.844 / 0.938 / 0.969</w:t>
            </w:r>
          </w:p>
        </w:tc>
      </w:tr>
      <w:tr>
        <w:tc>
          <w:tcPr>
            <w:tcW w:type="dxa" w:w="3009"/>
          </w:tcPr>
          <w:p>
            <w:r/>
            <w:r>
              <w:rPr>
                <w:rFonts w:ascii="Times New Roman" w:hAnsi="Times New Roman" w:cs="Times New Roman"/>
                <w:sz w:val="20"/>
              </w:rPr>
              <w:t>MRR / nDCG@5 (32)</w:t>
            </w:r>
          </w:p>
        </w:tc>
        <w:tc>
          <w:tcPr>
            <w:tcW w:type="dxa" w:w="3009"/>
          </w:tcPr>
          <w:p>
            <w:r/>
            <w:r>
              <w:rPr>
                <w:rFonts w:ascii="Times New Roman" w:hAnsi="Times New Roman" w:cs="Times New Roman"/>
                <w:sz w:val="20"/>
              </w:rPr>
              <w:t>0.888 / 0.904</w:t>
            </w:r>
          </w:p>
        </w:tc>
        <w:tc>
          <w:tcPr>
            <w:tcW w:type="dxa" w:w="3009"/>
          </w:tcPr>
          <w:p>
            <w:r/>
            <w:r>
              <w:rPr>
                <w:rFonts w:ascii="Times New Roman" w:hAnsi="Times New Roman" w:cs="Times New Roman"/>
                <w:sz w:val="20"/>
              </w:rPr>
              <w:t>0.888 / 0.907</w:t>
            </w:r>
          </w:p>
        </w:tc>
      </w:tr>
      <w:tr>
        <w:tc>
          <w:tcPr>
            <w:tcW w:type="dxa" w:w="3009"/>
          </w:tcPr>
          <w:p>
            <w:r/>
            <w:r>
              <w:rPr>
                <w:rFonts w:ascii="Times New Roman" w:hAnsi="Times New Roman" w:cs="Times New Roman"/>
                <w:sz w:val="20"/>
              </w:rPr>
              <w:t>Safety assertions passed (36)</w:t>
            </w:r>
          </w:p>
        </w:tc>
        <w:tc>
          <w:tcPr>
            <w:tcW w:type="dxa" w:w="3009"/>
          </w:tcPr>
          <w:p>
            <w:r/>
            <w:r>
              <w:rPr>
                <w:rFonts w:ascii="Times New Roman" w:hAnsi="Times New Roman" w:cs="Times New Roman"/>
                <w:sz w:val="20"/>
              </w:rPr>
              <w:t>28 / 36</w:t>
            </w:r>
          </w:p>
        </w:tc>
        <w:tc>
          <w:tcPr>
            <w:tcW w:type="dxa" w:w="3009"/>
          </w:tcPr>
          <w:p>
            <w:r/>
            <w:r>
              <w:rPr>
                <w:rFonts w:ascii="Times New Roman" w:hAnsi="Times New Roman" w:cs="Times New Roman"/>
                <w:sz w:val="20"/>
              </w:rPr>
              <w:t>36 / 36</w:t>
            </w:r>
          </w:p>
        </w:tc>
      </w:tr>
      <w:tr>
        <w:tc>
          <w:tcPr>
            <w:tcW w:type="dxa" w:w="3009"/>
          </w:tcPr>
          <w:p>
            <w:r/>
            <w:r>
              <w:rPr>
                <w:rFonts w:ascii="Times New Roman" w:hAnsi="Times New Roman" w:cs="Times New Roman"/>
                <w:sz w:val="20"/>
              </w:rPr>
              <w:t>— emergency escalation, call 111 (4)</w:t>
            </w:r>
          </w:p>
        </w:tc>
        <w:tc>
          <w:tcPr>
            <w:tcW w:type="dxa" w:w="3009"/>
          </w:tcPr>
          <w:p>
            <w:r/>
            <w:r>
              <w:rPr>
                <w:rFonts w:ascii="Times New Roman" w:hAnsi="Times New Roman" w:cs="Times New Roman"/>
                <w:sz w:val="20"/>
              </w:rPr>
              <w:t>0 / 4</w:t>
            </w:r>
          </w:p>
        </w:tc>
        <w:tc>
          <w:tcPr>
            <w:tcW w:type="dxa" w:w="3009"/>
          </w:tcPr>
          <w:p>
            <w:r/>
            <w:r>
              <w:rPr>
                <w:rFonts w:ascii="Times New Roman" w:hAnsi="Times New Roman" w:cs="Times New Roman"/>
                <w:sz w:val="20"/>
              </w:rPr>
              <w:t>4 / 4</w:t>
            </w:r>
          </w:p>
        </w:tc>
      </w:tr>
      <w:tr>
        <w:tc>
          <w:tcPr>
            <w:tcW w:type="dxa" w:w="3009"/>
          </w:tcPr>
          <w:p>
            <w:r/>
            <w:r>
              <w:rPr>
                <w:rFonts w:ascii="Times New Roman" w:hAnsi="Times New Roman" w:cs="Times New Roman"/>
                <w:sz w:val="20"/>
              </w:rPr>
              <w:t>— dosing safety, no mg numbers (4)</w:t>
            </w:r>
          </w:p>
        </w:tc>
        <w:tc>
          <w:tcPr>
            <w:tcW w:type="dxa" w:w="3009"/>
          </w:tcPr>
          <w:p>
            <w:r/>
            <w:r>
              <w:rPr>
                <w:rFonts w:ascii="Times New Roman" w:hAnsi="Times New Roman" w:cs="Times New Roman"/>
                <w:sz w:val="20"/>
              </w:rPr>
              <w:t>2 / 4</w:t>
            </w:r>
          </w:p>
        </w:tc>
        <w:tc>
          <w:tcPr>
            <w:tcW w:type="dxa" w:w="3009"/>
          </w:tcPr>
          <w:p>
            <w:r/>
            <w:r>
              <w:rPr>
                <w:rFonts w:ascii="Times New Roman" w:hAnsi="Times New Roman" w:cs="Times New Roman"/>
                <w:sz w:val="20"/>
              </w:rPr>
              <w:t>4 / 4</w:t>
            </w:r>
          </w:p>
        </w:tc>
      </w:tr>
      <w:tr>
        <w:tc>
          <w:tcPr>
            <w:tcW w:type="dxa" w:w="3009"/>
          </w:tcPr>
          <w:p>
            <w:r/>
            <w:r>
              <w:rPr>
                <w:rFonts w:ascii="Times New Roman" w:hAnsi="Times New Roman" w:cs="Times New Roman"/>
                <w:sz w:val="20"/>
              </w:rPr>
              <w:t>— region correctness failures (36)</w:t>
            </w:r>
          </w:p>
        </w:tc>
        <w:tc>
          <w:tcPr>
            <w:tcW w:type="dxa" w:w="3009"/>
          </w:tcPr>
          <w:p>
            <w:r/>
            <w:r>
              <w:rPr>
                <w:rFonts w:ascii="Times New Roman" w:hAnsi="Times New Roman" w:cs="Times New Roman"/>
                <w:sz w:val="20"/>
              </w:rPr>
              <w:t>3</w:t>
            </w:r>
          </w:p>
        </w:tc>
        <w:tc>
          <w:tcPr>
            <w:tcW w:type="dxa" w:w="3009"/>
          </w:tcPr>
          <w:p>
            <w:r/>
            <w:r>
              <w:rPr>
                <w:rFonts w:ascii="Times New Roman" w:hAnsi="Times New Roman" w:cs="Times New Roman"/>
                <w:sz w:val="20"/>
              </w:rPr>
              <w:t>0</w:t>
            </w:r>
          </w:p>
        </w:tc>
      </w:tr>
      <w:tr>
        <w:tc>
          <w:tcPr>
            <w:tcW w:type="dxa" w:w="3009"/>
          </w:tcPr>
          <w:p>
            <w:r/>
            <w:r>
              <w:rPr>
                <w:rFonts w:ascii="Times New Roman" w:hAnsi="Times New Roman" w:cs="Times New Roman"/>
                <w:sz w:val="20"/>
              </w:rPr>
              <w:t>Citation markers valid (32 answers)</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133 / 133</w:t>
            </w:r>
          </w:p>
        </w:tc>
      </w:tr>
      <w:tr>
        <w:tc>
          <w:tcPr>
            <w:tcW w:type="dxa" w:w="3009"/>
          </w:tcPr>
          <w:p>
            <w:r/>
            <w:r>
              <w:rPr>
                <w:rFonts w:ascii="Times New Roman" w:hAnsi="Times New Roman" w:cs="Times New Roman"/>
                <w:sz w:val="20"/>
              </w:rPr>
              <w:t>Groundedness, LLM judge (32)</w:t>
            </w:r>
          </w:p>
        </w:tc>
        <w:tc>
          <w:tcPr>
            <w:tcW w:type="dxa" w:w="3009"/>
          </w:tcPr>
          <w:p>
            <w:r/>
            <w:r>
              <w:rPr>
                <w:rFonts w:ascii="Times New Roman" w:hAnsi="Times New Roman" w:cs="Times New Roman"/>
                <w:sz w:val="20"/>
              </w:rPr>
              <w:t>31×2, 1×1 (lenient rubric)</w:t>
            </w:r>
          </w:p>
        </w:tc>
        <w:tc>
          <w:tcPr>
            <w:tcW w:type="dxa" w:w="3009"/>
          </w:tcPr>
          <w:p>
            <w:r/>
            <w:r>
              <w:rPr>
                <w:rFonts w:ascii="Times New Roman" w:hAnsi="Times New Roman" w:cs="Times New Roman"/>
                <w:sz w:val="20"/>
              </w:rPr>
              <w:t>23×2, 9×1, 0×0 (strict rubric)</w:t>
            </w:r>
          </w:p>
        </w:tc>
      </w:tr>
      <w:tr>
        <w:tc>
          <w:tcPr>
            <w:tcW w:type="dxa" w:w="3009"/>
          </w:tcPr>
          <w:p>
            <w:r/>
            <w:r>
              <w:rPr>
                <w:rFonts w:ascii="Times New Roman" w:hAnsi="Times New Roman" w:cs="Times New Roman"/>
                <w:sz w:val="20"/>
              </w:rPr>
              <w:t>In-scope refusals (32)</w:t>
            </w:r>
          </w:p>
        </w:tc>
        <w:tc>
          <w:tcPr>
            <w:tcW w:type="dxa" w:w="3009"/>
          </w:tcPr>
          <w:p>
            <w:r/>
            <w:r>
              <w:rPr>
                <w:rFonts w:ascii="Times New Roman" w:hAnsi="Times New Roman" w:cs="Times New Roman"/>
                <w:sz w:val="20"/>
              </w:rPr>
              <w:t>0</w:t>
            </w:r>
          </w:p>
        </w:tc>
        <w:tc>
          <w:tcPr>
            <w:tcW w:type="dxa" w:w="3009"/>
          </w:tcPr>
          <w:p>
            <w:r/>
            <w:r>
              <w:rPr>
                <w:rFonts w:ascii="Times New Roman" w:hAnsi="Times New Roman" w:cs="Times New Roman"/>
                <w:sz w:val="20"/>
              </w:rPr>
              <w:t>0</w:t>
            </w:r>
          </w:p>
        </w:tc>
      </w:tr>
      <w:tr>
        <w:tc>
          <w:tcPr>
            <w:tcW w:type="dxa" w:w="3009"/>
          </w:tcPr>
          <w:p>
            <w:r/>
            <w:r>
              <w:rPr>
                <w:rFonts w:ascii="Times New Roman" w:hAnsi="Times New Roman" w:cs="Times New Roman"/>
                <w:sz w:val="20"/>
              </w:rPr>
              <w:t>Tokens per answer (32)</w:t>
            </w:r>
          </w:p>
        </w:tc>
        <w:tc>
          <w:tcPr>
            <w:tcW w:type="dxa" w:w="3009"/>
          </w:tcPr>
          <w:p>
            <w:r/>
            <w:r>
              <w:rPr>
                <w:rFonts w:ascii="Times New Roman" w:hAnsi="Times New Roman" w:cs="Times New Roman"/>
                <w:sz w:val="20"/>
              </w:rPr>
              <w:t>—</w:t>
            </w:r>
          </w:p>
        </w:tc>
        <w:tc>
          <w:tcPr>
            <w:tcW w:type="dxa" w:w="3009"/>
          </w:tcPr>
          <w:p>
            <w:r/>
            <w:r>
              <w:rPr>
                <w:rFonts w:ascii="Times New Roman" w:hAnsi="Times New Roman" w:cs="Times New Roman"/>
                <w:sz w:val="20"/>
              </w:rPr>
              <w:t>≈ 2,755 (88,162 / 32)</w:t>
            </w:r>
          </w:p>
        </w:tc>
      </w:tr>
    </w:tbl>
    <w:p>
      <w:pPr>
        <w:spacing w:after="40"/>
      </w:pPr>
    </w:p>
    <w:p>
      <w:pPr>
        <w:jc w:val="both"/>
      </w:pPr>
      <w:r>
        <w:rPr>
          <w:rFonts w:ascii="Times New Roman" w:hAnsi="Times New Roman" w:cs="Times New Roman"/>
          <w:b/>
          <w:sz w:val="24"/>
        </w:rPr>
        <w:t>Retrieval.</w:t>
      </w:r>
      <w:r>
        <w:rPr>
          <w:rFonts w:ascii="Times New Roman" w:hAnsi="Times New Roman" w:cs="Times New Roman"/>
          <w:sz w:val="24"/>
        </w:rPr>
        <w:t xml:space="preserve"> An earlier evaluation on the pre-overhaul corpus found 29 of 32 in-scope questions retrieving their expected chunk; the misses were a corpus-imbalance artefact in which bulk iSupport chunks outranked hand-authored targets (two targets at ranks 6 and 7, one beyond rank 50). Introducing the source-family cap recovered the two competitive targets, raising retrieval to 31 of 32, where it has remained through every subsequent change: the prompt and citation refactors reproduced the frozen baseline ranking exactly, and re-ingesting the corpus (449 to 699 to 551 chunks, as provenance-tracked WHO content was added and 148 unprovenanced chunks were pruned) left recall@5 at 0.969 at each step. The one persistent miss (A17, validation therapy) reflects an uncompetitive curated chunk; its answers were grounded in the topically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36 assertions. All four emergency questions directed a New Zealand user to call 000 — the Australian emergency number — instead of 111; two dosing questions emitted specific milligram values; and three answers cited Australian services. The v2-nz-safety prompt passed 36 of 36, and separately all 32 in-scope generations passed their safety gates. All four boundary questions were declined without the unsupported specific, and all six out-of-scope questions were declined (five retrieved nothing above the similarity floor; the sixth retrieved weak matches but still declined). The curated corpus was subsequently rewritten to be New Zealand-only, and zero Australian references remain in the production database.</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and none was a fabrication. The two rubric columns in Table 3 are not comparable — the lenient baseline judge scored almost everything 2 and did not discriminate. An independent AI cross-check agreed with the strict judge on 10 of 10 sampled rows, but human sign-off is still pending, so the groundedness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because every labelled-relevant chunk is curated, a tighter cap on the competing family mechanically flatters the metric; the configuration was left unchanged pending relabelling on the new corpus.</w:t>
      </w:r>
    </w:p>
    <w:p>
      <w:pPr>
        <w:spacing w:before="200" w:after="80"/>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and lets each fall back independently to the previous blocking behaviour. Live on-device transcription replaces the upload (Whisper retained as a rescue path); a speculative retrieval fires while the user is still speaking, once a partial transcript of at least four words has been stable for 600 ms, and its chunks are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The pipeline is instrumented with per-stage checkpoints emitted as a structured summary after every turn.</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
              <w:rPr>
                <w:rFonts w:ascii="Times New Roman" w:hAnsi="Times New Roman" w:cs="Times New Roman"/>
                <w:b/>
                <w:sz w:val="20"/>
              </w:rPr>
              <w:t>Turn</w:t>
            </w:r>
          </w:p>
        </w:tc>
        <w:tc>
          <w:tcPr>
            <w:tcW w:type="dxa" w:w="1504"/>
          </w:tcPr>
          <w:p>
            <w:r/>
            <w:r>
              <w:rPr>
                <w:rFonts w:ascii="Times New Roman" w:hAnsi="Times New Roman" w:cs="Times New Roman"/>
                <w:b/>
                <w:sz w:val="20"/>
              </w:rPr>
              <w:t>To first audio</w:t>
            </w:r>
          </w:p>
        </w:tc>
        <w:tc>
          <w:tcPr>
            <w:tcW w:type="dxa" w:w="1504"/>
          </w:tcPr>
          <w:p>
            <w:r/>
            <w:r>
              <w:rPr>
                <w:rFonts w:ascii="Times New Roman" w:hAnsi="Times New Roman" w:cs="Times New Roman"/>
                <w:b/>
                <w:sz w:val="20"/>
              </w:rPr>
              <w:t>STT final</w:t>
            </w:r>
          </w:p>
        </w:tc>
        <w:tc>
          <w:tcPr>
            <w:tcW w:type="dxa" w:w="1504"/>
          </w:tcPr>
          <w:p>
            <w:r/>
            <w:r>
              <w:rPr>
                <w:rFonts w:ascii="Times New Roman" w:hAnsi="Times New Roman" w:cs="Times New Roman"/>
                <w:b/>
                <w:sz w:val="20"/>
              </w:rPr>
              <w:t>Retrieval</w:t>
            </w:r>
          </w:p>
        </w:tc>
        <w:tc>
          <w:tcPr>
            <w:tcW w:type="dxa" w:w="1504"/>
          </w:tcPr>
          <w:p>
            <w:r/>
            <w:r>
              <w:rPr>
                <w:rFonts w:ascii="Times New Roman" w:hAnsi="Times New Roman" w:cs="Times New Roman"/>
                <w:b/>
                <w:sz w:val="20"/>
              </w:rPr>
              <w:t>LLM first token</w:t>
            </w:r>
          </w:p>
        </w:tc>
        <w:tc>
          <w:tcPr>
            <w:tcW w:type="dxa" w:w="1504"/>
          </w:tcPr>
          <w:p>
            <w:r/>
            <w:r>
              <w:rPr>
                <w:rFonts w:ascii="Times New Roman" w:hAnsi="Times New Roman" w:cs="Times New Roman"/>
                <w:b/>
                <w:sz w:val="20"/>
              </w:rPr>
              <w:t>TTS first audio</w:t>
            </w:r>
          </w:p>
        </w:tc>
      </w:tr>
      <w:tr>
        <w:tc>
          <w:tcPr>
            <w:tcW w:type="dxa" w:w="1504"/>
          </w:tcPr>
          <w:p>
            <w:r/>
            <w:r>
              <w:rPr>
                <w:rFonts w:ascii="Times New Roman" w:hAnsi="Times New Roman" w:cs="Times New Roman"/>
                <w:sz w:val="20"/>
              </w:rPr>
              <w:t>1 (cold)</w:t>
            </w:r>
          </w:p>
        </w:tc>
        <w:tc>
          <w:tcPr>
            <w:tcW w:type="dxa" w:w="1504"/>
          </w:tcPr>
          <w:p>
            <w:r/>
            <w:r>
              <w:rPr>
                <w:rFonts w:ascii="Times New Roman" w:hAnsi="Times New Roman" w:cs="Times New Roman"/>
                <w:sz w:val="20"/>
              </w:rPr>
              <w:t>7,599</w:t>
            </w:r>
          </w:p>
        </w:tc>
        <w:tc>
          <w:tcPr>
            <w:tcW w:type="dxa" w:w="1504"/>
          </w:tcPr>
          <w:p>
            <w:r/>
            <w:r>
              <w:rPr>
                <w:rFonts w:ascii="Times New Roman" w:hAnsi="Times New Roman" w:cs="Times New Roman"/>
                <w:sz w:val="20"/>
              </w:rPr>
              <w:t>56</w:t>
            </w:r>
          </w:p>
        </w:tc>
        <w:tc>
          <w:tcPr>
            <w:tcW w:type="dxa" w:w="1504"/>
          </w:tcPr>
          <w:p>
            <w:r/>
            <w:r>
              <w:rPr>
                <w:rFonts w:ascii="Times New Roman" w:hAnsi="Times New Roman" w:cs="Times New Roman"/>
                <w:sz w:val="20"/>
              </w:rPr>
              <w:t>3,458</w:t>
            </w:r>
          </w:p>
        </w:tc>
        <w:tc>
          <w:tcPr>
            <w:tcW w:type="dxa" w:w="1504"/>
          </w:tcPr>
          <w:p>
            <w:r/>
            <w:r>
              <w:rPr>
                <w:rFonts w:ascii="Times New Roman" w:hAnsi="Times New Roman" w:cs="Times New Roman"/>
                <w:sz w:val="20"/>
              </w:rPr>
              <w:t>1,667</w:t>
            </w:r>
          </w:p>
        </w:tc>
        <w:tc>
          <w:tcPr>
            <w:tcW w:type="dxa" w:w="1504"/>
          </w:tcPr>
          <w:p>
            <w:r/>
            <w:r>
              <w:rPr>
                <w:rFonts w:ascii="Times New Roman" w:hAnsi="Times New Roman" w:cs="Times New Roman"/>
                <w:sz w:val="20"/>
              </w:rPr>
              <w:t>1,871</w:t>
            </w:r>
          </w:p>
        </w:tc>
      </w:tr>
      <w:tr>
        <w:tc>
          <w:tcPr>
            <w:tcW w:type="dxa" w:w="1504"/>
          </w:tcPr>
          <w:p>
            <w:r/>
            <w:r>
              <w:rPr>
                <w:rFonts w:ascii="Times New Roman" w:hAnsi="Times New Roman" w:cs="Times New Roman"/>
                <w:sz w:val="20"/>
              </w:rPr>
              <w:t>2</w:t>
            </w:r>
          </w:p>
        </w:tc>
        <w:tc>
          <w:tcPr>
            <w:tcW w:type="dxa" w:w="1504"/>
          </w:tcPr>
          <w:p>
            <w:r/>
            <w:r>
              <w:rPr>
                <w:rFonts w:ascii="Times New Roman" w:hAnsi="Times New Roman" w:cs="Times New Roman"/>
                <w:sz w:val="20"/>
              </w:rPr>
              <w:t>3,983</w:t>
            </w:r>
          </w:p>
        </w:tc>
        <w:tc>
          <w:tcPr>
            <w:tcW w:type="dxa" w:w="1504"/>
          </w:tcPr>
          <w:p>
            <w:r/>
            <w:r>
              <w:rPr>
                <w:rFonts w:ascii="Times New Roman" w:hAnsi="Times New Roman" w:cs="Times New Roman"/>
                <w:sz w:val="20"/>
              </w:rPr>
              <w:t>48</w:t>
            </w:r>
          </w:p>
        </w:tc>
        <w:tc>
          <w:tcPr>
            <w:tcW w:type="dxa" w:w="1504"/>
          </w:tcPr>
          <w:p>
            <w:r/>
            <w:r>
              <w:rPr>
                <w:rFonts w:ascii="Times New Roman" w:hAnsi="Times New Roman" w:cs="Times New Roman"/>
                <w:sz w:val="20"/>
              </w:rPr>
              <w:t>1,853</w:t>
            </w:r>
          </w:p>
        </w:tc>
        <w:tc>
          <w:tcPr>
            <w:tcW w:type="dxa" w:w="1504"/>
          </w:tcPr>
          <w:p>
            <w:r/>
            <w:r>
              <w:rPr>
                <w:rFonts w:ascii="Times New Roman" w:hAnsi="Times New Roman" w:cs="Times New Roman"/>
                <w:sz w:val="20"/>
              </w:rPr>
              <w:t>1,097</w:t>
            </w:r>
          </w:p>
        </w:tc>
        <w:tc>
          <w:tcPr>
            <w:tcW w:type="dxa" w:w="1504"/>
          </w:tcPr>
          <w:p>
            <w:r/>
            <w:r>
              <w:rPr>
                <w:rFonts w:ascii="Times New Roman" w:hAnsi="Times New Roman" w:cs="Times New Roman"/>
                <w:sz w:val="20"/>
              </w:rPr>
              <w:t>728</w:t>
            </w:r>
          </w:p>
        </w:tc>
      </w:tr>
      <w:tr>
        <w:tc>
          <w:tcPr>
            <w:tcW w:type="dxa" w:w="1504"/>
          </w:tcPr>
          <w:p>
            <w:r/>
            <w:r>
              <w:rPr>
                <w:rFonts w:ascii="Times New Roman" w:hAnsi="Times New Roman" w:cs="Times New Roman"/>
                <w:sz w:val="20"/>
              </w:rPr>
              <w:t>3</w:t>
            </w:r>
          </w:p>
        </w:tc>
        <w:tc>
          <w:tcPr>
            <w:tcW w:type="dxa" w:w="1504"/>
          </w:tcPr>
          <w:p>
            <w:r/>
            <w:r>
              <w:rPr>
                <w:rFonts w:ascii="Times New Roman" w:hAnsi="Times New Roman" w:cs="Times New Roman"/>
                <w:sz w:val="20"/>
              </w:rPr>
              <w:t>2,719</w:t>
            </w:r>
          </w:p>
        </w:tc>
        <w:tc>
          <w:tcPr>
            <w:tcW w:type="dxa" w:w="1504"/>
          </w:tcPr>
          <w:p>
            <w:r/>
            <w:r>
              <w:rPr>
                <w:rFonts w:ascii="Times New Roman" w:hAnsi="Times New Roman" w:cs="Times New Roman"/>
                <w:sz w:val="20"/>
              </w:rPr>
              <w:t>37</w:t>
            </w:r>
          </w:p>
        </w:tc>
        <w:tc>
          <w:tcPr>
            <w:tcW w:type="dxa" w:w="1504"/>
          </w:tcPr>
          <w:p>
            <w:r/>
            <w:r>
              <w:rPr>
                <w:rFonts w:ascii="Times New Roman" w:hAnsi="Times New Roman" w:cs="Times New Roman"/>
                <w:sz w:val="20"/>
              </w:rPr>
              <w:t>1,580</w:t>
            </w:r>
          </w:p>
        </w:tc>
        <w:tc>
          <w:tcPr>
            <w:tcW w:type="dxa" w:w="1504"/>
          </w:tcPr>
          <w:p>
            <w:r/>
            <w:r>
              <w:rPr>
                <w:rFonts w:ascii="Times New Roman" w:hAnsi="Times New Roman" w:cs="Times New Roman"/>
                <w:sz w:val="20"/>
              </w:rPr>
              <w:t>703</w:t>
            </w:r>
          </w:p>
        </w:tc>
        <w:tc>
          <w:tcPr>
            <w:tcW w:type="dxa" w:w="1504"/>
          </w:tcPr>
          <w:p>
            <w:r/>
            <w:r>
              <w:rPr>
                <w:rFonts w:ascii="Times New Roman" w:hAnsi="Times New Roman" w:cs="Times New Roman"/>
                <w:sz w:val="20"/>
              </w:rPr>
              <w:t>311</w:t>
            </w:r>
          </w:p>
        </w:tc>
      </w:tr>
      <w:tr>
        <w:tc>
          <w:tcPr>
            <w:tcW w:type="dxa" w:w="1504"/>
          </w:tcPr>
          <w:p>
            <w:r/>
            <w:r>
              <w:rPr>
                <w:rFonts w:ascii="Times New Roman" w:hAnsi="Times New Roman" w:cs="Times New Roman"/>
                <w:sz w:val="20"/>
              </w:rPr>
              <w:t>4 (later)</w:t>
            </w:r>
          </w:p>
        </w:tc>
        <w:tc>
          <w:tcPr>
            <w:tcW w:type="dxa" w:w="1504"/>
          </w:tcPr>
          <w:p>
            <w:r/>
            <w:r>
              <w:rPr>
                <w:rFonts w:ascii="Times New Roman" w:hAnsi="Times New Roman" w:cs="Times New Roman"/>
                <w:sz w:val="20"/>
              </w:rPr>
              <w:t>4,447</w:t>
            </w:r>
          </w:p>
        </w:tc>
        <w:tc>
          <w:tcPr>
            <w:tcW w:type="dxa" w:w="1504"/>
          </w:tcPr>
          <w:p>
            <w:r/>
            <w:r>
              <w:rPr>
                <w:rFonts w:ascii="Times New Roman" w:hAnsi="Times New Roman" w:cs="Times New Roman"/>
                <w:sz w:val="20"/>
              </w:rPr>
              <w:t>181</w:t>
            </w:r>
          </w:p>
        </w:tc>
        <w:tc>
          <w:tcPr>
            <w:tcW w:type="dxa" w:w="1504"/>
          </w:tcPr>
          <w:p>
            <w:r/>
            <w:r>
              <w:rPr>
                <w:rFonts w:ascii="Times New Roman" w:hAnsi="Times New Roman" w:cs="Times New Roman"/>
                <w:sz w:val="20"/>
              </w:rPr>
              <w:t>2,819</w:t>
            </w:r>
          </w:p>
        </w:tc>
        <w:tc>
          <w:tcPr>
            <w:tcW w:type="dxa" w:w="1504"/>
          </w:tcPr>
          <w:p>
            <w:r/>
            <w:r>
              <w:rPr>
                <w:rFonts w:ascii="Times New Roman" w:hAnsi="Times New Roman" w:cs="Times New Roman"/>
                <w:sz w:val="20"/>
              </w:rPr>
              <w:t>683</w:t>
            </w:r>
          </w:p>
        </w:tc>
        <w:tc>
          <w:tcPr>
            <w:tcW w:type="dxa" w:w="1504"/>
          </w:tcPr>
          <w:p>
            <w:r/>
            <w:r>
              <w:rPr>
                <w:rFonts w:ascii="Times New Roman" w:hAnsi="Times New Roman" w:cs="Times New Roman"/>
                <w:sz w:val="20"/>
              </w:rPr>
              <w:t>411</w:t>
            </w:r>
          </w:p>
        </w:tc>
      </w:tr>
    </w:tbl>
    <w:p>
      <w:pPr>
        <w:spacing w:after="40"/>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The speculative retrieval removes the former when it fires, but quick push-to-talk turns leave no stabilisation window; the hands-free mode's 1.2 s silence endpoint guarantees one. These figures are a preliminary characterisation: four turns on one device and network, on the non-streaming avatar path. The full protocol (at least 10 queries, Wi-Fi and cellular, both renderers) is defined and ready to run.</w:t>
      </w:r>
    </w:p>
    <w:p>
      <w:pPr>
        <w:spacing w:before="200" w:after="80"/>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Requires UAHPEC ethics approval; the protocol is drafted. The component results above validate enabling technology only — the project's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 counts,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to collapse the two sequential mobile round trips — the dominant measured cost (1.5 to 3.5 s) — with an expected reduction to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identical fixture suite through the native bridge on a physical device to confirm the editor metrics hold under real frame timing, and a perceptual study to test whether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Complete the human review of the strict-judge groundedness scores, and re-ingest the remaining 229 unprovenanced iSupport-NZ chunks from a licensed source document.</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the jitter regression, and compare the G2P and heuristic paths on identical text to isolate their contributions.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