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32"/>
          <w:szCs w:val="32"/>
        </w:rPr>
        <w:t xml:space="preserve">LMS Enrolment Bypass — Issue Identification &amp; System Upgrade</w:t>
      </w:r>
    </w:p>
    <w:p>
      <w:pPr>
        <w:spacing w:after="400"/>
      </w:pPr>
      <w:r>
        <w:rPr>
          <w:i/>
          <w:iCs/>
          <w:color w:val="666666"/>
          <w:sz w:val="20"/>
          <w:szCs w:val="20"/>
        </w:rPr>
        <w:t xml:space="preserve">Astute Business Consult Digital Academy  |  Golden Oil &amp; Agrira West Africa ISO 45001 Cohorts</w:t>
      </w:r>
    </w:p>
    <w:p>
      <w:pPr>
        <w:pStyle w:val="Heading1"/>
        <w:spacing w:after="150" w:before="300"/>
      </w:pPr>
      <w:r>
        <w:t xml:space="preserve">1. Issue Summary</w:t>
      </w:r>
    </w:p>
    <w:p>
      <w:pPr>
        <w:spacing w:after="160"/>
      </w:pPr>
      <w:r>
        <w:t xml:space="preserve">Two participants — Iretiola Soneye and Ejiogu Uche (Agrira West Africa) — were found active on the LMS despite never having submitted the official registration form. Both were confirmed as legitimately nominated by their organisation, so this was not a case of an unauthorised person joining the training. However, the mechanism by which they gained access exposed a genuine gap in the platform's access control, one that carries significantly greater risk as the platform scales toward public, payment-based enrolment.</w:t>
      </w:r>
    </w:p>
    <w:p>
      <w:pPr>
        <w:pStyle w:val="Heading1"/>
        <w:spacing w:after="150" w:before="300"/>
      </w:pPr>
      <w:r>
        <w:t xml:space="preserve">2. Root Cause</w:t>
      </w:r>
    </w:p>
    <w:p>
      <w:pPr>
        <w:spacing w:after="160"/>
      </w:pPr>
      <w:r>
        <w:t xml:space="preserve">Investigation traced the exact source of the bypass using LMS activity logs, the registration form data, the official nomination list, and the enrolment key distribution records. Two separate, compounding gaps were identified:</w:t>
      </w:r>
    </w:p>
    <w:p>
      <w:pPr>
        <w:pStyle w:val="Heading2"/>
        <w:spacing w:after="120" w:before="240"/>
      </w:pPr>
      <w:r>
        <w:t xml:space="preserve">2.1 — The registration form and LMS course enrolment are two disconnected systems</w:t>
      </w:r>
    </w:p>
    <w:p>
      <w:pPr>
        <w:spacing w:after="160"/>
      </w:pPr>
      <w:r>
        <w:t xml:space="preserve">Completing the registration form and gaining access to the course are not technically linked. The course uses a shared enrolment key (e.g. “Agrira-45001”) which, once known, grants access regardless of whether the form was ever submitted. The form functions as a data-collection step only — it is not a technical gate.</w:t>
      </w:r>
    </w:p>
    <w:p>
      <w:pPr>
        <w:pStyle w:val="Heading2"/>
        <w:spacing w:after="120" w:before="240"/>
      </w:pPr>
      <w:r>
        <w:t xml:space="preserve">2.2 — Moodle's public self-registration remains open</w:t>
      </w:r>
    </w:p>
    <w:p>
      <w:pPr>
        <w:spacing w:after="160"/>
      </w:pPr>
      <w:r>
        <w:t xml:space="preserve">The LMS site currently allows anyone with the site URL to create their own account via “Create new account,” independent of the course-level enrolment key. Combined with 2.1, this means two separate points of entry exist with no verification tying either of them to a confirmed, registered participant.</w:t>
      </w:r>
    </w:p>
    <w:p>
      <w:pPr>
        <w:pStyle w:val="Heading1"/>
        <w:spacing w:after="150" w:before="300"/>
      </w:pPr>
      <w:r>
        <w:t xml:space="preserve">3. Supporting Evidence</w:t>
      </w:r>
    </w:p>
    <w:p>
      <w:pPr>
        <w:spacing w:after="160"/>
      </w:pPr>
      <w:r>
        <w:t xml:space="preserve">The following was confirmed directly from Moodle activity logs and email records, not assumed:</w:t>
      </w:r>
    </w:p>
    <w:p>
      <w:pPr>
        <w:pStyle w:val="ListParagraph"/>
        <w:numPr>
          <w:ilvl w:val="0"/>
          <w:numId w:val="2"/>
        </w:numPr>
        <w:spacing w:after="80"/>
      </w:pPr>
      <w:r>
        <w:t xml:space="preserve">Neither Soneye nor Ejiogu appear in the registration form data (confirmed against two independent exports).</w:t>
      </w:r>
    </w:p>
    <w:p>
      <w:pPr>
        <w:pStyle w:val="ListParagraph"/>
        <w:numPr>
          <w:ilvl w:val="0"/>
          <w:numId w:val="2"/>
        </w:numPr>
        <w:spacing w:after="80"/>
      </w:pPr>
      <w:r>
        <w:t xml:space="preserve">Both are confirmed on the official 18-person Agrira nomination list.</w:t>
      </w:r>
    </w:p>
    <w:p>
      <w:pPr>
        <w:pStyle w:val="ListParagraph"/>
        <w:numPr>
          <w:ilvl w:val="0"/>
          <w:numId w:val="2"/>
        </w:numPr>
        <w:spacing w:after="80"/>
      </w:pPr>
      <w:r>
        <w:t xml:space="preserve">Neither was on the official recipient list for the enrolment key distribution email sent 3rd August.</w:t>
      </w:r>
    </w:p>
    <w:p>
      <w:pPr>
        <w:pStyle w:val="ListParagraph"/>
        <w:numPr>
          <w:ilvl w:val="0"/>
          <w:numId w:val="2"/>
        </w:numPr>
        <w:spacing w:after="80"/>
      </w:pPr>
      <w:r>
        <w:t xml:space="preserve">LMS logs show Soneye's account created 6th August, 2 days after the Agrira HSE contact (who did receive the key) registered.</w:t>
      </w:r>
    </w:p>
    <w:p>
      <w:pPr>
        <w:pStyle w:val="ListParagraph"/>
        <w:numPr>
          <w:ilvl w:val="0"/>
          <w:numId w:val="2"/>
        </w:numPr>
        <w:spacing w:after="80"/>
      </w:pPr>
      <w:r>
        <w:t xml:space="preserve">Ejiogu's account was created 17th August — timing that also correlates with recent activity from the same HSE contact shortly beforehand.</w:t>
      </w:r>
    </w:p>
    <w:p>
      <w:pPr>
        <w:spacing w:after="160"/>
      </w:pPr>
      <w:r>
        <w:rPr>
          <w:i/>
          <w:iCs/>
          <w:color w:val="666666"/>
        </w:rPr>
        <w:t xml:space="preserve">This points to informal, person-to-person forwarding of the enrolment key as the most probable route — not a technical failure of Moodle itself, but a process gap in how access credentials are controlled and distributed.</w:t>
      </w:r>
    </w:p>
    <w:p>
      <w:pPr>
        <w:pStyle w:val="Heading1"/>
        <w:spacing w:after="150" w:before="300"/>
      </w:pPr>
      <w:r>
        <w:t xml:space="preserve">4. Why This Matters More Going Forward</w:t>
      </w:r>
    </w:p>
    <w:p>
      <w:pPr>
        <w:spacing w:after="160"/>
      </w:pPr>
      <w:r>
        <w:t xml:space="preserve">This gap was low-impact in the current corporate cohorts, since both affected individuals were legitimately nominated. However, the platform is preparing for public enrolment at a scale of approximately 1,000 registrants, where:</w:t>
      </w:r>
    </w:p>
    <w:p>
      <w:pPr>
        <w:pStyle w:val="ListParagraph"/>
        <w:numPr>
          <w:ilvl w:val="0"/>
          <w:numId w:val="2"/>
        </w:numPr>
        <w:spacing w:after="80"/>
      </w:pPr>
      <w:r>
        <w:t xml:space="preserve">Registration will be tied to payment verification, not organisational nomination — meaning an unverified person self-enrolling is a direct revenue and access-control issue, not just a records mismatch.</w:t>
      </w:r>
    </w:p>
    <w:p>
      <w:pPr>
        <w:pStyle w:val="ListParagraph"/>
        <w:numPr>
          <w:ilvl w:val="0"/>
          <w:numId w:val="2"/>
        </w:numPr>
        <w:spacing w:after="80"/>
      </w:pPr>
      <w:r>
        <w:t xml:space="preserve">A shared, reusable enrolment key at that scale is materially easier to leak, screenshot, or resell than in a 20-30 person corporate cohort.</w:t>
      </w:r>
    </w:p>
    <w:p>
      <w:pPr>
        <w:pStyle w:val="ListParagraph"/>
        <w:numPr>
          <w:ilvl w:val="0"/>
          <w:numId w:val="2"/>
        </w:numPr>
        <w:spacing w:after="80"/>
      </w:pPr>
      <w:r>
        <w:t xml:space="preserve">Open self-registration means anyone reaching the LMS URL can create an account regardless of payment or nomination status.</w:t>
      </w:r>
    </w:p>
    <w:p>
      <w:pPr>
        <w:pStyle w:val="Heading1"/>
        <w:spacing w:after="150" w:before="300"/>
      </w:pPr>
      <w:r>
        <w:t xml:space="preserve">5. Remediation Plan</w:t>
      </w:r>
    </w:p>
    <w:p>
      <w:pPr>
        <w:spacing w:after="160"/>
      </w:pPr>
      <w:r>
        <w:t xml:space="preserve">The following upgrade closes both gaps identified in Section 2, using only Moodle's native, core functionality — no third-party plugin is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8" w:val="clear"/>
            <w:tcMar>
              <w:top w:type="dxa" w:w="80"/>
              <w:left w:type="dxa" w:w="100"/>
              <w:bottom w:type="dxa" w:w="80"/>
              <w:right w:type="dxa" w:w="100"/>
            </w:tcMar>
          </w:tcPr>
          <w:p>
            <w:r>
              <w:rPr>
                <w:b/>
                <w:bCs/>
                <w:color w:val="FFFFFF"/>
              </w:rPr>
              <w:t xml:space="preserve">Change</w:t>
            </w:r>
          </w:p>
        </w:tc>
        <w:tc>
          <w:tcPr>
            <w:tcW w:type="dxa" w:w="6750"/>
            <w:shd w:fill="1F4E78" w:val="clear"/>
            <w:tcMar>
              <w:top w:type="dxa" w:w="80"/>
              <w:left w:type="dxa" w:w="100"/>
              <w:bottom w:type="dxa" w:w="80"/>
              <w:right w:type="dxa" w:w="100"/>
            </w:tcMar>
          </w:tcPr>
          <w:p>
            <w:r>
              <w:rPr>
                <w:b/>
                <w:bCs/>
                <w:color w:val="FFFFFF"/>
              </w:rPr>
              <w:t xml:space="preserve">Effect</w:t>
            </w:r>
          </w:p>
        </w:tc>
      </w:tr>
      <w:tr>
        <w:tc>
          <w:tcPr>
            <w:tcW w:type="dxa" w:w="2600"/>
            <w:tcMar>
              <w:top w:type="dxa" w:w="80"/>
              <w:left w:type="dxa" w:w="100"/>
              <w:bottom w:type="dxa" w:w="80"/>
              <w:right w:type="dxa" w:w="100"/>
            </w:tcMar>
          </w:tcPr>
          <w:p>
            <w:r>
              <w:rPr>
                <w:b w:val="false"/>
                <w:bCs w:val="false"/>
              </w:rPr>
              <w:t xml:space="preserve">Disable public self-registration</w:t>
            </w:r>
          </w:p>
        </w:tc>
        <w:tc>
          <w:tcPr>
            <w:tcW w:type="dxa" w:w="6750"/>
            <w:tcMar>
              <w:top w:type="dxa" w:w="80"/>
              <w:left w:type="dxa" w:w="100"/>
              <w:bottom w:type="dxa" w:w="80"/>
              <w:right w:type="dxa" w:w="100"/>
            </w:tcMar>
          </w:tcPr>
          <w:p>
            <w:r>
              <w:rPr>
                <w:b w:val="false"/>
                <w:bCs w:val="false"/>
              </w:rPr>
              <w:t xml:space="preserve">Removes the “Create new account” option site-wide. No account can be created except through the controlled process below.</w:t>
            </w:r>
          </w:p>
        </w:tc>
      </w:tr>
      <w:tr>
        <w:tc>
          <w:tcPr>
            <w:tcW w:type="dxa" w:w="2600"/>
            <w:tcMar>
              <w:top w:type="dxa" w:w="80"/>
              <w:left w:type="dxa" w:w="100"/>
              <w:bottom w:type="dxa" w:w="80"/>
              <w:right w:type="dxa" w:w="100"/>
            </w:tcMar>
          </w:tcPr>
          <w:p>
            <w:r>
              <w:rPr>
                <w:b w:val="false"/>
                <w:bCs w:val="false"/>
              </w:rPr>
              <w:t xml:space="preserve">Registration form becomes the single source of truth</w:t>
            </w:r>
          </w:p>
        </w:tc>
        <w:tc>
          <w:tcPr>
            <w:tcW w:type="dxa" w:w="6750"/>
            <w:tcMar>
              <w:top w:type="dxa" w:w="80"/>
              <w:left w:type="dxa" w:w="100"/>
              <w:bottom w:type="dxa" w:w="80"/>
              <w:right w:type="dxa" w:w="100"/>
            </w:tcMar>
          </w:tcPr>
          <w:p>
            <w:r>
              <w:rPr>
                <w:b w:val="false"/>
                <w:bCs w:val="false"/>
              </w:rPr>
              <w:t xml:space="preserve">L&amp;D reviews each submission (payment evidence or nomination match) before any LMS account is created — the verification step that was missing.</w:t>
            </w:r>
          </w:p>
        </w:tc>
      </w:tr>
      <w:tr>
        <w:tc>
          <w:tcPr>
            <w:tcW w:type="dxa" w:w="2600"/>
            <w:tcMar>
              <w:top w:type="dxa" w:w="80"/>
              <w:left w:type="dxa" w:w="100"/>
              <w:bottom w:type="dxa" w:w="80"/>
              <w:right w:type="dxa" w:w="100"/>
            </w:tcMar>
          </w:tcPr>
          <w:p>
            <w:r>
              <w:rPr>
                <w:b w:val="false"/>
                <w:bCs w:val="false"/>
              </w:rPr>
              <w:t xml:space="preserve">One-time password per person</w:t>
            </w:r>
          </w:p>
        </w:tc>
        <w:tc>
          <w:tcPr>
            <w:tcW w:type="dxa" w:w="6750"/>
            <w:tcMar>
              <w:top w:type="dxa" w:w="80"/>
              <w:left w:type="dxa" w:w="100"/>
              <w:bottom w:type="dxa" w:w="80"/>
              <w:right w:type="dxa" w:w="100"/>
            </w:tcMar>
          </w:tcPr>
          <w:p>
            <w:r>
              <w:rPr>
                <w:b w:val="false"/>
                <w:bCs w:val="false"/>
              </w:rPr>
              <w:t xml:space="preserve">Each verified registrant receives their own unique, single-use password, forced to change on first login. Nothing shareable remains valid after first use.</w:t>
            </w:r>
          </w:p>
        </w:tc>
      </w:tr>
      <w:tr>
        <w:tc>
          <w:tcPr>
            <w:tcW w:type="dxa" w:w="2600"/>
            <w:tcMar>
              <w:top w:type="dxa" w:w="80"/>
              <w:left w:type="dxa" w:w="100"/>
              <w:bottom w:type="dxa" w:w="80"/>
              <w:right w:type="dxa" w:w="100"/>
            </w:tcMar>
          </w:tcPr>
          <w:p>
            <w:r>
              <w:rPr>
                <w:b w:val="false"/>
                <w:bCs w:val="false"/>
              </w:rPr>
              <w:t xml:space="preserve">Cohort-based course access</w:t>
            </w:r>
          </w:p>
        </w:tc>
        <w:tc>
          <w:tcPr>
            <w:tcW w:type="dxa" w:w="6750"/>
            <w:tcMar>
              <w:top w:type="dxa" w:w="80"/>
              <w:left w:type="dxa" w:w="100"/>
              <w:bottom w:type="dxa" w:w="80"/>
              <w:right w:type="dxa" w:w="100"/>
            </w:tcMar>
          </w:tcPr>
          <w:p>
            <w:r>
              <w:rPr>
                <w:b w:val="false"/>
                <w:bCs w:val="false"/>
              </w:rPr>
              <w:t xml:space="preserve">Each registrant is placed into an organisation/intake cohort, which is the only thing that grants course access — replacing the shared course enrolment key entirely.</w:t>
            </w:r>
          </w:p>
        </w:tc>
      </w:tr>
      <w:tr>
        <w:tc>
          <w:tcPr>
            <w:tcW w:type="dxa" w:w="2600"/>
            <w:tcMar>
              <w:top w:type="dxa" w:w="80"/>
              <w:left w:type="dxa" w:w="100"/>
              <w:bottom w:type="dxa" w:w="80"/>
              <w:right w:type="dxa" w:w="100"/>
            </w:tcMar>
          </w:tcPr>
          <w:p>
            <w:r>
              <w:rPr>
                <w:b w:val="false"/>
                <w:bCs w:val="false"/>
              </w:rPr>
              <w:t xml:space="preserve">Automated provisioning tool</w:t>
            </w:r>
          </w:p>
        </w:tc>
        <w:tc>
          <w:tcPr>
            <w:tcW w:type="dxa" w:w="6750"/>
            <w:tcMar>
              <w:top w:type="dxa" w:w="80"/>
              <w:left w:type="dxa" w:w="100"/>
              <w:bottom w:type="dxa" w:w="80"/>
              <w:right w:type="dxa" w:w="100"/>
            </w:tcMar>
          </w:tcPr>
          <w:p>
            <w:r>
              <w:rPr>
                <w:b w:val="false"/>
                <w:bCs w:val="false"/>
              </w:rPr>
              <w:t xml:space="preserve">A purpose-built tool (using Moodle's native Web Services API only, no plugin) takes L&amp;D's approved registrant list and handles account creation, cohort assignment, and email notification in one controlled batch process, with a full audit-trail report per batch.</w:t>
            </w:r>
          </w:p>
        </w:tc>
      </w:tr>
    </w:tbl>
    <w:p>
      <w:pPr>
        <w:spacing w:after="200"/>
      </w:pPr>
    </w:p>
    <w:p>
      <w:pPr>
        <w:pStyle w:val="Heading1"/>
        <w:spacing w:after="150" w:before="300"/>
      </w:pPr>
      <w:r>
        <w:t xml:space="preserve">6. Status</w:t>
      </w:r>
    </w:p>
    <w:p>
      <w:pPr>
        <w:pStyle w:val="ListParagraph"/>
        <w:numPr>
          <w:ilvl w:val="0"/>
          <w:numId w:val="2"/>
        </w:numPr>
        <w:spacing w:after="80"/>
      </w:pPr>
      <w:r>
        <w:t xml:space="preserve">Root cause identified and evidenced — complete.</w:t>
      </w:r>
    </w:p>
    <w:p>
      <w:pPr>
        <w:pStyle w:val="ListParagraph"/>
        <w:numPr>
          <w:ilvl w:val="0"/>
          <w:numId w:val="2"/>
        </w:numPr>
        <w:spacing w:after="80"/>
      </w:pPr>
      <w:r>
        <w:t xml:space="preserve">Two affected LMS accounts (unrelated Golden Oil case) suspended pending review — complete.</w:t>
      </w:r>
    </w:p>
    <w:p>
      <w:pPr>
        <w:pStyle w:val="ListParagraph"/>
        <w:numPr>
          <w:ilvl w:val="0"/>
          <w:numId w:val="2"/>
        </w:numPr>
        <w:spacing w:after="80"/>
      </w:pPr>
      <w:r>
        <w:t xml:space="preserve">Provisioning tool built and dry-run tested — complete.</w:t>
      </w:r>
    </w:p>
    <w:p>
      <w:pPr>
        <w:pStyle w:val="ListParagraph"/>
        <w:numPr>
          <w:ilvl w:val="0"/>
          <w:numId w:val="2"/>
        </w:numPr>
        <w:spacing w:after="80"/>
      </w:pPr>
      <w:r>
        <w:t xml:space="preserve">Moodle-side configuration (disable self-registration, create cohorts, link cohort sync) — pending, to be completed ahead of the public launch.</w:t>
      </w:r>
    </w:p>
    <w:p>
      <w:pPr>
        <w:pStyle w:val="ListParagraph"/>
        <w:numPr>
          <w:ilvl w:val="0"/>
          <w:numId w:val="2"/>
        </w:numPr>
        <w:spacing w:after="80"/>
      </w:pPr>
      <w:r>
        <w:t xml:space="preserve">Small controlled test batch before full 1,000-person rollout — pending.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2026-08-19T08:14:41.323Z</dcterms:created>
  <dcterms:modified xsi:type="dcterms:W3CDTF">2026-08-19T08:14:41.345Z</dcterms:modified>
</cp:coreProperties>
</file>

<file path=docProps/custom.xml><?xml version="1.0" encoding="utf-8"?>
<Properties xmlns="http://schemas.openxmlformats.org/officeDocument/2006/custom-properties" xmlns:vt="http://schemas.openxmlformats.org/officeDocument/2006/docPropsVTypes"/>
</file>