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ORIGINAL RESEARCH PROPOSAL</w:t>
      </w:r>
    </w:p>
    <w:p>
      <w:pPr>
        <w:pStyle w:val="Title"/>
      </w:pPr>
      <w:r>
        <w:t>Budget-Adaptive Metaheuristic Optimization for ECG Classification Using Marginal Utility-Based Search Allocation</w:t>
      </w:r>
    </w:p>
    <w:p>
      <w:r>
        <w:rPr>
          <w:b w:val="0"/>
        </w:rPr>
        <w:t>Computational optimization and biomedical deep learning</w:t>
        <w:br/>
        <w:t>Research design  Method development and controlled benchmarking</w:t>
        <w:br/>
        <w:t>Proposal date  7 October 2026</w:t>
      </w:r>
    </w:p>
    <w:p>
      <w:pPr>
        <w:pStyle w:val="Heading2"/>
      </w:pPr>
      <w:r>
        <w:t>Abstract</w:t>
      </w:r>
    </w:p>
    <w:p>
      <w:r>
        <w:rPr>
          <w:b w:val="0"/>
        </w:rPr>
        <w:t>Metaheuristic optimization may improve biomedical deep-learning models, yet its incremental benefits are difficult to interpret when search budgets and computational overhead are inadequately reported. This study proposes a budget-adaptive controller that allocates search time across hyperparameter blocks according to observed improvements in validation performance per unit of computational cost. Differential Evolution (DE) will generate candidate configurations. The controller will determine whether to continue searching within the current block, switch to another block, or terminate the search after confirmation probes. Mandatory exploration and a joint search block will address premature abandonment and interactions among hyperparameters.</w:t>
      </w:r>
    </w:p>
    <w:p>
      <w:r>
        <w:rPr>
          <w:b w:val="0"/>
        </w:rPr>
        <w:t>The method will be evaluated using patient-separated, multi-label classification of five diagnostic superclasses in PTB-XL. A one-dimensional convolutional neural network will be optimized under predefined search-time limits. Random search, the Tree-structured Parzen Estimator (TPE), standard DE, Hyperband, BOHB, and DEHB will serve as comparators. Evaluation will distinguish search cost, final-model training cost, and inference efficiency. Ablation experiments will isolate the effects of adaptive allocation, cost normalization, mandatory exploration, joint search, and termination confirmation.</w:t>
      </w:r>
    </w:p>
    <w:p>
      <w:r>
        <w:rPr>
          <w:b w:val="0"/>
        </w:rPr>
        <w:t>The primary hypothesis is that the controller reduces search expenditure while maintaining prespecified classification performance, or improves performance within a matched time limit. The proposal defines an experimental protocol; numerical performance gains and computational savings have not yet been established.</w:t>
      </w:r>
    </w:p>
    <w:p>
      <w:pPr>
        <w:pStyle w:val="Heading2"/>
      </w:pPr>
      <w:r>
        <w:t>Expected methodological contributions</w:t>
      </w:r>
    </w:p>
    <w:p>
      <w:pPr>
        <w:pStyle w:val="ListBullet"/>
      </w:pPr>
      <w:r>
        <w:t>An auditable allocation rule based on observed marginal validation improvement and measured search cost.</w:t>
      </w:r>
    </w:p>
    <w:p>
      <w:pPr>
        <w:pStyle w:val="ListBullet"/>
      </w:pPr>
      <w:r>
        <w:t>Continue, switch, and stop decisions supported by exploration safeguards and confirmation probes.</w:t>
      </w:r>
    </w:p>
    <w:p>
      <w:pPr>
        <w:pStyle w:val="ListBullet"/>
      </w:pPr>
      <w:r>
        <w:t>Patient-separated benchmarking of predictive performance, search efficiency, and decision stability.</w:t>
      </w:r>
    </w:p>
    <w:p>
      <w:r>
        <w:rPr>
          <w:b w:val="0"/>
        </w:rPr>
        <w:t>Keywords: ECG classification; metaheuristic optimization; adaptive budget allocation; marginal utility; hyperparameter optimization; computational efficiency.</w:t>
      </w:r>
    </w:p>
    <w:p>
      <w:r>
        <w:rPr>
          <w:b w:val="0"/>
        </w:rPr>
        <w:t>Proposal structure: Chapter 1 presents the rationale, objectives, and hypotheses. Chapter 2 positions the contribution within related research. Chapter 3 specifies the methodology, research roadmap, resources, and deliverables.</w:t>
      </w:r>
    </w:p>
    <w:p>
      <w:r>
        <w:br w:type="page"/>
      </w:r>
    </w:p>
    <w:p>
      <w:pPr>
        <w:pStyle w:val="Heading1"/>
      </w:pPr>
      <w:r>
        <w:t>Chapter 1 Introduction</w:t>
      </w:r>
    </w:p>
    <w:p>
      <w:pPr>
        <w:pStyle w:val="Heading2"/>
      </w:pPr>
      <w:r>
        <w:t>1.1 Research background</w:t>
      </w:r>
    </w:p>
    <w:p>
      <w:r>
        <w:rPr>
          <w:b w:val="0"/>
        </w:rPr>
        <w:t>The source systematic literature review (SLR) evaluates biomedical deep-learning optimization through a target–mechanism–gain–cost–credibility framework. Of the 174 studies reported as included, 44 have structured extraction data. Numerical findings below refer exclusively to this 44-study subset [S1].</w:t>
      </w:r>
    </w:p>
    <w:tbl>
      <w:tblPr>
        <w:tblW w:type="auto" w:w="0"/>
        <w:jc w:val="center"/>
        <w:tblLayout w:type="fixed"/>
        <w:tblLook w:firstColumn="1" w:firstRow="1" w:lastColumn="0" w:lastRow="0" w:noHBand="0" w:noVBand="1" w:val="04A0"/>
      </w:tblPr>
      <w:tblGrid>
        <w:gridCol w:w="4320"/>
        <w:gridCol w:w="5616"/>
      </w:tblGrid>
      <w:tr>
        <w:trPr>
          <w:tblHeader/>
          <w:cantSplit/>
        </w:trPr>
        <w:tc>
          <w:tcPr>
            <w:tcW w:type="dxa" w:w="432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7EEF5"/>
          </w:tcPr>
          <w:p>
            <w:pPr>
              <w:spacing w:after="40" w:line="245" w:lineRule="auto"/>
            </w:pPr>
            <w:r>
              <w:rPr>
                <w:b/>
                <w:color w:val="000000"/>
                <w:sz w:val="19"/>
              </w:rPr>
              <w:t>SLR finding</w:t>
            </w:r>
          </w:p>
        </w:tc>
        <w:tc>
          <w:tcPr>
            <w:tcW w:type="dxa" w:w="56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7EEF5"/>
          </w:tcPr>
          <w:p>
            <w:pPr>
              <w:spacing w:after="40" w:line="245" w:lineRule="auto"/>
            </w:pPr>
            <w:r>
              <w:rPr>
                <w:b/>
                <w:color w:val="000000"/>
                <w:sz w:val="19"/>
              </w:rPr>
              <w:t>Implication for this study</w:t>
            </w:r>
          </w:p>
        </w:tc>
      </w:tr>
      <w:tr>
        <w:trPr>
          <w:cantSplit/>
        </w:trPr>
        <w:tc>
          <w:tcPr>
            <w:tcW w:type="dxa" w:w="432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19"/>
              </w:rPr>
              <w:t>19 studies addressed feature selection; 13 addressed hyperparameters, parameters, or architectures.</w:t>
            </w:r>
          </w:p>
        </w:tc>
        <w:tc>
          <w:tcPr>
            <w:tcW w:type="dxa" w:w="56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19"/>
              </w:rPr>
              <w:t>Investigate model configuration within an explicitly defined search space.</w:t>
            </w:r>
          </w:p>
        </w:tc>
      </w:tr>
      <w:tr>
        <w:trPr>
          <w:cantSplit/>
        </w:trPr>
        <w:tc>
          <w:tcPr>
            <w:tcW w:type="dxa" w:w="432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6F7F8"/>
          </w:tcPr>
          <w:p>
            <w:pPr>
              <w:spacing w:after="40" w:line="245" w:lineRule="auto"/>
            </w:pPr>
            <w:r>
              <w:rPr>
                <w:b w:val="0"/>
                <w:color w:val="000000"/>
                <w:sz w:val="19"/>
              </w:rPr>
              <w:t>10 trade-offs were favorable, 15 mixed, and 19 uncertain.</w:t>
            </w:r>
          </w:p>
        </w:tc>
        <w:tc>
          <w:tcPr>
            <w:tcW w:type="dxa" w:w="56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6F7F8"/>
          </w:tcPr>
          <w:p>
            <w:pPr>
              <w:spacing w:after="40" w:line="245" w:lineRule="auto"/>
            </w:pPr>
            <w:r>
              <w:rPr>
                <w:b w:val="0"/>
                <w:color w:val="000000"/>
                <w:sz w:val="19"/>
              </w:rPr>
              <w:t>Measure all search costs and compare methods under equivalent time limits.</w:t>
            </w:r>
          </w:p>
        </w:tc>
      </w:tr>
      <w:tr>
        <w:trPr>
          <w:cantSplit/>
        </w:trPr>
        <w:tc>
          <w:tcPr>
            <w:tcW w:type="dxa" w:w="432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19"/>
              </w:rPr>
              <w:t>The analysis and validation domain contained 33 judgments of some concerns and five high-risk judgments.</w:t>
            </w:r>
          </w:p>
        </w:tc>
        <w:tc>
          <w:tcPr>
            <w:tcW w:type="dxa" w:w="56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19"/>
              </w:rPr>
              <w:t>Separate patients and prevent final evaluation data from informing the controller.</w:t>
            </w:r>
          </w:p>
        </w:tc>
      </w:tr>
      <w:tr>
        <w:trPr>
          <w:cantSplit/>
        </w:trPr>
        <w:tc>
          <w:tcPr>
            <w:tcW w:type="dxa" w:w="432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6F7F8"/>
          </w:tcPr>
          <w:p>
            <w:pPr>
              <w:spacing w:after="40" w:line="245" w:lineRule="auto"/>
            </w:pPr>
            <w:r>
              <w:rPr>
                <w:b w:val="0"/>
                <w:color w:val="000000"/>
                <w:sz w:val="19"/>
              </w:rPr>
              <w:t>Study S44 reported approximately 48 GPU-hours of search and inference below 0.1 seconds per image.</w:t>
            </w:r>
          </w:p>
        </w:tc>
        <w:tc>
          <w:tcPr>
            <w:tcW w:type="dxa" w:w="56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6F7F8"/>
          </w:tcPr>
          <w:p>
            <w:pPr>
              <w:spacing w:after="40" w:line="245" w:lineRule="auto"/>
            </w:pPr>
            <w:r>
              <w:rPr>
                <w:b w:val="0"/>
                <w:color w:val="000000"/>
                <w:sz w:val="19"/>
              </w:rPr>
              <w:t>Distinguish development expenditure from deployment efficiency.</w:t>
            </w:r>
          </w:p>
        </w:tc>
      </w:tr>
    </w:tbl>
    <w:p>
      <w:pPr>
        <w:spacing w:after="0"/>
      </w:pPr>
    </w:p>
    <w:p>
      <w:pPr>
        <w:pStyle w:val="Heading2"/>
      </w:pPr>
      <w:r>
        <w:t>1.2 Problem statement</w:t>
      </w:r>
    </w:p>
    <w:p>
      <w:r>
        <w:rPr>
          <w:b w:val="0"/>
        </w:rPr>
        <w:t>A fixed allocation may continue investing computation in a search block after its marginal benefit has declined. Conversely, stopping too early may discard configurations whose gains emerge only after further exploration. This study investigates whether a controller can balance these competing risks using measured validation improvement and actual search time. The SLR motivates this question but does not establish the superiority of any particular optimizer.</w:t>
      </w:r>
    </w:p>
    <w:p>
      <w:pPr>
        <w:pStyle w:val="Heading2"/>
      </w:pPr>
      <w:r>
        <w:t>1.3 Relationship to the supporting research plans</w:t>
      </w:r>
    </w:p>
    <w:p>
      <w:r>
        <w:rPr>
          <w:b w:val="0"/>
        </w:rPr>
        <w:t>The NUI brainstorming document recommends compute-matched benchmarking and separate accounting of search and deployment costs [S2]. The October research plan emphasizes patient-level validation and repeated runs [S3]. This proposal adopts those evaluation principles while using macro area under the receiver operating characteristic curve (AUROC) and measured time as primary outcomes. The proposed NUI weights and thresholds remain uncalibrated and will not determine fitness or termination.</w:t>
      </w:r>
    </w:p>
    <w:p>
      <w:pPr>
        <w:pStyle w:val="Heading2"/>
      </w:pPr>
      <w:r>
        <w:t>1.4 Scope of the study</w:t>
      </w:r>
    </w:p>
    <w:p>
      <w:r>
        <w:rPr>
          <w:b w:val="0"/>
        </w:rPr>
        <w:t>The primary task is record-level ECG diagnostic classification. Optimization is restricted to one CNN family and nine hyperparameters. Beat detection, signal segmentation, feature selection, federated learning, and a universal NUI are outside the primary study. SLR evidence informs the rationale; ECG recordings must be obtained separately from the official dataset repository.</w:t>
      </w:r>
    </w:p>
    <w:p>
      <w:r>
        <w:br w:type="page"/>
      </w:r>
    </w:p>
    <w:p>
      <w:pPr>
        <w:pStyle w:val="Heading1"/>
      </w:pPr>
      <w:r>
        <w:t>1.5 Objectives and research questions</w:t>
      </w:r>
    </w:p>
    <w:p>
      <w:r>
        <w:rPr>
          <w:b w:val="0"/>
        </w:rPr>
        <w:t>The overall objective is to develop and evaluate a metaheuristic controller that allocates search resources according to marginal benefit per computational cost while preserving classification performance on patients not used during optimization.</w:t>
      </w:r>
    </w:p>
    <w:tbl>
      <w:tblPr>
        <w:tblW w:type="auto" w:w="0"/>
        <w:jc w:val="center"/>
        <w:tblLayout w:type="fixed"/>
        <w:tblLook w:firstColumn="1" w:firstRow="1" w:lastColumn="0" w:lastRow="0" w:noHBand="0" w:noVBand="1" w:val="04A0"/>
      </w:tblPr>
      <w:tblGrid>
        <w:gridCol w:w="792"/>
        <w:gridCol w:w="6552"/>
        <w:gridCol w:w="2592"/>
      </w:tblGrid>
      <w:tr>
        <w:trPr>
          <w:tblHeader/>
          <w:cantSplit/>
        </w:trPr>
        <w:tc>
          <w:tcPr>
            <w:tcW w:type="dxa" w:w="79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7EEF5"/>
          </w:tcPr>
          <w:p>
            <w:pPr>
              <w:spacing w:after="40" w:line="245" w:lineRule="auto"/>
            </w:pPr>
            <w:r>
              <w:rPr>
                <w:b/>
                <w:color w:val="000000"/>
                <w:sz w:val="19"/>
              </w:rPr>
              <w:t>RQ</w:t>
            </w:r>
          </w:p>
        </w:tc>
        <w:tc>
          <w:tcPr>
            <w:tcW w:type="dxa" w:w="65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7EEF5"/>
          </w:tcPr>
          <w:p>
            <w:pPr>
              <w:spacing w:after="40" w:line="245" w:lineRule="auto"/>
            </w:pPr>
            <w:r>
              <w:rPr>
                <w:b/>
                <w:color w:val="000000"/>
                <w:sz w:val="19"/>
              </w:rPr>
              <w:t>Research question</w:t>
            </w:r>
          </w:p>
        </w:tc>
        <w:tc>
          <w:tcPr>
            <w:tcW w:type="dxa" w:w="259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7EEF5"/>
          </w:tcPr>
          <w:p>
            <w:pPr>
              <w:spacing w:after="40" w:line="245" w:lineRule="auto"/>
            </w:pPr>
            <w:r>
              <w:rPr>
                <w:b/>
                <w:color w:val="000000"/>
                <w:sz w:val="19"/>
              </w:rPr>
              <w:t>Principal outcome</w:t>
            </w:r>
          </w:p>
        </w:tc>
      </w:tr>
      <w:tr>
        <w:trPr>
          <w:cantSplit/>
        </w:trPr>
        <w:tc>
          <w:tcPr>
            <w:tcW w:type="dxa" w:w="79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19"/>
              </w:rPr>
              <w:t>RQ1</w:t>
            </w:r>
          </w:p>
        </w:tc>
        <w:tc>
          <w:tcPr>
            <w:tcW w:type="dxa" w:w="65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19"/>
              </w:rPr>
              <w:t>Does adaptive allocation improve performance under the same search-time limit?</w:t>
            </w:r>
          </w:p>
        </w:tc>
        <w:tc>
          <w:tcPr>
            <w:tcW w:type="dxa" w:w="259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19"/>
              </w:rPr>
              <w:t>Final macro AUROC and the validation performance–time integral.</w:t>
            </w:r>
          </w:p>
        </w:tc>
      </w:tr>
      <w:tr>
        <w:trPr>
          <w:cantSplit/>
        </w:trPr>
        <w:tc>
          <w:tcPr>
            <w:tcW w:type="dxa" w:w="79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6F7F8"/>
          </w:tcPr>
          <w:p>
            <w:pPr>
              <w:spacing w:after="40" w:line="245" w:lineRule="auto"/>
            </w:pPr>
            <w:r>
              <w:rPr>
                <w:b w:val="0"/>
                <w:color w:val="000000"/>
                <w:sz w:val="19"/>
              </w:rPr>
              <w:t>RQ2</w:t>
            </w:r>
          </w:p>
        </w:tc>
        <w:tc>
          <w:tcPr>
            <w:tcW w:type="dxa" w:w="65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6F7F8"/>
          </w:tcPr>
          <w:p>
            <w:pPr>
              <w:spacing w:after="40" w:line="245" w:lineRule="auto"/>
            </w:pPr>
            <w:r>
              <w:rPr>
                <w:b w:val="0"/>
                <w:color w:val="000000"/>
                <w:sz w:val="19"/>
              </w:rPr>
              <w:t>Does utility-based termination reduce search expenditure without a material loss of performance?</w:t>
            </w:r>
          </w:p>
        </w:tc>
        <w:tc>
          <w:tcPr>
            <w:tcW w:type="dxa" w:w="259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6F7F8"/>
          </w:tcPr>
          <w:p>
            <w:pPr>
              <w:spacing w:after="40" w:line="245" w:lineRule="auto"/>
            </w:pPr>
            <w:r>
              <w:rPr>
                <w:b w:val="0"/>
                <w:color w:val="000000"/>
                <w:sz w:val="19"/>
              </w:rPr>
              <w:t>Actual search time and the macro AUROC difference.</w:t>
            </w:r>
          </w:p>
        </w:tc>
      </w:tr>
      <w:tr>
        <w:trPr>
          <w:cantSplit/>
        </w:trPr>
        <w:tc>
          <w:tcPr>
            <w:tcW w:type="dxa" w:w="79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19"/>
              </w:rPr>
              <w:t>RQ3</w:t>
            </w:r>
          </w:p>
        </w:tc>
        <w:tc>
          <w:tcPr>
            <w:tcW w:type="dxa" w:w="65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19"/>
              </w:rPr>
              <w:t>How do switching, mandatory exploration, and joint search affect the results?</w:t>
            </w:r>
          </w:p>
        </w:tc>
        <w:tc>
          <w:tcPr>
            <w:tcW w:type="dxa" w:w="259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19"/>
              </w:rPr>
              <w:t>Ablation results and time allocation across blocks.</w:t>
            </w:r>
          </w:p>
        </w:tc>
      </w:tr>
      <w:tr>
        <w:trPr>
          <w:cantSplit/>
        </w:trPr>
        <w:tc>
          <w:tcPr>
            <w:tcW w:type="dxa" w:w="79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6F7F8"/>
          </w:tcPr>
          <w:p>
            <w:pPr>
              <w:spacing w:after="40" w:line="245" w:lineRule="auto"/>
            </w:pPr>
            <w:r>
              <w:rPr>
                <w:b w:val="0"/>
                <w:color w:val="000000"/>
                <w:sz w:val="19"/>
              </w:rPr>
              <w:t>RQ4</w:t>
            </w:r>
          </w:p>
        </w:tc>
        <w:tc>
          <w:tcPr>
            <w:tcW w:type="dxa" w:w="65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6F7F8"/>
          </w:tcPr>
          <w:p>
            <w:pPr>
              <w:spacing w:after="40" w:line="245" w:lineRule="auto"/>
            </w:pPr>
            <w:r>
              <w:rPr>
                <w:b w:val="0"/>
                <w:color w:val="000000"/>
                <w:sz w:val="19"/>
              </w:rPr>
              <w:t>How stable are decisions and performance across seeds and budget levels?</w:t>
            </w:r>
          </w:p>
        </w:tc>
        <w:tc>
          <w:tcPr>
            <w:tcW w:type="dxa" w:w="259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6F7F8"/>
          </w:tcPr>
          <w:p>
            <w:pPr>
              <w:spacing w:after="40" w:line="245" w:lineRule="auto"/>
            </w:pPr>
            <w:r>
              <w:rPr>
                <w:b w:val="0"/>
                <w:color w:val="000000"/>
                <w:sz w:val="19"/>
              </w:rPr>
              <w:t>Between-run variation, termination time, and action frequency.</w:t>
            </w:r>
          </w:p>
        </w:tc>
      </w:tr>
    </w:tbl>
    <w:p>
      <w:pPr>
        <w:spacing w:after="0"/>
      </w:pPr>
    </w:p>
    <w:p>
      <w:pPr>
        <w:pStyle w:val="Heading2"/>
      </w:pPr>
      <w:r>
        <w:t>1.6 Prespecified hypotheses</w:t>
      </w:r>
    </w:p>
    <w:p>
      <w:r>
        <w:rPr>
          <w:b w:val="0"/>
        </w:rPr>
        <w:t>H1: Under a matched time limit, adaptive allocation without global termination improves anytime efficiency relative to standard DE and round-robin allocation. Disabling global termination separates the effect of switching from savings attributable to stopping.</w:t>
      </w:r>
    </w:p>
    <w:p>
      <w:r>
        <w:rPr>
          <w:b w:val="0"/>
        </w:rPr>
        <w:t>H2: The complete controller consumes less search time than DEHB while meeting a prespecified noninferiority criterion for final macro AUROC. This hypothesis will not be supported if the reduction in computation is accompanied by a performance loss exceeding the chosen margin.</w:t>
      </w:r>
    </w:p>
    <w:p>
      <w:r>
        <w:rPr>
          <w:b w:val="0"/>
        </w:rPr>
        <w:t>H3: Removing mandatory exploration or the joint search block increases premature termination or reduces performance when useful configurations depend on interactions among hyperparameters.</w:t>
      </w:r>
    </w:p>
    <w:p>
      <w:pPr>
        <w:pStyle w:val="Heading2"/>
      </w:pPr>
      <w:r>
        <w:t>1.7 Criteria for a supported efficiency claim</w:t>
      </w:r>
    </w:p>
    <w:p>
      <w:r>
        <w:rPr>
          <w:b w:val="0"/>
        </w:rPr>
        <w:t>An efficiency claim requires evidence of both reduced computational expenditure and preserved predictive performance. A nonsignificant difference in AUROC does not establish equivalence. A provisional noninferiority margin of 0.005 macro AUROC is proposed as a benchmark tolerance. Its justification and final value must be documented before confirmatory evaluation; it is not a clinical safety threshold.</w:t>
      </w:r>
    </w:p>
    <w:p>
      <w:r>
        <w:br w:type="page"/>
      </w:r>
    </w:p>
    <w:p>
      <w:pPr>
        <w:pStyle w:val="Heading1"/>
      </w:pPr>
      <w:r>
        <w:t>Chapter 2 Related Research and Conceptual Framework</w:t>
      </w:r>
    </w:p>
    <w:p>
      <w:pPr>
        <w:pStyle w:val="Heading2"/>
      </w:pPr>
      <w:r>
        <w:t>2.1 Position relative to existing methods</w:t>
      </w:r>
    </w:p>
    <w:p>
      <w:r>
        <w:rPr>
          <w:b w:val="0"/>
        </w:rPr>
        <w:t>Adaptive resource allocation and early stopping are established approaches. The contribution must therefore be demonstrated through the specific controller design and controlled experiments, rather than through the use of adaptive or marginal utility terminology.</w:t>
      </w:r>
    </w:p>
    <w:tbl>
      <w:tblPr>
        <w:tblW w:type="auto" w:w="0"/>
        <w:jc w:val="center"/>
        <w:tblLayout w:type="fixed"/>
        <w:tblLook w:firstColumn="1" w:firstRow="1" w:lastColumn="0" w:lastRow="0" w:noHBand="0" w:noVBand="1" w:val="04A0"/>
      </w:tblPr>
      <w:tblGrid>
        <w:gridCol w:w="1872"/>
        <w:gridCol w:w="3744"/>
        <w:gridCol w:w="4320"/>
      </w:tblGrid>
      <w:tr>
        <w:trPr>
          <w:tblHeader/>
          <w:cantSplit/>
        </w:trPr>
        <w:tc>
          <w:tcPr>
            <w:tcW w:type="dxa" w:w="187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7EEF5"/>
          </w:tcPr>
          <w:p>
            <w:pPr>
              <w:spacing w:after="40" w:line="245" w:lineRule="auto"/>
            </w:pPr>
            <w:r>
              <w:rPr>
                <w:b/>
                <w:color w:val="000000"/>
                <w:sz w:val="19"/>
              </w:rPr>
              <w:t>Prior method</w:t>
            </w:r>
          </w:p>
        </w:tc>
        <w:tc>
          <w:tcPr>
            <w:tcW w:type="dxa" w:w="374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7EEF5"/>
          </w:tcPr>
          <w:p>
            <w:pPr>
              <w:spacing w:after="40" w:line="245" w:lineRule="auto"/>
            </w:pPr>
            <w:r>
              <w:rPr>
                <w:b/>
                <w:color w:val="000000"/>
                <w:sz w:val="19"/>
              </w:rPr>
              <w:t>Relevant mechanism</w:t>
            </w:r>
          </w:p>
        </w:tc>
        <w:tc>
          <w:tcPr>
            <w:tcW w:type="dxa" w:w="432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7EEF5"/>
          </w:tcPr>
          <w:p>
            <w:pPr>
              <w:spacing w:after="40" w:line="245" w:lineRule="auto"/>
            </w:pPr>
            <w:r>
              <w:rPr>
                <w:b/>
                <w:color w:val="000000"/>
                <w:sz w:val="19"/>
              </w:rPr>
              <w:t>Role in this proposal</w:t>
            </w:r>
          </w:p>
        </w:tc>
      </w:tr>
      <w:tr>
        <w:trPr>
          <w:cantSplit/>
        </w:trPr>
        <w:tc>
          <w:tcPr>
            <w:tcW w:type="dxa" w:w="187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19"/>
              </w:rPr>
              <w:t>Hyperband [R3]</w:t>
            </w:r>
          </w:p>
        </w:tc>
        <w:tc>
          <w:tcPr>
            <w:tcW w:type="dxa" w:w="374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19"/>
              </w:rPr>
              <w:t>Multi-fidelity allocation and candidate elimination.</w:t>
            </w:r>
          </w:p>
        </w:tc>
        <w:tc>
          <w:tcPr>
            <w:tcW w:type="dxa" w:w="432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19"/>
              </w:rPr>
              <w:t>Compare candidate promotion with gain-per-time switching between blocks.</w:t>
            </w:r>
          </w:p>
        </w:tc>
      </w:tr>
      <w:tr>
        <w:trPr>
          <w:cantSplit/>
        </w:trPr>
        <w:tc>
          <w:tcPr>
            <w:tcW w:type="dxa" w:w="187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6F7F8"/>
          </w:tcPr>
          <w:p>
            <w:pPr>
              <w:spacing w:after="40" w:line="245" w:lineRule="auto"/>
            </w:pPr>
            <w:r>
              <w:rPr>
                <w:b w:val="0"/>
                <w:color w:val="000000"/>
                <w:sz w:val="19"/>
              </w:rPr>
              <w:t>BOHB [R4]</w:t>
            </w:r>
          </w:p>
        </w:tc>
        <w:tc>
          <w:tcPr>
            <w:tcW w:type="dxa" w:w="374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6F7F8"/>
          </w:tcPr>
          <w:p>
            <w:pPr>
              <w:spacing w:after="40" w:line="245" w:lineRule="auto"/>
            </w:pPr>
            <w:r>
              <w:rPr>
                <w:b w:val="0"/>
                <w:color w:val="000000"/>
                <w:sz w:val="19"/>
              </w:rPr>
              <w:t>Model-based search combined with Hyperband.</w:t>
            </w:r>
          </w:p>
        </w:tc>
        <w:tc>
          <w:tcPr>
            <w:tcW w:type="dxa" w:w="432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6F7F8"/>
          </w:tcPr>
          <w:p>
            <w:pPr>
              <w:spacing w:after="40" w:line="245" w:lineRule="auto"/>
            </w:pPr>
            <w:r>
              <w:rPr>
                <w:b w:val="0"/>
                <w:color w:val="000000"/>
                <w:sz w:val="19"/>
              </w:rPr>
              <w:t>Evaluate against a strong comparator for constrained search budgets.</w:t>
            </w:r>
          </w:p>
        </w:tc>
      </w:tr>
      <w:tr>
        <w:trPr>
          <w:cantSplit/>
        </w:trPr>
        <w:tc>
          <w:tcPr>
            <w:tcW w:type="dxa" w:w="187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19"/>
              </w:rPr>
              <w:t>DEHB [R5]</w:t>
            </w:r>
          </w:p>
        </w:tc>
        <w:tc>
          <w:tcPr>
            <w:tcW w:type="dxa" w:w="374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19"/>
              </w:rPr>
              <w:t>Differential Evolution combined with Hyperband.</w:t>
            </w:r>
          </w:p>
        </w:tc>
        <w:tc>
          <w:tcPr>
            <w:tcW w:type="dxa" w:w="432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19"/>
              </w:rPr>
              <w:t>Primary comparator sharing an evolutionary search foundation.</w:t>
            </w:r>
          </w:p>
        </w:tc>
      </w:tr>
      <w:tr>
        <w:trPr>
          <w:cantSplit/>
        </w:trPr>
        <w:tc>
          <w:tcPr>
            <w:tcW w:type="dxa" w:w="187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6F7F8"/>
          </w:tcPr>
          <w:p>
            <w:pPr>
              <w:spacing w:after="40" w:line="245" w:lineRule="auto"/>
            </w:pPr>
            <w:r>
              <w:rPr>
                <w:b w:val="0"/>
                <w:color w:val="000000"/>
                <w:sz w:val="19"/>
              </w:rPr>
              <w:t>HABO [R6]</w:t>
            </w:r>
          </w:p>
        </w:tc>
        <w:tc>
          <w:tcPr>
            <w:tcW w:type="dxa" w:w="374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6F7F8"/>
          </w:tcPr>
          <w:p>
            <w:pPr>
              <w:spacing w:after="40" w:line="245" w:lineRule="auto"/>
            </w:pPr>
            <w:r>
              <w:rPr>
                <w:b w:val="0"/>
                <w:color w:val="000000"/>
                <w:sz w:val="19"/>
              </w:rPr>
              <w:t>A preprint applying bandit allocation to hyperparameters.</w:t>
            </w:r>
          </w:p>
        </w:tc>
        <w:tc>
          <w:tcPr>
            <w:tcW w:type="dxa" w:w="432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6F7F8"/>
          </w:tcPr>
          <w:p>
            <w:pPr>
              <w:spacing w:after="40" w:line="245" w:lineRule="auto"/>
            </w:pPr>
            <w:r>
              <w:rPr>
                <w:b w:val="0"/>
                <w:color w:val="000000"/>
                <w:sz w:val="19"/>
              </w:rPr>
              <w:t>Restrict novelty claims concerning allocation across parameters or blocks.</w:t>
            </w:r>
          </w:p>
        </w:tc>
      </w:tr>
    </w:tbl>
    <w:p>
      <w:pPr>
        <w:spacing w:after="0"/>
      </w:pPr>
    </w:p>
    <w:p>
      <w:pPr>
        <w:pStyle w:val="Heading2"/>
      </w:pPr>
      <w:r>
        <w:t>2.2 Proposed contribution</w:t>
      </w:r>
    </w:p>
    <w:p>
      <w:r>
        <w:rPr>
          <w:b w:val="0"/>
        </w:rPr>
        <w:t>This study proposes a controller that allocates search time across training, regularization, model-capacity, and joint hyperparameter blocks using observed validation improvement per measured computational cost. Mandatory exploration and confirmation probes support auditable continue, switch, and stop decisions. The controller will be evaluated through patient-separated ECG benchmarking and matched search-time limits.</w:t>
      </w:r>
    </w:p>
    <w:p>
      <w:pPr>
        <w:pStyle w:val="Heading2"/>
      </w:pPr>
      <w:r>
        <w:t>2.3 Evidence required to establish the contribution</w:t>
      </w:r>
    </w:p>
    <w:p>
      <w:pPr>
        <w:pStyle w:val="ListBullet"/>
      </w:pPr>
      <w:r>
        <w:t>Comparisons with DEHB and BOHB in addition to an untuned CNN reference.</w:t>
      </w:r>
    </w:p>
    <w:p>
      <w:pPr>
        <w:pStyle w:val="ListBullet"/>
      </w:pPr>
      <w:r>
        <w:t>Ablation experiments using the same DE engine and evaluator to isolate controller effects.</w:t>
      </w:r>
    </w:p>
    <w:p>
      <w:pPr>
        <w:pStyle w:val="ListBullet"/>
      </w:pPr>
      <w:r>
        <w:t>Failure analysis when short-term gains do not predict subsequent improvement.</w:t>
      </w:r>
    </w:p>
    <w:p>
      <w:pPr>
        <w:pStyle w:val="ListBullet"/>
      </w:pPr>
      <w:r>
        <w:t>Explicit accounting of controller overhead and termination-confirmation costs.</w:t>
      </w:r>
    </w:p>
    <w:p>
      <w:r>
        <w:rPr>
          <w:b w:val="0"/>
        </w:rPr>
        <w:t>The preliminary search identified related primary studies but does not constitute an exhaustive novelty assessment. The final assessment should cover Scopus, Web of Science, IEEE Xplore, and research on algorithm selection, adaptive operator selection, cost-aware hyperparameter optimization, and bandit hyper-heuristics. A new algorithm name alone will not establish originality.</w:t>
      </w:r>
    </w:p>
    <w:p>
      <w:r>
        <w:br w:type="page"/>
      </w:r>
    </w:p>
    <w:p>
      <w:pPr>
        <w:pStyle w:val="Heading1"/>
      </w:pPr>
      <w:r>
        <w:t>Chapter 3 Research Methodology</w:t>
      </w:r>
    </w:p>
    <w:p>
      <w:pPr>
        <w:pStyle w:val="Heading2"/>
      </w:pPr>
      <w:r>
        <w:t>3.1 Dataset prediction task and model</w:t>
      </w:r>
    </w:p>
    <w:p>
      <w:r>
        <w:rPr>
          <w:b w:val="0"/>
        </w:rPr>
        <w:t>The primary dataset will be PTB-XL version 1.0.3 from PhysioNet. Its official description reports 21,799 ten-second, 12-lead ECG records from 18,869 patients. The dataset includes 100 Hz and 500 Hz waveforms, patient identifiers, metadata, and stratified folds [R1]. The final analytical sample must be recalculated after label mapping and quality checks.</w:t>
      </w:r>
    </w:p>
    <w:p>
      <w:r>
        <w:rPr>
          <w:b w:val="0"/>
        </w:rPr>
        <w:t>The main experiments will use 100 Hz recordings, yielding inputs of 12 × 1,000 samples. Diagnostic statements will be mapped using scp_statements to five superclasses: normal ECG (NORM), myocardial infarction (MI), ST/T change (STTC), conduction disturbance (CD), and hypertrophy (HYP). Records may have multiple labels. The official benchmark mapping will be fixed before experimentation, and exclusions of records without eligible diagnostic labels will be reported [R2].</w:t>
      </w:r>
    </w:p>
    <w:p>
      <w:pPr>
        <w:pStyle w:val="Heading2"/>
      </w:pPr>
      <w:r>
        <w:t>3.1.1 Signal preparation</w:t>
      </w:r>
    </w:p>
    <w:p>
      <w:r>
        <w:rPr>
          <w:b w:val="0"/>
        </w:rPr>
        <w:t>Data checks will identify incorrect lead counts, unexpected signal lengths, nonfinite values, duplicate records, and inconsistent patient identifiers. Normalization parameters will be estimated exclusively from the relevant training partition. The primary experiments will omit augmentation to isolate the controller contribution. No patient may occur in more than one partition, and all exclusion rules will be recorded before search begins.</w:t>
      </w:r>
    </w:p>
    <w:p>
      <w:pPr>
        <w:pStyle w:val="Heading2"/>
      </w:pPr>
      <w:r>
        <w:t>3.1.2 One dimensional CNN architecture</w:t>
      </w:r>
    </w:p>
    <w:p>
      <w:r>
        <w:rPr>
          <w:b w:val="0"/>
        </w:rPr>
        <w:t>The initial backbone will comprise a Conv1D stem, three residual groups with base widths of 32, 64, and 128 channels, global average pooling, dropout, and an output layer with five logits. A width multiplier will scale channel counts, and residual depth will be tunable. Downsampling in the second and third groups will follow fixed stride rules. ReLU activation and batch normalization will remain unchanged.</w:t>
      </w:r>
    </w:p>
    <w:p>
      <w:r>
        <w:rPr>
          <w:b w:val="0"/>
        </w:rPr>
        <w:t>Training will use AdamW and binary cross-entropy with logits. If class weighting is adopted, weights will be estimated only from training records and applied consistently across methods. Sigmoid outputs will support multi-label prediction. Macro AUROC will provide the primary search fitness without requiring threshold selection.</w:t>
      </w:r>
    </w:p>
    <w:p>
      <w:pPr>
        <w:pStyle w:val="Heading2"/>
      </w:pPr>
      <w:r>
        <w:t>3.1.3 Generalization addressed by the design</w:t>
      </w:r>
    </w:p>
    <w:p>
      <w:r>
        <w:rPr>
          <w:b w:val="0"/>
        </w:rPr>
        <w:t>The PTB-XL test partition evaluates internal generalization to separate patients. It does not constitute external validation or establish clinical readiness. Replication on an independent ECG dataset is a subsequent extension requiring compatible labels and acquisition characteristics.</w:t>
      </w:r>
    </w:p>
    <w:p>
      <w:r>
        <w:br w:type="page"/>
      </w:r>
    </w:p>
    <w:p>
      <w:pPr>
        <w:pStyle w:val="Heading1"/>
      </w:pPr>
      <w:r>
        <w:t>3.2 Search space and evolutionary engine</w:t>
      </w:r>
    </w:p>
    <w:tbl>
      <w:tblPr>
        <w:tblW w:type="auto" w:w="0"/>
        <w:jc w:val="center"/>
        <w:tblLayout w:type="fixed"/>
        <w:tblLook w:firstColumn="1" w:firstRow="1" w:lastColumn="0" w:lastRow="0" w:noHBand="0" w:noVBand="1" w:val="04A0"/>
      </w:tblPr>
      <w:tblGrid>
        <w:gridCol w:w="1656"/>
        <w:gridCol w:w="3888"/>
        <w:gridCol w:w="4392"/>
      </w:tblGrid>
      <w:tr>
        <w:trPr>
          <w:tblHeader/>
          <w:cantSplit/>
        </w:trPr>
        <w:tc>
          <w:tcPr>
            <w:tcW w:type="dxa" w:w="165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7EEF5"/>
          </w:tcPr>
          <w:p>
            <w:pPr>
              <w:spacing w:after="40" w:line="245" w:lineRule="auto"/>
            </w:pPr>
            <w:r>
              <w:rPr>
                <w:b/>
                <w:color w:val="000000"/>
                <w:sz w:val="19"/>
              </w:rPr>
              <w:t>Block</w:t>
            </w:r>
          </w:p>
        </w:tc>
        <w:tc>
          <w:tcPr>
            <w:tcW w:type="dxa" w:w="388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7EEF5"/>
          </w:tcPr>
          <w:p>
            <w:pPr>
              <w:spacing w:after="40" w:line="245" w:lineRule="auto"/>
            </w:pPr>
            <w:r>
              <w:rPr>
                <w:b/>
                <w:color w:val="000000"/>
                <w:sz w:val="19"/>
              </w:rPr>
              <w:t>Hyperparameters</w:t>
            </w:r>
          </w:p>
        </w:tc>
        <w:tc>
          <w:tcPr>
            <w:tcW w:type="dxa" w:w="439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7EEF5"/>
          </w:tcPr>
          <w:p>
            <w:pPr>
              <w:spacing w:after="40" w:line="245" w:lineRule="auto"/>
            </w:pPr>
            <w:r>
              <w:rPr>
                <w:b/>
                <w:color w:val="000000"/>
                <w:sz w:val="19"/>
              </w:rPr>
              <w:t>Initial domain</w:t>
            </w:r>
          </w:p>
        </w:tc>
      </w:tr>
      <w:tr>
        <w:trPr>
          <w:cantSplit/>
        </w:trPr>
        <w:tc>
          <w:tcPr>
            <w:tcW w:type="dxa" w:w="165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19"/>
              </w:rPr>
              <w:t>A Training</w:t>
            </w:r>
          </w:p>
        </w:tc>
        <w:tc>
          <w:tcPr>
            <w:tcW w:type="dxa" w:w="388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19"/>
              </w:rPr>
              <w:t>Learning rate; batch size</w:t>
            </w:r>
          </w:p>
        </w:tc>
        <w:tc>
          <w:tcPr>
            <w:tcW w:type="dxa" w:w="439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19"/>
              </w:rPr>
              <w:t>Log-uniform 10^-5 to 3 × 10^-3; {32, 64, 128}.</w:t>
            </w:r>
          </w:p>
        </w:tc>
      </w:tr>
      <w:tr>
        <w:trPr>
          <w:cantSplit/>
        </w:trPr>
        <w:tc>
          <w:tcPr>
            <w:tcW w:type="dxa" w:w="165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6F7F8"/>
          </w:tcPr>
          <w:p>
            <w:pPr>
              <w:spacing w:after="40" w:line="245" w:lineRule="auto"/>
            </w:pPr>
            <w:r>
              <w:rPr>
                <w:b w:val="0"/>
                <w:color w:val="000000"/>
                <w:sz w:val="19"/>
              </w:rPr>
              <w:t>B Regularization</w:t>
            </w:r>
          </w:p>
        </w:tc>
        <w:tc>
          <w:tcPr>
            <w:tcW w:type="dxa" w:w="388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6F7F8"/>
          </w:tcPr>
          <w:p>
            <w:pPr>
              <w:spacing w:after="40" w:line="245" w:lineRule="auto"/>
            </w:pPr>
            <w:r>
              <w:rPr>
                <w:b w:val="0"/>
                <w:color w:val="000000"/>
                <w:sz w:val="19"/>
              </w:rPr>
              <w:t>Weight decay; dropout</w:t>
            </w:r>
          </w:p>
        </w:tc>
        <w:tc>
          <w:tcPr>
            <w:tcW w:type="dxa" w:w="439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6F7F8"/>
          </w:tcPr>
          <w:p>
            <w:pPr>
              <w:spacing w:after="40" w:line="245" w:lineRule="auto"/>
            </w:pPr>
            <w:r>
              <w:rPr>
                <w:b w:val="0"/>
                <w:color w:val="000000"/>
                <w:sz w:val="19"/>
              </w:rPr>
              <w:t>Log-uniform 10^-6 to 10^-2; continuous 0 to 0.5.</w:t>
            </w:r>
          </w:p>
        </w:tc>
      </w:tr>
      <w:tr>
        <w:trPr>
          <w:cantSplit/>
        </w:trPr>
        <w:tc>
          <w:tcPr>
            <w:tcW w:type="dxa" w:w="165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19"/>
              </w:rPr>
              <w:t>C Capacity</w:t>
            </w:r>
          </w:p>
        </w:tc>
        <w:tc>
          <w:tcPr>
            <w:tcW w:type="dxa" w:w="388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19"/>
              </w:rPr>
              <w:t>Width multiplier; blocks per group; kernel size; dilation; stem stride</w:t>
            </w:r>
          </w:p>
        </w:tc>
        <w:tc>
          <w:tcPr>
            <w:tcW w:type="dxa" w:w="439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19"/>
              </w:rPr>
              <w:t>{0.5, 1, 1.5}; {1, 2, 3}; {5, 9, 15}; {1, 2}; {1, 2}.</w:t>
            </w:r>
          </w:p>
        </w:tc>
      </w:tr>
      <w:tr>
        <w:trPr>
          <w:cantSplit/>
        </w:trPr>
        <w:tc>
          <w:tcPr>
            <w:tcW w:type="dxa" w:w="165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6F7F8"/>
          </w:tcPr>
          <w:p>
            <w:pPr>
              <w:spacing w:after="40" w:line="245" w:lineRule="auto"/>
            </w:pPr>
            <w:r>
              <w:rPr>
                <w:b w:val="0"/>
                <w:color w:val="000000"/>
                <w:sz w:val="19"/>
              </w:rPr>
              <w:t>J Joint search</w:t>
            </w:r>
          </w:p>
        </w:tc>
        <w:tc>
          <w:tcPr>
            <w:tcW w:type="dxa" w:w="388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6F7F8"/>
          </w:tcPr>
          <w:p>
            <w:pPr>
              <w:spacing w:after="40" w:line="245" w:lineRule="auto"/>
            </w:pPr>
            <w:r>
              <w:rPr>
                <w:b w:val="0"/>
                <w:color w:val="000000"/>
                <w:sz w:val="19"/>
              </w:rPr>
              <w:t>All nine hyperparameters</w:t>
            </w:r>
          </w:p>
        </w:tc>
        <w:tc>
          <w:tcPr>
            <w:tcW w:type="dxa" w:w="439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6F7F8"/>
          </w:tcPr>
          <w:p>
            <w:pPr>
              <w:spacing w:after="40" w:line="245" w:lineRule="auto"/>
            </w:pPr>
            <w:r>
              <w:rPr>
                <w:b w:val="0"/>
                <w:color w:val="000000"/>
                <w:sz w:val="19"/>
              </w:rPr>
              <w:t>The same domains with coordinated changes across blocks.</w:t>
            </w:r>
          </w:p>
        </w:tc>
      </w:tr>
    </w:tbl>
    <w:p>
      <w:pPr>
        <w:spacing w:after="0"/>
      </w:pPr>
    </w:p>
    <w:p>
      <w:r>
        <w:rPr>
          <w:b w:val="0"/>
        </w:rPr>
        <w:t>These domains are provisional specifications subject to memory and runtime feasibility checks. The final domains will be frozen before confirmatory benchmarking. All methods will search the same full domain. Blocks A–C constrain controller operations; they do not restrict the search space available to comparator methods.</w:t>
      </w:r>
    </w:p>
    <w:p>
      <w:pPr>
        <w:pStyle w:val="Heading2"/>
      </w:pPr>
      <w:r>
        <w:t>3.2.1 Differential Evolution candidate generation</w:t>
      </w:r>
    </w:p>
    <w:p>
      <w:r>
        <w:rPr>
          <w:b w:val="0"/>
        </w:rPr>
        <w:t>Configurations will be encoded in [0,1]^9. Logarithmic variables will be transformed on the log scale, and discrete variables will be decoded using fixed rules. The initial DE specification is a population of eight configurations, DE/rand/1/bin mutation, F = 0.5, and CR = 0.7. Each allocation round will evaluate two trial configurations sequentially. These settings are proposed starting values, not empirically optimized results.</w:t>
      </w:r>
    </w:p>
    <w:p>
      <w:r>
        <w:rPr>
          <w:b w:val="0"/>
        </w:rPr>
        <w:t>Within blocks A, B, and C, mutation and crossover will modify only the active coordinates; other coordinates will be inherited from the target individual. Block J will permit changes to all coordinates. Each recombined configuration must be trained and evaluated again. Fitness cannot be inherited from a different configuration. Cached evaluations may be reused only when configuration, seed, partition, and fidelity are identical.</w:t>
      </w:r>
    </w:p>
    <w:p>
      <w:pPr>
        <w:pStyle w:val="Heading2"/>
      </w:pPr>
      <w:r>
        <w:t>3.2.2 Candidate evaluation</w:t>
      </w:r>
    </w:p>
    <w:p>
      <w:r>
        <w:rPr>
          <w:b w:val="0"/>
        </w:rPr>
        <w:t>The proposed controller, standard DE, random search, and TPE will share an evaluator with a maximum of 20 epochs and training early stopping with patience five. Fitness will use the best search-validation checkpoint. Hyperband, BOHB, and DEHB will use fidelities of 5, 10, and 20 epochs; a final selected configuration must reach the maximum fidelity. For the single-fidelity evaluator, completion of its prescribed early-stopping rule counts as a valid evaluation.</w:t>
      </w:r>
    </w:p>
    <w:p>
      <w:r>
        <w:rPr>
          <w:b w:val="0"/>
        </w:rPr>
        <w:t>Weights will not be transferred across architectures. Initialization, training, validation, and failed-candidate costs will be recorded. Infeasible candidates will receive no improvement reward. Algorithm and evaluator implementations will first be checked against inexpensive objectives.</w:t>
      </w:r>
    </w:p>
    <w:p>
      <w:r>
        <w:br w:type="page"/>
      </w:r>
    </w:p>
    <w:p>
      <w:pPr>
        <w:pStyle w:val="Heading1"/>
      </w:pPr>
      <w:r>
        <w:t>3.3 Marginal utility formulation</w:t>
      </w:r>
    </w:p>
    <w:p>
      <w:pPr>
        <w:pStyle w:val="Heading2"/>
      </w:pPr>
      <w:r>
        <w:t>3.3.1 Objective and resource constraint</w:t>
      </w:r>
    </w:p>
    <w:p>
      <w:pPr>
        <w:ind w:left="173"/>
      </w:pPr>
      <w:r>
        <w:rPr>
          <w:rFonts w:ascii="Cambria Math" w:hAnsi="Cambria Math"/>
          <w:sz w:val="22"/>
        </w:rPr>
        <w:t>maximize M_val(x),   subject to C_search ≤ B and x ∈ X</w:t>
      </w:r>
    </w:p>
    <w:p>
      <w:r>
        <w:rPr>
          <w:b w:val="0"/>
        </w:rPr>
        <w:t>M_val denotes search-validation macro AUROC, X the nine-dimensional domain, and B the search-time limit on a dedicated GPU. Search accounting includes evaluation, controller overhead, and confirmation probes. Final-model training will be reported separately.</w:t>
      </w:r>
    </w:p>
    <w:p>
      <w:pPr>
        <w:pStyle w:val="Heading2"/>
      </w:pPr>
      <w:r>
        <w:t>3.3.2 Observed improvement reward</w:t>
      </w:r>
    </w:p>
    <w:p>
      <w:pPr>
        <w:ind w:left="173"/>
      </w:pPr>
      <w:r>
        <w:rPr>
          <w:rFonts w:ascii="Cambria Math" w:hAnsi="Cambria Math"/>
          <w:sz w:val="22"/>
        </w:rPr>
        <w:t>ΔM_t = max(0, M*_t − M*_(t−1))</w:t>
      </w:r>
    </w:p>
    <w:p>
      <w:pPr>
        <w:ind w:left="173"/>
      </w:pPr>
      <w:r>
        <w:rPr>
          <w:rFonts w:ascii="Cambria Math" w:hAnsi="Cambria Math"/>
          <w:sz w:val="22"/>
        </w:rPr>
        <w:t>Δc_t = ΔT_t / T_ref ;       r_t = ΔM_t / max(Δc_t, ε)</w:t>
      </w:r>
    </w:p>
    <w:p>
      <w:r>
        <w:rPr>
          <w:b w:val="0"/>
        </w:rPr>
        <w:t>M*_t denotes the best observed fitness after round t, and ΔT_t is the actual round duration in seconds. T_ref is the median candidate-evaluation duration established in a training-only pilot. This normalization produces a dimensionless cost. ε prevents division by zero and does not remove computational expenditure. The reward measures observed search improvement; it is neither clinical net benefit nor a causal effect of a hyperparameter.</w:t>
      </w:r>
    </w:p>
    <w:p>
      <w:pPr>
        <w:pStyle w:val="Heading2"/>
      </w:pPr>
      <w:r>
        <w:t>3.3.3 Block priority estimate</w:t>
      </w:r>
    </w:p>
    <w:p>
      <w:pPr>
        <w:ind w:left="173"/>
      </w:pPr>
      <w:r>
        <w:rPr>
          <w:rFonts w:ascii="Cambria Math" w:hAnsi="Cambria Math"/>
          <w:sz w:val="22"/>
        </w:rPr>
        <w:t>U_k(t) = mean(r_k) + κ σ_k √[2 ln(1+t) / (1+n_k)]</w:t>
      </w:r>
    </w:p>
    <w:p>
      <w:r>
        <w:rPr>
          <w:b w:val="0"/>
        </w:rPr>
        <w:t>Block statistics will use a rolling window of at most eight allocation rounds. n_k denotes the number of rounds within that window, and σ_k = max(SD(r_k), σ_floor). κ controls the exploration bonus, while σ_floor prevents a zero-variance history from permanently excluding a block. Initial values are κ = 1 and σ_floor = 0.0001 AUROC per normalized cost unit. Sensitivity analyses will examine κ ∈ {0.5, 1, 2} using development data.</w:t>
      </w:r>
    </w:p>
    <w:p>
      <w:r>
        <w:rPr>
          <w:b w:val="0"/>
        </w:rPr>
        <w:t>U_k is a bandit-inspired optimistic allocation score. Rewards are nonstationary and adaptively observed; consequently, the expression is not asserted to be a confidence bound with guaranteed coverage. Uncertainty in final outcomes will be estimated separately across patients and search seeds.</w:t>
      </w:r>
    </w:p>
    <w:p>
      <w:pPr>
        <w:pStyle w:val="Heading2"/>
      </w:pPr>
      <w:r>
        <w:t>3.3.4 Utility threshold and illustrative calculation</w:t>
      </w:r>
    </w:p>
    <w:p>
      <w:r>
        <w:rPr>
          <w:b w:val="0"/>
        </w:rPr>
        <w:t>A provisional threshold of τ = 0.0005 AUROC per normalized cost unit will be assessed in the pilot, alongside 0.0001 and 0.001, and then frozen. If block A improves AUROC by 0.001 in 300 seconds and block B by 0.0008 in 100 seconds, their unnormalized rates are 0.00000333 and 0.000008 AUROC per second. Block B has a higher improvement rate despite a smaller absolute gain. These values illustrate the rule and are not experimental results.</w:t>
      </w:r>
    </w:p>
    <w:p>
      <w:r>
        <w:br w:type="page"/>
      </w:r>
    </w:p>
    <w:p>
      <w:pPr>
        <w:pStyle w:val="Heading1"/>
      </w:pPr>
      <w:r>
        <w:t>3.4 Controller decisions and termination</w:t>
      </w:r>
    </w:p>
    <w:tbl>
      <w:tblPr>
        <w:tblW w:type="auto" w:w="0"/>
        <w:jc w:val="center"/>
        <w:tblLayout w:type="fixed"/>
        <w:tblLook w:firstColumn="1" w:firstRow="1" w:lastColumn="0" w:lastRow="0" w:noHBand="0" w:noVBand="1" w:val="04A0"/>
      </w:tblPr>
      <w:tblGrid>
        <w:gridCol w:w="2016"/>
        <w:gridCol w:w="7920"/>
      </w:tblGrid>
      <w:tr>
        <w:trPr>
          <w:tblHeader/>
          <w:cantSplit/>
        </w:trPr>
        <w:tc>
          <w:tcPr>
            <w:tcW w:type="dxa" w:w="20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7EEF5"/>
          </w:tcPr>
          <w:p>
            <w:pPr>
              <w:spacing w:after="40" w:line="245" w:lineRule="auto"/>
            </w:pPr>
            <w:r>
              <w:rPr>
                <w:b/>
                <w:color w:val="000000"/>
                <w:sz w:val="19"/>
              </w:rPr>
              <w:t>Action</w:t>
            </w:r>
          </w:p>
        </w:tc>
        <w:tc>
          <w:tcPr>
            <w:tcW w:type="dxa" w:w="792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7EEF5"/>
          </w:tcPr>
          <w:p>
            <w:pPr>
              <w:spacing w:after="40" w:line="245" w:lineRule="auto"/>
            </w:pPr>
            <w:r>
              <w:rPr>
                <w:b/>
                <w:color w:val="000000"/>
                <w:sz w:val="19"/>
              </w:rPr>
              <w:t>Operational rule</w:t>
            </w:r>
          </w:p>
        </w:tc>
      </w:tr>
      <w:tr>
        <w:trPr>
          <w:cantSplit/>
        </w:trPr>
        <w:tc>
          <w:tcPr>
            <w:tcW w:type="dxa" w:w="20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19"/>
              </w:rPr>
              <w:t>Continue</w:t>
            </w:r>
          </w:p>
        </w:tc>
        <w:tc>
          <w:tcPr>
            <w:tcW w:type="dxa" w:w="792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19"/>
              </w:rPr>
              <w:t>The active block has the highest U score, or its difference from the highest score does not exceed hysteresis h.</w:t>
            </w:r>
          </w:p>
        </w:tc>
      </w:tr>
      <w:tr>
        <w:trPr>
          <w:cantSplit/>
        </w:trPr>
        <w:tc>
          <w:tcPr>
            <w:tcW w:type="dxa" w:w="20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6F7F8"/>
          </w:tcPr>
          <w:p>
            <w:pPr>
              <w:spacing w:after="40" w:line="245" w:lineRule="auto"/>
            </w:pPr>
            <w:r>
              <w:rPr>
                <w:b w:val="0"/>
                <w:color w:val="000000"/>
                <w:sz w:val="19"/>
              </w:rPr>
              <w:t>Switch</w:t>
            </w:r>
          </w:p>
        </w:tc>
        <w:tc>
          <w:tcPr>
            <w:tcW w:type="dxa" w:w="792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6F7F8"/>
          </w:tcPr>
          <w:p>
            <w:pPr>
              <w:spacing w:after="40" w:line="245" w:lineRule="auto"/>
            </w:pPr>
            <w:r>
              <w:rPr>
                <w:b w:val="0"/>
                <w:color w:val="000000"/>
                <w:sz w:val="19"/>
              </w:rPr>
              <w:t>Another block exceeds the current score by more than h, or a block requires mandatory exploration.</w:t>
            </w:r>
          </w:p>
        </w:tc>
      </w:tr>
      <w:tr>
        <w:trPr>
          <w:cantSplit/>
        </w:trPr>
        <w:tc>
          <w:tcPr>
            <w:tcW w:type="dxa" w:w="20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19"/>
              </w:rPr>
              <w:t>Probe</w:t>
            </w:r>
          </w:p>
        </w:tc>
        <w:tc>
          <w:tcPr>
            <w:tcW w:type="dxa" w:w="792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19"/>
              </w:rPr>
              <w:t>Evaluate a block that has received no allocation in the last eight decisions; prioritize the longest-unvisited block.</w:t>
            </w:r>
          </w:p>
        </w:tc>
      </w:tr>
      <w:tr>
        <w:trPr>
          <w:cantSplit/>
        </w:trPr>
        <w:tc>
          <w:tcPr>
            <w:tcW w:type="dxa" w:w="20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6F7F8"/>
          </w:tcPr>
          <w:p>
            <w:pPr>
              <w:spacing w:after="40" w:line="245" w:lineRule="auto"/>
            </w:pPr>
            <w:r>
              <w:rPr>
                <w:b w:val="0"/>
                <w:color w:val="000000"/>
                <w:sz w:val="19"/>
              </w:rPr>
              <w:t>Propose stop</w:t>
            </w:r>
          </w:p>
        </w:tc>
        <w:tc>
          <w:tcPr>
            <w:tcW w:type="dxa" w:w="792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6F7F8"/>
          </w:tcPr>
          <w:p>
            <w:pPr>
              <w:spacing w:after="40" w:line="245" w:lineRule="auto"/>
            </w:pPr>
            <w:r>
              <w:rPr>
                <w:b w:val="0"/>
                <w:color w:val="000000"/>
                <w:sz w:val="19"/>
              </w:rPr>
              <w:t>All block scores remain below τ for three decisions; every block has at least three rounds; at least 40% of the time limit has been consumed.</w:t>
            </w:r>
          </w:p>
        </w:tc>
      </w:tr>
      <w:tr>
        <w:trPr>
          <w:cantSplit/>
        </w:trPr>
        <w:tc>
          <w:tcPr>
            <w:tcW w:type="dxa" w:w="20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19"/>
              </w:rPr>
              <w:t>Confirm stop</w:t>
            </w:r>
          </w:p>
        </w:tc>
        <w:tc>
          <w:tcPr>
            <w:tcW w:type="dxa" w:w="792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19"/>
              </w:rPr>
              <w:t>An additional round in each block produces no improvement rate ≥ τ, and incumbent reevaluation satisfies the pilot-defined stability criterion.</w:t>
            </w:r>
          </w:p>
        </w:tc>
      </w:tr>
      <w:tr>
        <w:trPr>
          <w:cantSplit/>
        </w:trPr>
        <w:tc>
          <w:tcPr>
            <w:tcW w:type="dxa" w:w="20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6F7F8"/>
          </w:tcPr>
          <w:p>
            <w:pPr>
              <w:spacing w:after="40" w:line="245" w:lineRule="auto"/>
            </w:pPr>
            <w:r>
              <w:rPr>
                <w:b w:val="0"/>
                <w:color w:val="000000"/>
                <w:sz w:val="19"/>
              </w:rPr>
              <w:t>Budget stop</w:t>
            </w:r>
          </w:p>
        </w:tc>
        <w:tc>
          <w:tcPr>
            <w:tcW w:type="dxa" w:w="792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6F7F8"/>
          </w:tcPr>
          <w:p>
            <w:pPr>
              <w:spacing w:after="40" w:line="245" w:lineRule="auto"/>
            </w:pPr>
            <w:r>
              <w:rPr>
                <w:b w:val="0"/>
                <w:color w:val="000000"/>
                <w:sz w:val="19"/>
              </w:rPr>
              <w:t>Terminate when the time cap is reached and retain the latest valid incumbent.</w:t>
            </w:r>
          </w:p>
        </w:tc>
      </w:tr>
    </w:tbl>
    <w:p>
      <w:pPr>
        <w:spacing w:after="0"/>
      </w:pPr>
    </w:p>
    <w:p>
      <w:r>
        <w:rPr>
          <w:b w:val="0"/>
        </w:rPr>
        <w:t>The initial hysteresis value is h = 0.1τ. Joint-block probes retain opportunities to detect cross-block interactions. If insufficient time remains for confirmation, termination will be recorded as budget exhaustion, not evidence of negligible utility.</w:t>
      </w:r>
    </w:p>
    <w:p>
      <w:pPr>
        <w:pStyle w:val="Heading2"/>
      </w:pPr>
      <w:r>
        <w:t>3.4.1 Controller pseudocode</w:t>
      </w:r>
    </w:p>
    <w:p>
      <w:pPr>
        <w:spacing w:after="60"/>
      </w:pPr>
      <w:r>
        <w:rPr>
          <w:b w:val="0"/>
        </w:rPr>
        <w:t>1  Freeze partitions, evaluator, domain, T_ref, time cap, seeds, and controller settings.</w:t>
      </w:r>
    </w:p>
    <w:p>
      <w:pPr>
        <w:spacing w:after="60"/>
      </w:pPr>
      <w:r>
        <w:rPr>
          <w:b w:val="0"/>
        </w:rPr>
        <w:t>2  Evaluate eight initial configurations and initialize the population and incumbent.</w:t>
      </w:r>
    </w:p>
    <w:p>
      <w:pPr>
        <w:spacing w:after="60"/>
      </w:pPr>
      <w:r>
        <w:rPr>
          <w:b w:val="0"/>
        </w:rPr>
        <w:t>3  Allocate three initial rounds to each of A, B, C, and J, with two trials per round.</w:t>
      </w:r>
    </w:p>
    <w:p>
      <w:pPr>
        <w:spacing w:after="60"/>
      </w:pPr>
      <w:r>
        <w:rPr>
          <w:b w:val="0"/>
        </w:rPr>
        <w:t>4  Update rewards, rolling block statistics, priority scores, cumulative cost, and decision logs.</w:t>
      </w:r>
    </w:p>
    <w:p>
      <w:pPr>
        <w:spacing w:after="60"/>
      </w:pPr>
      <w:r>
        <w:rPr>
          <w:b w:val="0"/>
        </w:rPr>
        <w:t>5  Select a mandatory exploration block when required; otherwise apply priority and hysteresis.</w:t>
      </w:r>
    </w:p>
    <w:p>
      <w:pPr>
        <w:spacing w:after="60"/>
      </w:pPr>
      <w:r>
        <w:rPr>
          <w:b w:val="0"/>
        </w:rPr>
        <w:t>6  Generate and evaluate DE trials, update the population, and repeat allocation decisions.</w:t>
      </w:r>
    </w:p>
    <w:p>
      <w:pPr>
        <w:spacing w:after="60"/>
      </w:pPr>
      <w:r>
        <w:rPr>
          <w:b w:val="0"/>
        </w:rPr>
        <w:t>7  When stop conditions hold, probe every block and reevaluate the incumbent with two additional seeds.</w:t>
      </w:r>
    </w:p>
    <w:p>
      <w:pPr>
        <w:spacing w:after="60"/>
      </w:pPr>
      <w:r>
        <w:rPr>
          <w:b w:val="0"/>
        </w:rPr>
        <w:t>8  Resume search if a probe yields a rate ≥ τ or if reevaluation variation exceeds the pilot tolerance.</w:t>
      </w:r>
    </w:p>
    <w:p>
      <w:pPr>
        <w:spacing w:after="60"/>
      </w:pPr>
      <w:r>
        <w:rPr>
          <w:b w:val="0"/>
        </w:rPr>
        <w:t>9  Otherwise confirm termination and record its rationale; charge all confirmation costs to B.</w:t>
      </w:r>
    </w:p>
    <w:p>
      <w:pPr>
        <w:spacing w:after="60"/>
      </w:pPr>
      <w:r>
        <w:rPr>
          <w:b w:val="0"/>
        </w:rPr>
        <w:t>10  Select the configuration using search results only, then train the final model separately.</w:t>
      </w:r>
    </w:p>
    <w:p>
      <w:r>
        <w:rPr>
          <w:b w:val="0"/>
        </w:rPr>
        <w:t>The reevaluation tolerance will be set using pilot data. Confirmation is a heuristic safeguard, not proof that the global optimum has been found. Warm-up and mandatory exploration remain subject to the time cap. A run that cannot complete warm-up must not be classified as terminating because of low utility.</w:t>
      </w:r>
    </w:p>
    <w:p>
      <w:r>
        <w:br w:type="page"/>
      </w:r>
    </w:p>
    <w:p>
      <w:pPr>
        <w:pStyle w:val="Heading1"/>
      </w:pPr>
      <w:r>
        <w:t>3.5 Validation design and search budgets</w:t>
      </w:r>
    </w:p>
    <w:tbl>
      <w:tblPr>
        <w:tblW w:type="auto" w:w="0"/>
        <w:jc w:val="center"/>
        <w:tblLayout w:type="fixed"/>
        <w:tblLook w:firstColumn="1" w:firstRow="1" w:lastColumn="0" w:lastRow="0" w:noHBand="0" w:noVBand="1" w:val="04A0"/>
      </w:tblPr>
      <w:tblGrid>
        <w:gridCol w:w="1872"/>
        <w:gridCol w:w="3816"/>
        <w:gridCol w:w="4248"/>
      </w:tblGrid>
      <w:tr>
        <w:trPr>
          <w:tblHeader/>
          <w:cantSplit/>
        </w:trPr>
        <w:tc>
          <w:tcPr>
            <w:tcW w:type="dxa" w:w="187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7EEF5"/>
          </w:tcPr>
          <w:p>
            <w:pPr>
              <w:spacing w:after="40" w:line="245" w:lineRule="auto"/>
            </w:pPr>
            <w:r>
              <w:rPr>
                <w:b/>
                <w:color w:val="000000"/>
                <w:sz w:val="19"/>
              </w:rPr>
              <w:t>Partition</w:t>
            </w:r>
          </w:p>
        </w:tc>
        <w:tc>
          <w:tcPr>
            <w:tcW w:type="dxa" w:w="38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7EEF5"/>
          </w:tcPr>
          <w:p>
            <w:pPr>
              <w:spacing w:after="40" w:line="245" w:lineRule="auto"/>
            </w:pPr>
            <w:r>
              <w:rPr>
                <w:b/>
                <w:color w:val="000000"/>
                <w:sz w:val="19"/>
              </w:rPr>
              <w:t>Purpose</w:t>
            </w:r>
          </w:p>
        </w:tc>
        <w:tc>
          <w:tcPr>
            <w:tcW w:type="dxa" w:w="424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7EEF5"/>
          </w:tcPr>
          <w:p>
            <w:pPr>
              <w:spacing w:after="40" w:line="245" w:lineRule="auto"/>
            </w:pPr>
            <w:r>
              <w:rPr>
                <w:b/>
                <w:color w:val="000000"/>
                <w:sz w:val="19"/>
              </w:rPr>
              <w:t>Restriction</w:t>
            </w:r>
          </w:p>
        </w:tc>
      </w:tr>
      <w:tr>
        <w:trPr>
          <w:cantSplit/>
        </w:trPr>
        <w:tc>
          <w:tcPr>
            <w:tcW w:type="dxa" w:w="187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19"/>
              </w:rPr>
              <w:t>Folds 1–7</w:t>
            </w:r>
          </w:p>
        </w:tc>
        <w:tc>
          <w:tcPr>
            <w:tcW w:type="dxa" w:w="38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19"/>
              </w:rPr>
              <w:t>Candidate training and controller development</w:t>
            </w:r>
          </w:p>
        </w:tc>
        <w:tc>
          <w:tcPr>
            <w:tcW w:type="dxa" w:w="424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19"/>
              </w:rPr>
              <w:t>Estimate preprocessing and class weights only from the relevant training records.</w:t>
            </w:r>
          </w:p>
        </w:tc>
      </w:tr>
      <w:tr>
        <w:trPr>
          <w:cantSplit/>
        </w:trPr>
        <w:tc>
          <w:tcPr>
            <w:tcW w:type="dxa" w:w="187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6F7F8"/>
          </w:tcPr>
          <w:p>
            <w:pPr>
              <w:spacing w:after="40" w:line="245" w:lineRule="auto"/>
            </w:pPr>
            <w:r>
              <w:rPr>
                <w:b w:val="0"/>
                <w:color w:val="000000"/>
                <w:sz w:val="19"/>
              </w:rPr>
              <w:t>Fold 8</w:t>
            </w:r>
          </w:p>
        </w:tc>
        <w:tc>
          <w:tcPr>
            <w:tcW w:type="dxa" w:w="38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6F7F8"/>
          </w:tcPr>
          <w:p>
            <w:pPr>
              <w:spacing w:after="40" w:line="245" w:lineRule="auto"/>
            </w:pPr>
            <w:r>
              <w:rPr>
                <w:b w:val="0"/>
                <w:color w:val="000000"/>
                <w:sz w:val="19"/>
              </w:rPr>
              <w:t>Search fitness and controller actions</w:t>
            </w:r>
          </w:p>
        </w:tc>
        <w:tc>
          <w:tcPr>
            <w:tcW w:type="dxa" w:w="424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6F7F8"/>
          </w:tcPr>
          <w:p>
            <w:pPr>
              <w:spacing w:after="40" w:line="245" w:lineRule="auto"/>
            </w:pPr>
            <w:r>
              <w:rPr>
                <w:b w:val="0"/>
                <w:color w:val="000000"/>
                <w:sz w:val="19"/>
              </w:rPr>
              <w:t>Do not use it as an unbiased estimate of final performance.</w:t>
            </w:r>
          </w:p>
        </w:tc>
      </w:tr>
      <w:tr>
        <w:trPr>
          <w:cantSplit/>
        </w:trPr>
        <w:tc>
          <w:tcPr>
            <w:tcW w:type="dxa" w:w="187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19"/>
              </w:rPr>
              <w:t>Fold 9</w:t>
            </w:r>
          </w:p>
        </w:tc>
        <w:tc>
          <w:tcPr>
            <w:tcW w:type="dxa" w:w="38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19"/>
              </w:rPr>
              <w:t>Final checkpoint and decision thresholds</w:t>
            </w:r>
          </w:p>
        </w:tc>
        <w:tc>
          <w:tcPr>
            <w:tcW w:type="dxa" w:w="424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19"/>
              </w:rPr>
              <w:t>Access only after search configurations and controller policy are fixed.</w:t>
            </w:r>
          </w:p>
        </w:tc>
      </w:tr>
      <w:tr>
        <w:trPr>
          <w:cantSplit/>
        </w:trPr>
        <w:tc>
          <w:tcPr>
            <w:tcW w:type="dxa" w:w="187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6F7F8"/>
          </w:tcPr>
          <w:p>
            <w:pPr>
              <w:spacing w:after="40" w:line="245" w:lineRule="auto"/>
            </w:pPr>
            <w:r>
              <w:rPr>
                <w:b w:val="0"/>
                <w:color w:val="000000"/>
                <w:sz w:val="19"/>
              </w:rPr>
              <w:t>Fold 10</w:t>
            </w:r>
          </w:p>
        </w:tc>
        <w:tc>
          <w:tcPr>
            <w:tcW w:type="dxa" w:w="38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6F7F8"/>
          </w:tcPr>
          <w:p>
            <w:pPr>
              <w:spacing w:after="40" w:line="245" w:lineRule="auto"/>
            </w:pPr>
            <w:r>
              <w:rPr>
                <w:b w:val="0"/>
                <w:color w:val="000000"/>
                <w:sz w:val="19"/>
              </w:rPr>
              <w:t>Confirmatory testing</w:t>
            </w:r>
          </w:p>
        </w:tc>
        <w:tc>
          <w:tcPr>
            <w:tcW w:type="dxa" w:w="424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6F7F8"/>
          </w:tcPr>
          <w:p>
            <w:pPr>
              <w:spacing w:after="40" w:line="245" w:lineRule="auto"/>
            </w:pPr>
            <w:r>
              <w:rPr>
                <w:b w:val="0"/>
                <w:color w:val="000000"/>
                <w:sz w:val="19"/>
              </w:rPr>
              <w:t>Never use it to choose policy, domains, candidates, checkpoints, or thresholds.</w:t>
            </w:r>
          </w:p>
        </w:tc>
      </w:tr>
    </w:tbl>
    <w:p>
      <w:pPr>
        <w:spacing w:after="0"/>
      </w:pPr>
    </w:p>
    <w:p>
      <w:r>
        <w:rPr>
          <w:b w:val="0"/>
        </w:rPr>
        <w:t>The official benchmark uses folds 1–8 for training, fold 9 for validation, and fold 10 for testing [R2]. The present design divides the official training data into candidate training and search validation. Patient identifiers will be audited after filtering. Controller policy development will use additional patient-separated partitions within folds 1–7; folds 8–10 will not be used to tune policy settings.</w:t>
      </w:r>
    </w:p>
    <w:p>
      <w:pPr>
        <w:pStyle w:val="Heading2"/>
      </w:pPr>
      <w:r>
        <w:t>3.5.1 Final-model training</w:t>
      </w:r>
    </w:p>
    <w:p>
      <w:r>
        <w:rPr>
          <w:b w:val="0"/>
        </w:rPr>
        <w:t>The selected configuration will be retrained from initialization on folds 1–8 for up to 50 epochs, with patience eight on fold 9. The same loss and preprocessing rules will apply across methods. Label-specific F1 thresholds will be selected on fold 9 using a fixed procedure, and checkpoint selection will use macro AUROC. Fold 10 will be evaluated only after the main experiments and analysis specifications have been locked.</w:t>
      </w:r>
    </w:p>
    <w:p>
      <w:pPr>
        <w:pStyle w:val="Heading2"/>
      </w:pPr>
      <w:r>
        <w:t>3.5.2 Time limits and repeated runs</w:t>
      </w:r>
    </w:p>
    <w:p>
      <w:r>
        <w:rPr>
          <w:b w:val="0"/>
        </w:rPr>
        <w:t>The proposed limits are B_low = 80 T_ref, B_mid = 160 T_ref, and B_high = 320 T_ref. Final limits in seconds will be fixed after the pilot; B_low will be increased if minimum warm-up and confirmation are infeasible. These are time caps rather than mandatory evaluation counts.</w:t>
      </w:r>
    </w:p>
    <w:p>
      <w:r>
        <w:rPr>
          <w:b w:val="0"/>
        </w:rPr>
        <w:t>Seven methods will be evaluated with ten prespecified search seeds at three budget levels, producing 210 main search runs. Method execution order will be randomized to reduce hardware drift. Eight shared initial configurations will be supplied for each paired seed, with evaluation costs charged to each method. Matched caps do not require identical time consumption; actual savings are outcomes.</w:t>
      </w:r>
    </w:p>
    <w:p>
      <w:r>
        <w:rPr>
          <w:b w:val="0"/>
        </w:rPr>
        <w:t>Candidate processes must be interruptible at the cap. Incomplete evaluations cannot become final incumbents. Logs will record elapsed time, unused budget, and termination reason. Additional patient-level nested cross-validation may strengthen later replication, but the primary fixed-split protocol will not be described as nested cross-validation.</w:t>
      </w:r>
    </w:p>
    <w:p>
      <w:r>
        <w:br w:type="page"/>
      </w:r>
    </w:p>
    <w:p>
      <w:pPr>
        <w:pStyle w:val="Heading1"/>
      </w:pPr>
      <w:r>
        <w:t>3.6 Comparators ablation and experimental controls</w:t>
      </w:r>
    </w:p>
    <w:tbl>
      <w:tblPr>
        <w:tblW w:type="auto" w:w="0"/>
        <w:jc w:val="center"/>
        <w:tblLayout w:type="fixed"/>
        <w:tblLook w:firstColumn="1" w:firstRow="1" w:lastColumn="0" w:lastRow="0" w:noHBand="0" w:noVBand="1" w:val="04A0"/>
      </w:tblPr>
      <w:tblGrid>
        <w:gridCol w:w="1152"/>
        <w:gridCol w:w="3024"/>
        <w:gridCol w:w="5760"/>
      </w:tblGrid>
      <w:tr>
        <w:trPr>
          <w:tblHeader/>
          <w:cantSplit/>
        </w:trPr>
        <w:tc>
          <w:tcPr>
            <w:tcW w:type="dxa" w:w="11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7EEF5"/>
          </w:tcPr>
          <w:p>
            <w:pPr>
              <w:spacing w:after="40" w:line="245" w:lineRule="auto"/>
            </w:pPr>
            <w:r>
              <w:rPr>
                <w:b/>
                <w:color w:val="000000"/>
                <w:sz w:val="19"/>
              </w:rPr>
              <w:t>Group</w:t>
            </w:r>
          </w:p>
        </w:tc>
        <w:tc>
          <w:tcPr>
            <w:tcW w:type="dxa" w:w="30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7EEF5"/>
          </w:tcPr>
          <w:p>
            <w:pPr>
              <w:spacing w:after="40" w:line="245" w:lineRule="auto"/>
            </w:pPr>
            <w:r>
              <w:rPr>
                <w:b/>
                <w:color w:val="000000"/>
                <w:sz w:val="19"/>
              </w:rPr>
              <w:t>Method</w:t>
            </w:r>
          </w:p>
        </w:tc>
        <w:tc>
          <w:tcPr>
            <w:tcW w:type="dxa" w:w="576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7EEF5"/>
          </w:tcPr>
          <w:p>
            <w:pPr>
              <w:spacing w:after="40" w:line="245" w:lineRule="auto"/>
            </w:pPr>
            <w:r>
              <w:rPr>
                <w:b/>
                <w:color w:val="000000"/>
                <w:sz w:val="19"/>
              </w:rPr>
              <w:t>Purpose</w:t>
            </w:r>
          </w:p>
        </w:tc>
      </w:tr>
      <w:tr>
        <w:trPr>
          <w:cantSplit/>
        </w:trPr>
        <w:tc>
          <w:tcPr>
            <w:tcW w:type="dxa" w:w="11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19"/>
              </w:rPr>
              <w:t>Reference</w:t>
            </w:r>
          </w:p>
        </w:tc>
        <w:tc>
          <w:tcPr>
            <w:tcW w:type="dxa" w:w="30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19"/>
              </w:rPr>
              <w:t>Fixed-configuration CNN</w:t>
            </w:r>
          </w:p>
        </w:tc>
        <w:tc>
          <w:tcPr>
            <w:tcW w:type="dxa" w:w="576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19"/>
              </w:rPr>
              <w:t>Quantify gain over an untuned model; not the principal cost comparator.</w:t>
            </w:r>
          </w:p>
        </w:tc>
      </w:tr>
      <w:tr>
        <w:trPr>
          <w:cantSplit/>
        </w:trPr>
        <w:tc>
          <w:tcPr>
            <w:tcW w:type="dxa" w:w="11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6F7F8"/>
          </w:tcPr>
          <w:p>
            <w:pPr>
              <w:spacing w:after="40" w:line="245" w:lineRule="auto"/>
            </w:pPr>
            <w:r>
              <w:rPr>
                <w:b w:val="0"/>
                <w:color w:val="000000"/>
                <w:sz w:val="19"/>
              </w:rPr>
              <w:t>B1</w:t>
            </w:r>
          </w:p>
        </w:tc>
        <w:tc>
          <w:tcPr>
            <w:tcW w:type="dxa" w:w="30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6F7F8"/>
          </w:tcPr>
          <w:p>
            <w:pPr>
              <w:spacing w:after="40" w:line="245" w:lineRule="auto"/>
            </w:pPr>
            <w:r>
              <w:rPr>
                <w:b w:val="0"/>
                <w:color w:val="000000"/>
                <w:sz w:val="19"/>
              </w:rPr>
              <w:t>Random search</w:t>
            </w:r>
          </w:p>
        </w:tc>
        <w:tc>
          <w:tcPr>
            <w:tcW w:type="dxa" w:w="576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6F7F8"/>
          </w:tcPr>
          <w:p>
            <w:pPr>
              <w:spacing w:after="40" w:line="245" w:lineRule="auto"/>
            </w:pPr>
            <w:r>
              <w:rPr>
                <w:b w:val="0"/>
                <w:color w:val="000000"/>
                <w:sz w:val="19"/>
              </w:rPr>
              <w:t>Simple search reference.</w:t>
            </w:r>
          </w:p>
        </w:tc>
      </w:tr>
      <w:tr>
        <w:trPr>
          <w:cantSplit/>
        </w:trPr>
        <w:tc>
          <w:tcPr>
            <w:tcW w:type="dxa" w:w="11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19"/>
              </w:rPr>
              <w:t>B2</w:t>
            </w:r>
          </w:p>
        </w:tc>
        <w:tc>
          <w:tcPr>
            <w:tcW w:type="dxa" w:w="30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19"/>
              </w:rPr>
              <w:t>TPE</w:t>
            </w:r>
          </w:p>
        </w:tc>
        <w:tc>
          <w:tcPr>
            <w:tcW w:type="dxa" w:w="576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19"/>
              </w:rPr>
              <w:t>Model-based hyperparameter search.</w:t>
            </w:r>
          </w:p>
        </w:tc>
      </w:tr>
      <w:tr>
        <w:trPr>
          <w:cantSplit/>
        </w:trPr>
        <w:tc>
          <w:tcPr>
            <w:tcW w:type="dxa" w:w="11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6F7F8"/>
          </w:tcPr>
          <w:p>
            <w:pPr>
              <w:spacing w:after="40" w:line="245" w:lineRule="auto"/>
            </w:pPr>
            <w:r>
              <w:rPr>
                <w:b w:val="0"/>
                <w:color w:val="000000"/>
                <w:sz w:val="19"/>
              </w:rPr>
              <w:t>B3</w:t>
            </w:r>
          </w:p>
        </w:tc>
        <w:tc>
          <w:tcPr>
            <w:tcW w:type="dxa" w:w="30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6F7F8"/>
          </w:tcPr>
          <w:p>
            <w:pPr>
              <w:spacing w:after="40" w:line="245" w:lineRule="auto"/>
            </w:pPr>
            <w:r>
              <w:rPr>
                <w:b w:val="0"/>
                <w:color w:val="000000"/>
                <w:sz w:val="19"/>
              </w:rPr>
              <w:t>Standard DE</w:t>
            </w:r>
          </w:p>
        </w:tc>
        <w:tc>
          <w:tcPr>
            <w:tcW w:type="dxa" w:w="576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6F7F8"/>
          </w:tcPr>
          <w:p>
            <w:pPr>
              <w:spacing w:after="40" w:line="245" w:lineRule="auto"/>
            </w:pPr>
            <w:r>
              <w:rPr>
                <w:b w:val="0"/>
                <w:color w:val="000000"/>
                <w:sz w:val="19"/>
              </w:rPr>
              <w:t>Isolate controller effects from evolutionary generation.</w:t>
            </w:r>
          </w:p>
        </w:tc>
      </w:tr>
      <w:tr>
        <w:trPr>
          <w:cantSplit/>
        </w:trPr>
        <w:tc>
          <w:tcPr>
            <w:tcW w:type="dxa" w:w="11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19"/>
              </w:rPr>
              <w:t>B4</w:t>
            </w:r>
          </w:p>
        </w:tc>
        <w:tc>
          <w:tcPr>
            <w:tcW w:type="dxa" w:w="30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19"/>
              </w:rPr>
              <w:t>Hyperband</w:t>
            </w:r>
          </w:p>
        </w:tc>
        <w:tc>
          <w:tcPr>
            <w:tcW w:type="dxa" w:w="576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19"/>
              </w:rPr>
              <w:t>Resource allocation without DE.</w:t>
            </w:r>
          </w:p>
        </w:tc>
      </w:tr>
      <w:tr>
        <w:trPr>
          <w:cantSplit/>
        </w:trPr>
        <w:tc>
          <w:tcPr>
            <w:tcW w:type="dxa" w:w="11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6F7F8"/>
          </w:tcPr>
          <w:p>
            <w:pPr>
              <w:spacing w:after="40" w:line="245" w:lineRule="auto"/>
            </w:pPr>
            <w:r>
              <w:rPr>
                <w:b w:val="0"/>
                <w:color w:val="000000"/>
                <w:sz w:val="19"/>
              </w:rPr>
              <w:t>B5</w:t>
            </w:r>
          </w:p>
        </w:tc>
        <w:tc>
          <w:tcPr>
            <w:tcW w:type="dxa" w:w="30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6F7F8"/>
          </w:tcPr>
          <w:p>
            <w:pPr>
              <w:spacing w:after="40" w:line="245" w:lineRule="auto"/>
            </w:pPr>
            <w:r>
              <w:rPr>
                <w:b w:val="0"/>
                <w:color w:val="000000"/>
                <w:sz w:val="19"/>
              </w:rPr>
              <w:t>BOHB</w:t>
            </w:r>
          </w:p>
        </w:tc>
        <w:tc>
          <w:tcPr>
            <w:tcW w:type="dxa" w:w="576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6F7F8"/>
          </w:tcPr>
          <w:p>
            <w:pPr>
              <w:spacing w:after="40" w:line="245" w:lineRule="auto"/>
            </w:pPr>
            <w:r>
              <w:rPr>
                <w:b w:val="0"/>
                <w:color w:val="000000"/>
                <w:sz w:val="19"/>
              </w:rPr>
              <w:t>Model-based search with multi-fidelity allocation.</w:t>
            </w:r>
          </w:p>
        </w:tc>
      </w:tr>
      <w:tr>
        <w:trPr>
          <w:cantSplit/>
        </w:trPr>
        <w:tc>
          <w:tcPr>
            <w:tcW w:type="dxa" w:w="11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19"/>
              </w:rPr>
              <w:t>B6</w:t>
            </w:r>
          </w:p>
        </w:tc>
        <w:tc>
          <w:tcPr>
            <w:tcW w:type="dxa" w:w="30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19"/>
              </w:rPr>
              <w:t>DEHB</w:t>
            </w:r>
          </w:p>
        </w:tc>
        <w:tc>
          <w:tcPr>
            <w:tcW w:type="dxa" w:w="576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19"/>
              </w:rPr>
              <w:t>Principal evolutionary multi-fidelity comparator.</w:t>
            </w:r>
          </w:p>
        </w:tc>
      </w:tr>
      <w:tr>
        <w:trPr>
          <w:cantSplit/>
        </w:trPr>
        <w:tc>
          <w:tcPr>
            <w:tcW w:type="dxa" w:w="11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6F7F8"/>
          </w:tcPr>
          <w:p>
            <w:pPr>
              <w:spacing w:after="40" w:line="245" w:lineRule="auto"/>
            </w:pPr>
            <w:r>
              <w:rPr>
                <w:b w:val="0"/>
                <w:color w:val="000000"/>
                <w:sz w:val="19"/>
              </w:rPr>
              <w:t>P</w:t>
            </w:r>
          </w:p>
        </w:tc>
        <w:tc>
          <w:tcPr>
            <w:tcW w:type="dxa" w:w="30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6F7F8"/>
          </w:tcPr>
          <w:p>
            <w:pPr>
              <w:spacing w:after="40" w:line="245" w:lineRule="auto"/>
            </w:pPr>
            <w:r>
              <w:rPr>
                <w:b w:val="0"/>
                <w:color w:val="000000"/>
                <w:sz w:val="19"/>
              </w:rPr>
              <w:t>DE with marginal utility controller</w:t>
            </w:r>
          </w:p>
        </w:tc>
        <w:tc>
          <w:tcPr>
            <w:tcW w:type="dxa" w:w="576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6F7F8"/>
          </w:tcPr>
          <w:p>
            <w:pPr>
              <w:spacing w:after="40" w:line="245" w:lineRule="auto"/>
            </w:pPr>
            <w:r>
              <w:rPr>
                <w:b w:val="0"/>
                <w:color w:val="000000"/>
                <w:sz w:val="19"/>
              </w:rPr>
              <w:t>Proposed method.</w:t>
            </w:r>
          </w:p>
        </w:tc>
      </w:tr>
    </w:tbl>
    <w:p>
      <w:pPr>
        <w:spacing w:after="0"/>
      </w:pPr>
    </w:p>
    <w:p>
      <w:pPr>
        <w:pStyle w:val="Heading2"/>
      </w:pPr>
      <w:r>
        <w:t>3.6.1 Ablation at the intermediate budget</w:t>
      </w:r>
    </w:p>
    <w:tbl>
      <w:tblPr>
        <w:tblW w:type="auto" w:w="0"/>
        <w:jc w:val="center"/>
        <w:tblLayout w:type="fixed"/>
        <w:tblLook w:firstColumn="1" w:firstRow="1" w:lastColumn="0" w:lastRow="0" w:noHBand="0" w:noVBand="1" w:val="04A0"/>
      </w:tblPr>
      <w:tblGrid>
        <w:gridCol w:w="3456"/>
        <w:gridCol w:w="6480"/>
      </w:tblGrid>
      <w:tr>
        <w:trPr>
          <w:tblHeader/>
          <w:cantSplit/>
        </w:trPr>
        <w:tc>
          <w:tcPr>
            <w:tcW w:type="dxa" w:w="345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7EEF5"/>
          </w:tcPr>
          <w:p>
            <w:pPr>
              <w:spacing w:after="40" w:line="245" w:lineRule="auto"/>
            </w:pPr>
            <w:r>
              <w:rPr>
                <w:b/>
                <w:color w:val="000000"/>
                <w:sz w:val="19"/>
              </w:rPr>
              <w:t>Variant</w:t>
            </w:r>
          </w:p>
        </w:tc>
        <w:tc>
          <w:tcPr>
            <w:tcW w:type="dxa" w:w="648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7EEF5"/>
          </w:tcPr>
          <w:p>
            <w:pPr>
              <w:spacing w:after="40" w:line="245" w:lineRule="auto"/>
            </w:pPr>
            <w:r>
              <w:rPr>
                <w:b/>
                <w:color w:val="000000"/>
                <w:sz w:val="19"/>
              </w:rPr>
              <w:t>Component examined</w:t>
            </w:r>
          </w:p>
        </w:tc>
      </w:tr>
      <w:tr>
        <w:trPr>
          <w:cantSplit/>
        </w:trPr>
        <w:tc>
          <w:tcPr>
            <w:tcW w:type="dxa" w:w="345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19"/>
              </w:rPr>
              <w:t>P without global termination</w:t>
            </w:r>
          </w:p>
        </w:tc>
        <w:tc>
          <w:tcPr>
            <w:tcW w:type="dxa" w:w="648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19"/>
              </w:rPr>
              <w:t>Separate allocation improvements from termination savings.</w:t>
            </w:r>
          </w:p>
        </w:tc>
      </w:tr>
      <w:tr>
        <w:trPr>
          <w:cantSplit/>
        </w:trPr>
        <w:tc>
          <w:tcPr>
            <w:tcW w:type="dxa" w:w="345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6F7F8"/>
          </w:tcPr>
          <w:p>
            <w:pPr>
              <w:spacing w:after="40" w:line="245" w:lineRule="auto"/>
            </w:pPr>
            <w:r>
              <w:rPr>
                <w:b w:val="0"/>
                <w:color w:val="000000"/>
                <w:sz w:val="19"/>
              </w:rPr>
              <w:t>Round-robin without termination</w:t>
            </w:r>
          </w:p>
        </w:tc>
        <w:tc>
          <w:tcPr>
            <w:tcW w:type="dxa" w:w="648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6F7F8"/>
          </w:tcPr>
          <w:p>
            <w:pPr>
              <w:spacing w:after="40" w:line="245" w:lineRule="auto"/>
            </w:pPr>
            <w:r>
              <w:rPr>
                <w:b w:val="0"/>
                <w:color w:val="000000"/>
                <w:sz w:val="19"/>
              </w:rPr>
              <w:t>Keep blocks and DE fixed while removing adaptive allocation.</w:t>
            </w:r>
          </w:p>
        </w:tc>
      </w:tr>
      <w:tr>
        <w:trPr>
          <w:cantSplit/>
        </w:trPr>
        <w:tc>
          <w:tcPr>
            <w:tcW w:type="dxa" w:w="345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19"/>
              </w:rPr>
              <w:t>P without cost normalization</w:t>
            </w:r>
          </w:p>
        </w:tc>
        <w:tc>
          <w:tcPr>
            <w:tcW w:type="dxa" w:w="648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19"/>
              </w:rPr>
              <w:t>Prioritize improvement alone to assess measured-cost information.</w:t>
            </w:r>
          </w:p>
        </w:tc>
      </w:tr>
      <w:tr>
        <w:trPr>
          <w:cantSplit/>
        </w:trPr>
        <w:tc>
          <w:tcPr>
            <w:tcW w:type="dxa" w:w="345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6F7F8"/>
          </w:tcPr>
          <w:p>
            <w:pPr>
              <w:spacing w:after="40" w:line="245" w:lineRule="auto"/>
            </w:pPr>
            <w:r>
              <w:rPr>
                <w:b w:val="0"/>
                <w:color w:val="000000"/>
                <w:sz w:val="19"/>
              </w:rPr>
              <w:t>P without mandatory probes</w:t>
            </w:r>
          </w:p>
        </w:tc>
        <w:tc>
          <w:tcPr>
            <w:tcW w:type="dxa" w:w="648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6F7F8"/>
          </w:tcPr>
          <w:p>
            <w:pPr>
              <w:spacing w:after="40" w:line="245" w:lineRule="auto"/>
            </w:pPr>
            <w:r>
              <w:rPr>
                <w:b w:val="0"/>
                <w:color w:val="000000"/>
                <w:sz w:val="19"/>
              </w:rPr>
              <w:t>Assess abandonment of temporarily unproductive blocks.</w:t>
            </w:r>
          </w:p>
        </w:tc>
      </w:tr>
      <w:tr>
        <w:trPr>
          <w:cantSplit/>
        </w:trPr>
        <w:tc>
          <w:tcPr>
            <w:tcW w:type="dxa" w:w="345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19"/>
              </w:rPr>
              <w:t>P without joint block J</w:t>
            </w:r>
          </w:p>
        </w:tc>
        <w:tc>
          <w:tcPr>
            <w:tcW w:type="dxa" w:w="648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19"/>
              </w:rPr>
              <w:t>Assess cross-block interactions.</w:t>
            </w:r>
          </w:p>
        </w:tc>
      </w:tr>
      <w:tr>
        <w:trPr>
          <w:cantSplit/>
        </w:trPr>
        <w:tc>
          <w:tcPr>
            <w:tcW w:type="dxa" w:w="345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6F7F8"/>
          </w:tcPr>
          <w:p>
            <w:pPr>
              <w:spacing w:after="40" w:line="245" w:lineRule="auto"/>
            </w:pPr>
            <w:r>
              <w:rPr>
                <w:b w:val="0"/>
                <w:color w:val="000000"/>
                <w:sz w:val="19"/>
              </w:rPr>
              <w:t>P without termination confirmation</w:t>
            </w:r>
          </w:p>
        </w:tc>
        <w:tc>
          <w:tcPr>
            <w:tcW w:type="dxa" w:w="648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6F7F8"/>
          </w:tcPr>
          <w:p>
            <w:pPr>
              <w:spacing w:after="40" w:line="245" w:lineRule="auto"/>
            </w:pPr>
            <w:r>
              <w:rPr>
                <w:b w:val="0"/>
                <w:color w:val="000000"/>
                <w:sz w:val="19"/>
              </w:rPr>
              <w:t>Assess premature stopping and safeguard costs.</w:t>
            </w:r>
          </w:p>
        </w:tc>
      </w:tr>
    </w:tbl>
    <w:p>
      <w:pPr>
        <w:spacing w:after="0"/>
      </w:pPr>
    </w:p>
    <w:p>
      <w:r>
        <w:rPr>
          <w:b w:val="0"/>
        </w:rPr>
        <w:t>Six ablations with ten seeds require 60 additional runs at B_mid. The complete method will reuse its main benchmark runs at this budget. DEHB and the round-robin ablation should be retained if exploratory workload must be reduced, because they are central to attributing the contribution.</w:t>
      </w:r>
    </w:p>
    <w:p>
      <w:pPr>
        <w:pStyle w:val="Heading2"/>
      </w:pPr>
      <w:r>
        <w:t>3.6.2 Fairness and reproducibility</w:t>
      </w:r>
    </w:p>
    <w:p>
      <w:r>
        <w:rPr>
          <w:b w:val="0"/>
        </w:rPr>
        <w:t>Dataset, labels, time caps, hardware, loss, full search domain, maximum fidelity, and final-training rules will be matched. Fidelity differences will be reported as method characteristics. Practical comparisons with native methods will be complemented by controller ablations under an identical single-fidelity evaluator. Portability to PSO or GA is a later extension after the DE-based contribution has been assessed.</w:t>
      </w:r>
    </w:p>
    <w:p>
      <w:r>
        <w:br w:type="page"/>
      </w:r>
    </w:p>
    <w:p>
      <w:pPr>
        <w:pStyle w:val="Heading1"/>
      </w:pPr>
      <w:r>
        <w:t>3.7 Outcomes and statistical analysis</w:t>
      </w:r>
    </w:p>
    <w:tbl>
      <w:tblPr>
        <w:tblW w:type="auto" w:w="0"/>
        <w:jc w:val="center"/>
        <w:tblLayout w:type="fixed"/>
        <w:tblLook w:firstColumn="1" w:firstRow="1" w:lastColumn="0" w:lastRow="0" w:noHBand="0" w:noVBand="1" w:val="04A0"/>
      </w:tblPr>
      <w:tblGrid>
        <w:gridCol w:w="2376"/>
        <w:gridCol w:w="7560"/>
      </w:tblGrid>
      <w:tr>
        <w:trPr>
          <w:tblHeader/>
          <w:cantSplit/>
        </w:trPr>
        <w:tc>
          <w:tcPr>
            <w:tcW w:type="dxa" w:w="237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7EEF5"/>
          </w:tcPr>
          <w:p>
            <w:pPr>
              <w:spacing w:after="40" w:line="245" w:lineRule="auto"/>
            </w:pPr>
            <w:r>
              <w:rPr>
                <w:b/>
                <w:color w:val="000000"/>
                <w:sz w:val="19"/>
              </w:rPr>
              <w:t>Outcome</w:t>
            </w:r>
          </w:p>
        </w:tc>
        <w:tc>
          <w:tcPr>
            <w:tcW w:type="dxa" w:w="756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7EEF5"/>
          </w:tcPr>
          <w:p>
            <w:pPr>
              <w:spacing w:after="40" w:line="245" w:lineRule="auto"/>
            </w:pPr>
            <w:r>
              <w:rPr>
                <w:b/>
                <w:color w:val="000000"/>
                <w:sz w:val="19"/>
              </w:rPr>
              <w:t>Measurement</w:t>
            </w:r>
          </w:p>
        </w:tc>
      </w:tr>
      <w:tr>
        <w:trPr>
          <w:cantSplit/>
        </w:trPr>
        <w:tc>
          <w:tcPr>
            <w:tcW w:type="dxa" w:w="237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19"/>
              </w:rPr>
              <w:t>Final performance</w:t>
            </w:r>
          </w:p>
        </w:tc>
        <w:tc>
          <w:tcPr>
            <w:tcW w:type="dxa" w:w="756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19"/>
              </w:rPr>
              <w:t>Test macro AUROC, label-specific AUROC, and macro AUPRC.</w:t>
            </w:r>
          </w:p>
        </w:tc>
      </w:tr>
      <w:tr>
        <w:trPr>
          <w:cantSplit/>
        </w:trPr>
        <w:tc>
          <w:tcPr>
            <w:tcW w:type="dxa" w:w="237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6F7F8"/>
          </w:tcPr>
          <w:p>
            <w:pPr>
              <w:spacing w:after="40" w:line="245" w:lineRule="auto"/>
            </w:pPr>
            <w:r>
              <w:rPr>
                <w:b w:val="0"/>
                <w:color w:val="000000"/>
                <w:sz w:val="19"/>
              </w:rPr>
              <w:t>Search expenditure</w:t>
            </w:r>
          </w:p>
        </w:tc>
        <w:tc>
          <w:tcPr>
            <w:tcW w:type="dxa" w:w="756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6F7F8"/>
          </w:tcPr>
          <w:p>
            <w:pPr>
              <w:spacing w:after="40" w:line="245" w:lineRule="auto"/>
            </w:pPr>
            <w:r>
              <w:rPr>
                <w:b w:val="0"/>
                <w:color w:val="000000"/>
                <w:sz w:val="19"/>
              </w:rPr>
              <w:t>Actual wall-clock time, single-GPU hours, evaluation counts, and controller overhead.</w:t>
            </w:r>
          </w:p>
        </w:tc>
      </w:tr>
      <w:tr>
        <w:trPr>
          <w:cantSplit/>
        </w:trPr>
        <w:tc>
          <w:tcPr>
            <w:tcW w:type="dxa" w:w="237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19"/>
              </w:rPr>
              <w:t>Anytime efficiency</w:t>
            </w:r>
          </w:p>
        </w:tc>
        <w:tc>
          <w:tcPr>
            <w:tcW w:type="dxa" w:w="756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19"/>
              </w:rPr>
              <w:t>Integral of incumbent search-validation AUROC over time divided by B; carry the incumbent forward after stopping.</w:t>
            </w:r>
          </w:p>
        </w:tc>
      </w:tr>
      <w:tr>
        <w:trPr>
          <w:cantSplit/>
        </w:trPr>
        <w:tc>
          <w:tcPr>
            <w:tcW w:type="dxa" w:w="237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6F7F8"/>
          </w:tcPr>
          <w:p>
            <w:pPr>
              <w:spacing w:after="40" w:line="245" w:lineRule="auto"/>
            </w:pPr>
            <w:r>
              <w:rPr>
                <w:b w:val="0"/>
                <w:color w:val="000000"/>
                <w:sz w:val="19"/>
              </w:rPr>
              <w:t>Deployment efficiency</w:t>
            </w:r>
          </w:p>
        </w:tc>
        <w:tc>
          <w:tcPr>
            <w:tcW w:type="dxa" w:w="756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6F7F8"/>
          </w:tcPr>
          <w:p>
            <w:pPr>
              <w:spacing w:after="40" w:line="245" w:lineRule="auto"/>
            </w:pPr>
            <w:r>
              <w:rPr>
                <w:b w:val="0"/>
                <w:color w:val="000000"/>
                <w:sz w:val="19"/>
              </w:rPr>
              <w:t>Batch-one median and p95 latency, parameter count, model size, and peak memory; energy only when measured adequately.</w:t>
            </w:r>
          </w:p>
        </w:tc>
      </w:tr>
      <w:tr>
        <w:trPr>
          <w:cantSplit/>
        </w:trPr>
        <w:tc>
          <w:tcPr>
            <w:tcW w:type="dxa" w:w="237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19"/>
              </w:rPr>
              <w:t>Controller behavior</w:t>
            </w:r>
          </w:p>
        </w:tc>
        <w:tc>
          <w:tcPr>
            <w:tcW w:type="dxa" w:w="756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19"/>
              </w:rPr>
              <w:t>Time share by block, switching and probe frequency, stop reasons, and confirmation costs.</w:t>
            </w:r>
          </w:p>
        </w:tc>
      </w:tr>
      <w:tr>
        <w:trPr>
          <w:cantSplit/>
        </w:trPr>
        <w:tc>
          <w:tcPr>
            <w:tcW w:type="dxa" w:w="237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6F7F8"/>
          </w:tcPr>
          <w:p>
            <w:pPr>
              <w:spacing w:after="40" w:line="245" w:lineRule="auto"/>
            </w:pPr>
            <w:r>
              <w:rPr>
                <w:b w:val="0"/>
                <w:color w:val="000000"/>
                <w:sz w:val="19"/>
              </w:rPr>
              <w:t>Threshold metrics</w:t>
            </w:r>
          </w:p>
        </w:tc>
        <w:tc>
          <w:tcPr>
            <w:tcW w:type="dxa" w:w="756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6F7F8"/>
          </w:tcPr>
          <w:p>
            <w:pPr>
              <w:spacing w:after="40" w:line="245" w:lineRule="auto"/>
            </w:pPr>
            <w:r>
              <w:rPr>
                <w:b w:val="0"/>
                <w:color w:val="000000"/>
                <w:sz w:val="19"/>
              </w:rPr>
              <w:t>Macro F1, sensitivity, and specificity using thresholds selected on fold 9.</w:t>
            </w:r>
          </w:p>
        </w:tc>
      </w:tr>
    </w:tbl>
    <w:p>
      <w:pPr>
        <w:spacing w:after="0"/>
      </w:pPr>
    </w:p>
    <w:p>
      <w:pPr>
        <w:pStyle w:val="Heading2"/>
      </w:pPr>
      <w:r>
        <w:t>3.7.1 Primary analysis</w:t>
      </w:r>
    </w:p>
    <w:p>
      <w:r>
        <w:rPr>
          <w:b w:val="0"/>
        </w:rPr>
        <w:t>The primary contrast will compare P with DEHB at B_mid. Macro AUROC differences will be summarized across paired search seeds. Patient uncertainty will be assessed through paired cluster bootstrap, resampling patients together with all their recordings. Joint assessment of patient and search variation may use a hierarchical seed-and-patient bootstrap. Between-seed variability will also be reported separately; ten seeds are not ten independent datasets.</w:t>
      </w:r>
    </w:p>
    <w:p>
      <w:r>
        <w:rPr>
          <w:b w:val="0"/>
        </w:rPr>
        <w:t>Noninferiority will be supported if the lower limit of a one-sided 95% interval for the macro AUROC difference exceeds −0.005, subject to the finalized margin. An efficiency claim additionally requires reduced cost. Time differences and ratios will be reported with uncertainty intervals. Margin sensitivity analyses will supplement, not replace, the prespecified criterion.</w:t>
      </w:r>
    </w:p>
    <w:p>
      <w:pPr>
        <w:pStyle w:val="Heading2"/>
      </w:pPr>
      <w:r>
        <w:t>3.7.2 Secondary comparisons and sample adequacy</w:t>
      </w:r>
    </w:p>
    <w:p>
      <w:r>
        <w:rPr>
          <w:b w:val="0"/>
        </w:rPr>
        <w:t>Exploratory pairwise contrasts will use Holm correction. Friedman rank analysis may summarize paired runs, with conclusions restricted to this benchmark. Pilot variance will inform the required number of seeds. Additional seeds must be specified before accessing test outcomes; otherwise imprecision will be reported explicitly.</w:t>
      </w:r>
    </w:p>
    <w:p>
      <w:pPr>
        <w:pStyle w:val="Heading2"/>
      </w:pPr>
      <w:r>
        <w:t>3.7.3 Premature termination and interpretation</w:t>
      </w:r>
    </w:p>
    <w:p>
      <w:r>
        <w:rPr>
          <w:b w:val="0"/>
        </w:rPr>
        <w:t>For the no-stop ablation, identify the hypothetical stopping time under the same controller conditions. Quantify additional improvement between that time and the cap, including the frequency of foregone gains exceeding the prespecified tolerance. This analysis measures opportunities lost through early termination.</w:t>
      </w:r>
    </w:p>
    <w:p>
      <w:r>
        <w:rPr>
          <w:b w:val="0"/>
        </w:rPr>
        <w:t>Search savings with high AUROC do not establish clinical utility or external validity. If predictive performance is not preserved, the result will define limitations of the controller rather than support a favorable efficiency claim.</w:t>
      </w:r>
    </w:p>
    <w:p>
      <w:r>
        <w:br w:type="page"/>
      </w:r>
    </w:p>
    <w:p>
      <w:pPr>
        <w:pStyle w:val="Heading1"/>
      </w:pPr>
      <w:r>
        <w:t>3.8 Research roadmap</w:t>
      </w:r>
    </w:p>
    <w:p>
      <w:r>
        <w:rPr>
          <w:b w:val="0"/>
        </w:rPr>
        <w:t>The primary study is organized as a six-month roadmap. Each phase has a defined output and completion criterion. The schedule is provisional and will be updated after the pilot establishes candidate-evaluation duration and available GPU capacity. Test data remain inaccessible to model and policy selection throughout development.</w:t>
      </w:r>
    </w:p>
    <w:tbl>
      <w:tblPr>
        <w:tblW w:type="auto" w:w="0"/>
        <w:jc w:val="center"/>
        <w:tblLayout w:type="fixed"/>
        <w:tblLook w:firstColumn="1" w:firstRow="1" w:lastColumn="0" w:lastRow="0" w:noHBand="0" w:noVBand="1" w:val="04A0"/>
      </w:tblPr>
      <w:tblGrid>
        <w:gridCol w:w="936"/>
        <w:gridCol w:w="2448"/>
        <w:gridCol w:w="3312"/>
        <w:gridCol w:w="3240"/>
      </w:tblGrid>
      <w:tr>
        <w:trPr>
          <w:tblHeader/>
          <w:cantSplit/>
        </w:trPr>
        <w:tc>
          <w:tcPr>
            <w:tcW w:type="dxa" w:w="93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7EEF5"/>
          </w:tcPr>
          <w:p>
            <w:pPr>
              <w:spacing w:after="40" w:line="245" w:lineRule="auto"/>
            </w:pPr>
            <w:r>
              <w:rPr>
                <w:b/>
                <w:color w:val="000000"/>
                <w:sz w:val="19"/>
              </w:rPr>
              <w:t>Month</w:t>
            </w:r>
          </w:p>
        </w:tc>
        <w:tc>
          <w:tcPr>
            <w:tcW w:type="dxa" w:w="244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7EEF5"/>
          </w:tcPr>
          <w:p>
            <w:pPr>
              <w:spacing w:after="40" w:line="245" w:lineRule="auto"/>
            </w:pPr>
            <w:r>
              <w:rPr>
                <w:b/>
                <w:color w:val="000000"/>
                <w:sz w:val="19"/>
              </w:rPr>
              <w:t>Research phase</w:t>
            </w:r>
          </w:p>
        </w:tc>
        <w:tc>
          <w:tcPr>
            <w:tcW w:type="dxa" w:w="331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7EEF5"/>
          </w:tcPr>
          <w:p>
            <w:pPr>
              <w:spacing w:after="40" w:line="245" w:lineRule="auto"/>
            </w:pPr>
            <w:r>
              <w:rPr>
                <w:b/>
                <w:color w:val="000000"/>
                <w:sz w:val="19"/>
              </w:rPr>
              <w:t>Principal output</w:t>
            </w:r>
          </w:p>
        </w:tc>
        <w:tc>
          <w:tcPr>
            <w:tcW w:type="dxa" w:w="32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7EEF5"/>
          </w:tcPr>
          <w:p>
            <w:pPr>
              <w:spacing w:after="40" w:line="245" w:lineRule="auto"/>
            </w:pPr>
            <w:r>
              <w:rPr>
                <w:b/>
                <w:color w:val="000000"/>
                <w:sz w:val="19"/>
              </w:rPr>
              <w:t>Completion criterion</w:t>
            </w:r>
          </w:p>
        </w:tc>
      </w:tr>
      <w:tr>
        <w:trPr>
          <w:cantSplit/>
        </w:trPr>
        <w:tc>
          <w:tcPr>
            <w:tcW w:type="dxa" w:w="93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19"/>
              </w:rPr>
              <w:t>1</w:t>
            </w:r>
          </w:p>
        </w:tc>
        <w:tc>
          <w:tcPr>
            <w:tcW w:type="dxa" w:w="244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19"/>
              </w:rPr>
              <w:t>Evidence review and data preparation</w:t>
            </w:r>
          </w:p>
        </w:tc>
        <w:tc>
          <w:tcPr>
            <w:tcW w:type="dxa" w:w="331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19"/>
              </w:rPr>
              <w:t>Contribution map; curated dataset; patient split manifest; baseline CNN.</w:t>
            </w:r>
          </w:p>
        </w:tc>
        <w:tc>
          <w:tcPr>
            <w:tcW w:type="dxa" w:w="32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19"/>
              </w:rPr>
              <w:t>Label rules fixed; no patient overlap; data checks and baseline execution completed.</w:t>
            </w:r>
          </w:p>
        </w:tc>
      </w:tr>
      <w:tr>
        <w:trPr>
          <w:cantSplit/>
        </w:trPr>
        <w:tc>
          <w:tcPr>
            <w:tcW w:type="dxa" w:w="93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6F7F8"/>
          </w:tcPr>
          <w:p>
            <w:pPr>
              <w:spacing w:after="40" w:line="245" w:lineRule="auto"/>
            </w:pPr>
            <w:r>
              <w:rPr>
                <w:b w:val="0"/>
                <w:color w:val="000000"/>
                <w:sz w:val="19"/>
              </w:rPr>
              <w:t>2</w:t>
            </w:r>
          </w:p>
        </w:tc>
        <w:tc>
          <w:tcPr>
            <w:tcW w:type="dxa" w:w="244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6F7F8"/>
          </w:tcPr>
          <w:p>
            <w:pPr>
              <w:spacing w:after="40" w:line="245" w:lineRule="auto"/>
            </w:pPr>
            <w:r>
              <w:rPr>
                <w:b w:val="0"/>
                <w:color w:val="000000"/>
                <w:sz w:val="19"/>
              </w:rPr>
              <w:t>Controller development and pilot calibration</w:t>
            </w:r>
          </w:p>
        </w:tc>
        <w:tc>
          <w:tcPr>
            <w:tcW w:type="dxa" w:w="331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6F7F8"/>
          </w:tcPr>
          <w:p>
            <w:pPr>
              <w:spacing w:after="40" w:line="245" w:lineRule="auto"/>
            </w:pPr>
            <w:r>
              <w:rPr>
                <w:b w:val="0"/>
                <w:color w:val="000000"/>
                <w:sz w:val="19"/>
              </w:rPr>
              <w:t>DE controller; comparator evaluators; calibrated T_ref, budgets, thresholds, and preregistered protocol.</w:t>
            </w:r>
          </w:p>
        </w:tc>
        <w:tc>
          <w:tcPr>
            <w:tcW w:type="dxa" w:w="32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6F7F8"/>
          </w:tcPr>
          <w:p>
            <w:pPr>
              <w:spacing w:after="40" w:line="245" w:lineRule="auto"/>
            </w:pPr>
            <w:r>
              <w:rPr>
                <w:b w:val="0"/>
                <w:color w:val="000000"/>
                <w:sz w:val="19"/>
              </w:rPr>
              <w:t>Controller decisions verified; memory and runtime feasible; policy and analysis rules frozen.</w:t>
            </w:r>
          </w:p>
        </w:tc>
      </w:tr>
      <w:tr>
        <w:trPr>
          <w:cantSplit/>
        </w:trPr>
        <w:tc>
          <w:tcPr>
            <w:tcW w:type="dxa" w:w="93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19"/>
              </w:rPr>
              <w:t>3</w:t>
            </w:r>
          </w:p>
        </w:tc>
        <w:tc>
          <w:tcPr>
            <w:tcW w:type="dxa" w:w="244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19"/>
              </w:rPr>
              <w:t>Matched-budget benchmarking</w:t>
            </w:r>
          </w:p>
        </w:tc>
        <w:tc>
          <w:tcPr>
            <w:tcW w:type="dxa" w:w="331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19"/>
              </w:rPr>
              <w:t>210 main search logs; candidate archives; validation performance–time curves.</w:t>
            </w:r>
          </w:p>
        </w:tc>
        <w:tc>
          <w:tcPr>
            <w:tcW w:type="dxa" w:w="32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19"/>
              </w:rPr>
              <w:t>All scheduled method–seed–budget combinations accounted for; timing and failure logs complete.</w:t>
            </w:r>
          </w:p>
        </w:tc>
      </w:tr>
      <w:tr>
        <w:trPr>
          <w:cantSplit/>
        </w:trPr>
        <w:tc>
          <w:tcPr>
            <w:tcW w:type="dxa" w:w="93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6F7F8"/>
          </w:tcPr>
          <w:p>
            <w:pPr>
              <w:spacing w:after="40" w:line="245" w:lineRule="auto"/>
            </w:pPr>
            <w:r>
              <w:rPr>
                <w:b w:val="0"/>
                <w:color w:val="000000"/>
                <w:sz w:val="19"/>
              </w:rPr>
              <w:t>4</w:t>
            </w:r>
          </w:p>
        </w:tc>
        <w:tc>
          <w:tcPr>
            <w:tcW w:type="dxa" w:w="244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6F7F8"/>
          </w:tcPr>
          <w:p>
            <w:pPr>
              <w:spacing w:after="40" w:line="245" w:lineRule="auto"/>
            </w:pPr>
            <w:r>
              <w:rPr>
                <w:b w:val="0"/>
                <w:color w:val="000000"/>
                <w:sz w:val="19"/>
              </w:rPr>
              <w:t>Ablation and failure analysis</w:t>
            </w:r>
          </w:p>
        </w:tc>
        <w:tc>
          <w:tcPr>
            <w:tcW w:type="dxa" w:w="331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6F7F8"/>
          </w:tcPr>
          <w:p>
            <w:pPr>
              <w:spacing w:after="40" w:line="245" w:lineRule="auto"/>
            </w:pPr>
            <w:r>
              <w:rPr>
                <w:b w:val="0"/>
                <w:color w:val="000000"/>
                <w:sz w:val="19"/>
              </w:rPr>
              <w:t>60 ablation runs; switching and termination analyses; search-cost audit.</w:t>
            </w:r>
          </w:p>
        </w:tc>
        <w:tc>
          <w:tcPr>
            <w:tcW w:type="dxa" w:w="32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6F7F8"/>
          </w:tcPr>
          <w:p>
            <w:pPr>
              <w:spacing w:after="40" w:line="245" w:lineRule="auto"/>
            </w:pPr>
            <w:r>
              <w:rPr>
                <w:b w:val="0"/>
                <w:color w:val="000000"/>
                <w:sz w:val="19"/>
              </w:rPr>
              <w:t>Each controller component assessed; premature stopping and overhead quantified.</w:t>
            </w:r>
          </w:p>
        </w:tc>
      </w:tr>
      <w:tr>
        <w:trPr>
          <w:cantSplit/>
        </w:trPr>
        <w:tc>
          <w:tcPr>
            <w:tcW w:type="dxa" w:w="93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19"/>
              </w:rPr>
              <w:t>5</w:t>
            </w:r>
          </w:p>
        </w:tc>
        <w:tc>
          <w:tcPr>
            <w:tcW w:type="dxa" w:w="244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19"/>
              </w:rPr>
              <w:t>Final-model training and confirmatory evaluation</w:t>
            </w:r>
          </w:p>
        </w:tc>
        <w:tc>
          <w:tcPr>
            <w:tcW w:type="dxa" w:w="331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19"/>
              </w:rPr>
              <w:t>Locked model predictions; patient-bootstrap intervals; cost and noninferiority results.</w:t>
            </w:r>
          </w:p>
        </w:tc>
        <w:tc>
          <w:tcPr>
            <w:tcW w:type="dxa" w:w="32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19"/>
              </w:rPr>
              <w:t>Final checkpoints and thresholds fixed before testing; primary analysis completed without policy retuning.</w:t>
            </w:r>
          </w:p>
        </w:tc>
      </w:tr>
      <w:tr>
        <w:trPr>
          <w:cantSplit/>
        </w:trPr>
        <w:tc>
          <w:tcPr>
            <w:tcW w:type="dxa" w:w="93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6F7F8"/>
          </w:tcPr>
          <w:p>
            <w:pPr>
              <w:spacing w:after="40" w:line="245" w:lineRule="auto"/>
            </w:pPr>
            <w:r>
              <w:rPr>
                <w:b w:val="0"/>
                <w:color w:val="000000"/>
                <w:sz w:val="19"/>
              </w:rPr>
              <w:t>6</w:t>
            </w:r>
          </w:p>
        </w:tc>
        <w:tc>
          <w:tcPr>
            <w:tcW w:type="dxa" w:w="244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6F7F8"/>
          </w:tcPr>
          <w:p>
            <w:pPr>
              <w:spacing w:after="40" w:line="245" w:lineRule="auto"/>
            </w:pPr>
            <w:r>
              <w:rPr>
                <w:b w:val="0"/>
                <w:color w:val="000000"/>
                <w:sz w:val="19"/>
              </w:rPr>
              <w:t>Synthesis and dissemination</w:t>
            </w:r>
          </w:p>
        </w:tc>
        <w:tc>
          <w:tcPr>
            <w:tcW w:type="dxa" w:w="331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6F7F8"/>
          </w:tcPr>
          <w:p>
            <w:pPr>
              <w:spacing w:after="40" w:line="245" w:lineRule="auto"/>
            </w:pPr>
            <w:r>
              <w:rPr>
                <w:b w:val="0"/>
                <w:color w:val="000000"/>
                <w:sz w:val="19"/>
              </w:rPr>
              <w:t>Original research manuscript; code release; configuration files; reproducibility package.</w:t>
            </w:r>
          </w:p>
        </w:tc>
        <w:tc>
          <w:tcPr>
            <w:tcW w:type="dxa" w:w="32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6F7F8"/>
          </w:tcPr>
          <w:p>
            <w:pPr>
              <w:spacing w:after="40" w:line="245" w:lineRule="auto"/>
            </w:pPr>
            <w:r>
              <w:rPr>
                <w:b w:val="0"/>
                <w:color w:val="000000"/>
                <w:sz w:val="19"/>
              </w:rPr>
              <w:t>Claims match observed results; tables, references, and reported costs checked.</w:t>
            </w:r>
          </w:p>
        </w:tc>
      </w:tr>
    </w:tbl>
    <w:p>
      <w:pPr>
        <w:spacing w:after="0"/>
      </w:pPr>
    </w:p>
    <w:p>
      <w:pPr>
        <w:pStyle w:val="Heading2"/>
      </w:pPr>
      <w:r>
        <w:t>3.8.1 Dependencies and decision points</w:t>
      </w:r>
    </w:p>
    <w:p>
      <w:r>
        <w:rPr>
          <w:b w:val="0"/>
        </w:rPr>
        <w:t>Data preparation precedes pilot calibration. The pilot determines whether warm-up and confirmation fit within each budget. Benchmarking begins only after domains, policy settings, margins, and seeds are fixed. Ablation follows a verified controller implementation. Confirmatory testing follows configuration selection and analysis lock. Publication claims will reflect the observed results, including negative findings.</w:t>
      </w:r>
    </w:p>
    <w:p>
      <w:pPr>
        <w:pStyle w:val="Heading2"/>
      </w:pPr>
      <w:r>
        <w:t>3.8.2 Conditional research extensions</w:t>
      </w:r>
    </w:p>
    <w:p>
      <w:r>
        <w:rPr>
          <w:b w:val="0"/>
        </w:rPr>
        <w:t>After the primary study, two extensions may be undertaken: replication of the controller with PSO or GA, and validation on an independent ECG dataset after label harmonization. These activities are not included in the six-month primary workload. A general NUI or clinical deployment study would require a separate protocol and additional evidence.</w:t>
      </w:r>
    </w:p>
    <w:p>
      <w:r>
        <w:br w:type="page"/>
      </w:r>
    </w:p>
    <w:p>
      <w:pPr>
        <w:pStyle w:val="Heading1"/>
      </w:pPr>
      <w:r>
        <w:t>3.9 Resources milestones and deliverables</w:t>
      </w:r>
    </w:p>
    <w:p>
      <w:pPr>
        <w:pStyle w:val="Heading2"/>
      </w:pPr>
      <w:r>
        <w:t>3.9.1 Six month activity schedule</w:t>
      </w:r>
    </w:p>
    <w:tbl>
      <w:tblPr>
        <w:tblW w:type="auto" w:w="0"/>
        <w:jc w:val="center"/>
        <w:tblLayout w:type="fixed"/>
        <w:tblLook w:firstColumn="1" w:firstRow="1" w:lastColumn="0" w:lastRow="0" w:noHBand="0" w:noVBand="1" w:val="04A0"/>
      </w:tblPr>
      <w:tblGrid>
        <w:gridCol w:w="4752"/>
        <w:gridCol w:w="864"/>
        <w:gridCol w:w="864"/>
        <w:gridCol w:w="864"/>
        <w:gridCol w:w="864"/>
        <w:gridCol w:w="864"/>
        <w:gridCol w:w="864"/>
      </w:tblGrid>
      <w:tr>
        <w:trPr>
          <w:tblHeader/>
          <w:cantSplit/>
        </w:trPr>
        <w:tc>
          <w:tcPr>
            <w:tcW w:type="dxa" w:w="47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7EEF5"/>
          </w:tcPr>
          <w:p>
            <w:pPr>
              <w:spacing w:after="40" w:line="245" w:lineRule="auto"/>
            </w:pPr>
            <w:r>
              <w:rPr>
                <w:b/>
                <w:color w:val="000000"/>
                <w:sz w:val="19"/>
              </w:rPr>
              <w:t>Activity</w:t>
            </w:r>
          </w:p>
        </w:tc>
        <w:tc>
          <w:tcPr>
            <w:tcW w:type="dxa" w:w="86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7EEF5"/>
          </w:tcPr>
          <w:p>
            <w:pPr>
              <w:spacing w:after="40" w:line="245" w:lineRule="auto"/>
            </w:pPr>
            <w:r>
              <w:rPr>
                <w:b/>
                <w:color w:val="000000"/>
                <w:sz w:val="19"/>
              </w:rPr>
              <w:t>M1</w:t>
            </w:r>
          </w:p>
        </w:tc>
        <w:tc>
          <w:tcPr>
            <w:tcW w:type="dxa" w:w="86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7EEF5"/>
          </w:tcPr>
          <w:p>
            <w:pPr>
              <w:spacing w:after="40" w:line="245" w:lineRule="auto"/>
            </w:pPr>
            <w:r>
              <w:rPr>
                <w:b/>
                <w:color w:val="000000"/>
                <w:sz w:val="19"/>
              </w:rPr>
              <w:t>M2</w:t>
            </w:r>
          </w:p>
        </w:tc>
        <w:tc>
          <w:tcPr>
            <w:tcW w:type="dxa" w:w="86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7EEF5"/>
          </w:tcPr>
          <w:p>
            <w:pPr>
              <w:spacing w:after="40" w:line="245" w:lineRule="auto"/>
            </w:pPr>
            <w:r>
              <w:rPr>
                <w:b/>
                <w:color w:val="000000"/>
                <w:sz w:val="19"/>
              </w:rPr>
              <w:t>M3</w:t>
            </w:r>
          </w:p>
        </w:tc>
        <w:tc>
          <w:tcPr>
            <w:tcW w:type="dxa" w:w="86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7EEF5"/>
          </w:tcPr>
          <w:p>
            <w:pPr>
              <w:spacing w:after="40" w:line="245" w:lineRule="auto"/>
            </w:pPr>
            <w:r>
              <w:rPr>
                <w:b/>
                <w:color w:val="000000"/>
                <w:sz w:val="19"/>
              </w:rPr>
              <w:t>M4</w:t>
            </w:r>
          </w:p>
        </w:tc>
        <w:tc>
          <w:tcPr>
            <w:tcW w:type="dxa" w:w="86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7EEF5"/>
          </w:tcPr>
          <w:p>
            <w:pPr>
              <w:spacing w:after="40" w:line="245" w:lineRule="auto"/>
            </w:pPr>
            <w:r>
              <w:rPr>
                <w:b/>
                <w:color w:val="000000"/>
                <w:sz w:val="19"/>
              </w:rPr>
              <w:t>M5</w:t>
            </w:r>
          </w:p>
        </w:tc>
        <w:tc>
          <w:tcPr>
            <w:tcW w:type="dxa" w:w="86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7EEF5"/>
          </w:tcPr>
          <w:p>
            <w:pPr>
              <w:spacing w:after="40" w:line="245" w:lineRule="auto"/>
            </w:pPr>
            <w:r>
              <w:rPr>
                <w:b/>
                <w:color w:val="000000"/>
                <w:sz w:val="19"/>
              </w:rPr>
              <w:t>M6</w:t>
            </w:r>
          </w:p>
        </w:tc>
      </w:tr>
      <w:tr>
        <w:trPr>
          <w:cantSplit/>
        </w:trPr>
        <w:tc>
          <w:tcPr>
            <w:tcW w:type="dxa" w:w="47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19"/>
              </w:rPr>
              <w:t>Evidence and dataset preparation</w:t>
            </w:r>
          </w:p>
        </w:tc>
        <w:tc>
          <w:tcPr>
            <w:tcW w:type="dxa" w:w="86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19"/>
              </w:rPr>
              <w:t>X</w:t>
            </w:r>
          </w:p>
        </w:tc>
        <w:tc>
          <w:tcPr>
            <w:tcW w:type="dxa" w:w="86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19"/>
              </w:rPr>
            </w:r>
          </w:p>
        </w:tc>
        <w:tc>
          <w:tcPr>
            <w:tcW w:type="dxa" w:w="86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19"/>
              </w:rPr>
            </w:r>
          </w:p>
        </w:tc>
        <w:tc>
          <w:tcPr>
            <w:tcW w:type="dxa" w:w="86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19"/>
              </w:rPr>
            </w:r>
          </w:p>
        </w:tc>
        <w:tc>
          <w:tcPr>
            <w:tcW w:type="dxa" w:w="86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19"/>
              </w:rPr>
            </w:r>
          </w:p>
        </w:tc>
        <w:tc>
          <w:tcPr>
            <w:tcW w:type="dxa" w:w="86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19"/>
              </w:rPr>
            </w:r>
          </w:p>
        </w:tc>
      </w:tr>
      <w:tr>
        <w:trPr>
          <w:cantSplit/>
        </w:trPr>
        <w:tc>
          <w:tcPr>
            <w:tcW w:type="dxa" w:w="47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6F7F8"/>
          </w:tcPr>
          <w:p>
            <w:pPr>
              <w:spacing w:after="40" w:line="245" w:lineRule="auto"/>
            </w:pPr>
            <w:r>
              <w:rPr>
                <w:b w:val="0"/>
                <w:color w:val="000000"/>
                <w:sz w:val="19"/>
              </w:rPr>
              <w:t>Controller and pilot</w:t>
            </w:r>
          </w:p>
        </w:tc>
        <w:tc>
          <w:tcPr>
            <w:tcW w:type="dxa" w:w="86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6F7F8"/>
          </w:tcPr>
          <w:p>
            <w:pPr>
              <w:spacing w:after="40" w:line="245" w:lineRule="auto"/>
            </w:pPr>
            <w:r>
              <w:rPr>
                <w:b w:val="0"/>
                <w:color w:val="000000"/>
                <w:sz w:val="19"/>
              </w:rPr>
            </w:r>
          </w:p>
        </w:tc>
        <w:tc>
          <w:tcPr>
            <w:tcW w:type="dxa" w:w="86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6F7F8"/>
          </w:tcPr>
          <w:p>
            <w:pPr>
              <w:spacing w:after="40" w:line="245" w:lineRule="auto"/>
            </w:pPr>
            <w:r>
              <w:rPr>
                <w:b w:val="0"/>
                <w:color w:val="000000"/>
                <w:sz w:val="19"/>
              </w:rPr>
              <w:t>X</w:t>
            </w:r>
          </w:p>
        </w:tc>
        <w:tc>
          <w:tcPr>
            <w:tcW w:type="dxa" w:w="86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6F7F8"/>
          </w:tcPr>
          <w:p>
            <w:pPr>
              <w:spacing w:after="40" w:line="245" w:lineRule="auto"/>
            </w:pPr>
            <w:r>
              <w:rPr>
                <w:b w:val="0"/>
                <w:color w:val="000000"/>
                <w:sz w:val="19"/>
              </w:rPr>
            </w:r>
          </w:p>
        </w:tc>
        <w:tc>
          <w:tcPr>
            <w:tcW w:type="dxa" w:w="86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6F7F8"/>
          </w:tcPr>
          <w:p>
            <w:pPr>
              <w:spacing w:after="40" w:line="245" w:lineRule="auto"/>
            </w:pPr>
            <w:r>
              <w:rPr>
                <w:b w:val="0"/>
                <w:color w:val="000000"/>
                <w:sz w:val="19"/>
              </w:rPr>
            </w:r>
          </w:p>
        </w:tc>
        <w:tc>
          <w:tcPr>
            <w:tcW w:type="dxa" w:w="86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6F7F8"/>
          </w:tcPr>
          <w:p>
            <w:pPr>
              <w:spacing w:after="40" w:line="245" w:lineRule="auto"/>
            </w:pPr>
            <w:r>
              <w:rPr>
                <w:b w:val="0"/>
                <w:color w:val="000000"/>
                <w:sz w:val="19"/>
              </w:rPr>
            </w:r>
          </w:p>
        </w:tc>
        <w:tc>
          <w:tcPr>
            <w:tcW w:type="dxa" w:w="86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6F7F8"/>
          </w:tcPr>
          <w:p>
            <w:pPr>
              <w:spacing w:after="40" w:line="245" w:lineRule="auto"/>
            </w:pPr>
            <w:r>
              <w:rPr>
                <w:b w:val="0"/>
                <w:color w:val="000000"/>
                <w:sz w:val="19"/>
              </w:rPr>
            </w:r>
          </w:p>
        </w:tc>
      </w:tr>
      <w:tr>
        <w:trPr>
          <w:cantSplit/>
        </w:trPr>
        <w:tc>
          <w:tcPr>
            <w:tcW w:type="dxa" w:w="47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19"/>
              </w:rPr>
              <w:t>Main benchmarking</w:t>
            </w:r>
          </w:p>
        </w:tc>
        <w:tc>
          <w:tcPr>
            <w:tcW w:type="dxa" w:w="86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19"/>
              </w:rPr>
            </w:r>
          </w:p>
        </w:tc>
        <w:tc>
          <w:tcPr>
            <w:tcW w:type="dxa" w:w="86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19"/>
              </w:rPr>
            </w:r>
          </w:p>
        </w:tc>
        <w:tc>
          <w:tcPr>
            <w:tcW w:type="dxa" w:w="86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19"/>
              </w:rPr>
              <w:t>X</w:t>
            </w:r>
          </w:p>
        </w:tc>
        <w:tc>
          <w:tcPr>
            <w:tcW w:type="dxa" w:w="86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19"/>
              </w:rPr>
            </w:r>
          </w:p>
        </w:tc>
        <w:tc>
          <w:tcPr>
            <w:tcW w:type="dxa" w:w="86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19"/>
              </w:rPr>
            </w:r>
          </w:p>
        </w:tc>
        <w:tc>
          <w:tcPr>
            <w:tcW w:type="dxa" w:w="86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19"/>
              </w:rPr>
            </w:r>
          </w:p>
        </w:tc>
      </w:tr>
      <w:tr>
        <w:trPr>
          <w:cantSplit/>
        </w:trPr>
        <w:tc>
          <w:tcPr>
            <w:tcW w:type="dxa" w:w="47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6F7F8"/>
          </w:tcPr>
          <w:p>
            <w:pPr>
              <w:spacing w:after="40" w:line="245" w:lineRule="auto"/>
            </w:pPr>
            <w:r>
              <w:rPr>
                <w:b w:val="0"/>
                <w:color w:val="000000"/>
                <w:sz w:val="19"/>
              </w:rPr>
              <w:t>Ablation and failure analysis</w:t>
            </w:r>
          </w:p>
        </w:tc>
        <w:tc>
          <w:tcPr>
            <w:tcW w:type="dxa" w:w="86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6F7F8"/>
          </w:tcPr>
          <w:p>
            <w:pPr>
              <w:spacing w:after="40" w:line="245" w:lineRule="auto"/>
            </w:pPr>
            <w:r>
              <w:rPr>
                <w:b w:val="0"/>
                <w:color w:val="000000"/>
                <w:sz w:val="19"/>
              </w:rPr>
            </w:r>
          </w:p>
        </w:tc>
        <w:tc>
          <w:tcPr>
            <w:tcW w:type="dxa" w:w="86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6F7F8"/>
          </w:tcPr>
          <w:p>
            <w:pPr>
              <w:spacing w:after="40" w:line="245" w:lineRule="auto"/>
            </w:pPr>
            <w:r>
              <w:rPr>
                <w:b w:val="0"/>
                <w:color w:val="000000"/>
                <w:sz w:val="19"/>
              </w:rPr>
            </w:r>
          </w:p>
        </w:tc>
        <w:tc>
          <w:tcPr>
            <w:tcW w:type="dxa" w:w="86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6F7F8"/>
          </w:tcPr>
          <w:p>
            <w:pPr>
              <w:spacing w:after="40" w:line="245" w:lineRule="auto"/>
            </w:pPr>
            <w:r>
              <w:rPr>
                <w:b w:val="0"/>
                <w:color w:val="000000"/>
                <w:sz w:val="19"/>
              </w:rPr>
            </w:r>
          </w:p>
        </w:tc>
        <w:tc>
          <w:tcPr>
            <w:tcW w:type="dxa" w:w="86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6F7F8"/>
          </w:tcPr>
          <w:p>
            <w:pPr>
              <w:spacing w:after="40" w:line="245" w:lineRule="auto"/>
            </w:pPr>
            <w:r>
              <w:rPr>
                <w:b w:val="0"/>
                <w:color w:val="000000"/>
                <w:sz w:val="19"/>
              </w:rPr>
              <w:t>X</w:t>
            </w:r>
          </w:p>
        </w:tc>
        <w:tc>
          <w:tcPr>
            <w:tcW w:type="dxa" w:w="86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6F7F8"/>
          </w:tcPr>
          <w:p>
            <w:pPr>
              <w:spacing w:after="40" w:line="245" w:lineRule="auto"/>
            </w:pPr>
            <w:r>
              <w:rPr>
                <w:b w:val="0"/>
                <w:color w:val="000000"/>
                <w:sz w:val="19"/>
              </w:rPr>
            </w:r>
          </w:p>
        </w:tc>
        <w:tc>
          <w:tcPr>
            <w:tcW w:type="dxa" w:w="86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6F7F8"/>
          </w:tcPr>
          <w:p>
            <w:pPr>
              <w:spacing w:after="40" w:line="245" w:lineRule="auto"/>
            </w:pPr>
            <w:r>
              <w:rPr>
                <w:b w:val="0"/>
                <w:color w:val="000000"/>
                <w:sz w:val="19"/>
              </w:rPr>
            </w:r>
          </w:p>
        </w:tc>
      </w:tr>
      <w:tr>
        <w:trPr>
          <w:cantSplit/>
        </w:trPr>
        <w:tc>
          <w:tcPr>
            <w:tcW w:type="dxa" w:w="47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19"/>
              </w:rPr>
              <w:t>Final training and locked evaluation</w:t>
            </w:r>
          </w:p>
        </w:tc>
        <w:tc>
          <w:tcPr>
            <w:tcW w:type="dxa" w:w="86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19"/>
              </w:rPr>
            </w:r>
          </w:p>
        </w:tc>
        <w:tc>
          <w:tcPr>
            <w:tcW w:type="dxa" w:w="86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19"/>
              </w:rPr>
            </w:r>
          </w:p>
        </w:tc>
        <w:tc>
          <w:tcPr>
            <w:tcW w:type="dxa" w:w="86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19"/>
              </w:rPr>
            </w:r>
          </w:p>
        </w:tc>
        <w:tc>
          <w:tcPr>
            <w:tcW w:type="dxa" w:w="86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19"/>
              </w:rPr>
            </w:r>
          </w:p>
        </w:tc>
        <w:tc>
          <w:tcPr>
            <w:tcW w:type="dxa" w:w="86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19"/>
              </w:rPr>
              <w:t>X</w:t>
            </w:r>
          </w:p>
        </w:tc>
        <w:tc>
          <w:tcPr>
            <w:tcW w:type="dxa" w:w="86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color w:val="000000"/>
                <w:sz w:val="19"/>
              </w:rPr>
            </w:r>
          </w:p>
        </w:tc>
      </w:tr>
      <w:tr>
        <w:trPr>
          <w:cantSplit/>
        </w:trPr>
        <w:tc>
          <w:tcPr>
            <w:tcW w:type="dxa" w:w="47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6F7F8"/>
          </w:tcPr>
          <w:p>
            <w:pPr>
              <w:spacing w:after="40" w:line="245" w:lineRule="auto"/>
            </w:pPr>
            <w:r>
              <w:rPr>
                <w:b w:val="0"/>
                <w:color w:val="000000"/>
                <w:sz w:val="19"/>
              </w:rPr>
              <w:t>Manuscript and reproducibility package</w:t>
            </w:r>
          </w:p>
        </w:tc>
        <w:tc>
          <w:tcPr>
            <w:tcW w:type="dxa" w:w="86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6F7F8"/>
          </w:tcPr>
          <w:p>
            <w:pPr>
              <w:spacing w:after="40" w:line="245" w:lineRule="auto"/>
            </w:pPr>
            <w:r>
              <w:rPr>
                <w:b w:val="0"/>
                <w:color w:val="000000"/>
                <w:sz w:val="19"/>
              </w:rPr>
            </w:r>
          </w:p>
        </w:tc>
        <w:tc>
          <w:tcPr>
            <w:tcW w:type="dxa" w:w="86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6F7F8"/>
          </w:tcPr>
          <w:p>
            <w:pPr>
              <w:spacing w:after="40" w:line="245" w:lineRule="auto"/>
            </w:pPr>
            <w:r>
              <w:rPr>
                <w:b w:val="0"/>
                <w:color w:val="000000"/>
                <w:sz w:val="19"/>
              </w:rPr>
            </w:r>
          </w:p>
        </w:tc>
        <w:tc>
          <w:tcPr>
            <w:tcW w:type="dxa" w:w="86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6F7F8"/>
          </w:tcPr>
          <w:p>
            <w:pPr>
              <w:spacing w:after="40" w:line="245" w:lineRule="auto"/>
            </w:pPr>
            <w:r>
              <w:rPr>
                <w:b w:val="0"/>
                <w:color w:val="000000"/>
                <w:sz w:val="19"/>
              </w:rPr>
            </w:r>
          </w:p>
        </w:tc>
        <w:tc>
          <w:tcPr>
            <w:tcW w:type="dxa" w:w="86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6F7F8"/>
          </w:tcPr>
          <w:p>
            <w:pPr>
              <w:spacing w:after="40" w:line="245" w:lineRule="auto"/>
            </w:pPr>
            <w:r>
              <w:rPr>
                <w:b w:val="0"/>
                <w:color w:val="000000"/>
                <w:sz w:val="19"/>
              </w:rPr>
            </w:r>
          </w:p>
        </w:tc>
        <w:tc>
          <w:tcPr>
            <w:tcW w:type="dxa" w:w="86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6F7F8"/>
          </w:tcPr>
          <w:p>
            <w:pPr>
              <w:spacing w:after="40" w:line="245" w:lineRule="auto"/>
            </w:pPr>
            <w:r>
              <w:rPr>
                <w:b w:val="0"/>
                <w:color w:val="000000"/>
                <w:sz w:val="19"/>
              </w:rPr>
            </w:r>
          </w:p>
        </w:tc>
        <w:tc>
          <w:tcPr>
            <w:tcW w:type="dxa" w:w="86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6F7F8"/>
          </w:tcPr>
          <w:p>
            <w:pPr>
              <w:spacing w:after="40" w:line="245" w:lineRule="auto"/>
            </w:pPr>
            <w:r>
              <w:rPr>
                <w:b w:val="0"/>
                <w:color w:val="000000"/>
                <w:sz w:val="19"/>
              </w:rPr>
              <w:t>X</w:t>
            </w:r>
          </w:p>
        </w:tc>
      </w:tr>
    </w:tbl>
    <w:p>
      <w:pPr>
        <w:spacing w:after="0"/>
      </w:pPr>
    </w:p>
    <w:p>
      <w:pPr>
        <w:pStyle w:val="Heading2"/>
      </w:pPr>
      <w:r>
        <w:t>3.9.2 Computational resource envelope</w:t>
      </w:r>
    </w:p>
    <w:p>
      <w:r>
        <w:rPr>
          <w:b w:val="0"/>
        </w:rPr>
        <w:t>Seven methods, ten seeds, and caps of 80, 160, and 320 T_ref imply a maximum main-search allocation of 39,200 T_ref. Six ablations at 160 T_ref add 9,600 T_ref, giving 48,800 T_ref before pilot calibration, final training, or additional cross-validation. If T_ref is 60 seconds, the illustrative envelope is approximately 813 GPU-hours. This is a planning scenario, not a measured requirement; early termination may reduce actual expenditure.</w:t>
      </w:r>
    </w:p>
    <w:p>
      <w:r>
        <w:rPr>
          <w:b w:val="0"/>
        </w:rPr>
        <w:t>The primary benchmark will use one GPU type, sufficient memory for records and caches, and recorded software versions and determinism settings. Energy will be a supplementary outcome only when a suitable measurement method is available. Pilot findings will determine the feasible timetable.</w:t>
      </w:r>
    </w:p>
    <w:p>
      <w:pPr>
        <w:pStyle w:val="Heading2"/>
      </w:pPr>
      <w:r>
        <w:t>3.9.3 Research deliverables</w:t>
      </w:r>
    </w:p>
    <w:p>
      <w:pPr>
        <w:pStyle w:val="ListBullet"/>
      </w:pPr>
      <w:r>
        <w:t>An original research article reporting the controller, controlled comparisons, ablation, and limitations.</w:t>
      </w:r>
    </w:p>
    <w:p>
      <w:pPr>
        <w:pStyle w:val="ListBullet"/>
      </w:pPr>
      <w:r>
        <w:t>Evaluator and controller code, comparator configurations, analysis scripts, and prespecified seeds.</w:t>
      </w:r>
    </w:p>
    <w:p>
      <w:pPr>
        <w:pStyle w:val="ListBullet"/>
      </w:pPr>
      <w:r>
        <w:t>Patient split manifests, label mappings, decision logs, and model predictions consistent with dataset terms.</w:t>
      </w:r>
    </w:p>
    <w:p>
      <w:pPr>
        <w:pStyle w:val="ListBullet"/>
      </w:pPr>
      <w:r>
        <w:t>Figures of anytime performance, block-level resource allocation, and performance–cost trade-offs.</w:t>
      </w:r>
    </w:p>
    <w:p>
      <w:pPr>
        <w:pStyle w:val="Heading2"/>
      </w:pPr>
      <w:r>
        <w:t>3.9.4 Reporting and publication structure</w:t>
      </w:r>
    </w:p>
    <w:p>
      <w:r>
        <w:rPr>
          <w:b w:val="0"/>
        </w:rPr>
        <w:t>The article will comprise Introduction, Related Work, Problem Formulation, Marginal Utility Controller, ECG Experimental Protocol, Results, Ablation and Failure Analysis, Discussion, and Conclusion. The final abstract will include measured effects only after experimentation. Applicable institutional ethics review or exemption and dataset-use requirements will be documented.</w:t>
      </w:r>
    </w:p>
    <w:p>
      <w:r>
        <w:rPr>
          <w:b w:val="0"/>
        </w:rPr>
        <w:t>If noninferiority is not supported, conclusions will describe the conditions under which the controller loses performance. Margins and search domains will not be modified retrospectively to obtain favorable test results.</w:t>
      </w:r>
    </w:p>
    <w:p>
      <w:r>
        <w:br w:type="page"/>
      </w:r>
    </w:p>
    <w:p>
      <w:pPr>
        <w:pStyle w:val="Heading1"/>
      </w:pPr>
      <w:r>
        <w:t>References</w:t>
      </w:r>
    </w:p>
    <w:p>
      <w:pPr>
        <w:pStyle w:val="Heading2"/>
      </w:pPr>
      <w:r>
        <w:t>Source research documents</w:t>
      </w:r>
    </w:p>
    <w:p>
      <w:r>
        <w:rPr>
          <w:b w:val="0"/>
        </w:rPr>
        <w:t>[S1] Final Manuscript (with changes in blue). Nature-Inspired Metaheuristic Optimization Across Biomedical Deep-Learning Pipelines: A Systematic Review of Optimization Targets, Performance Gains, and Computational Trade-offs. Unpublished source manuscript supplied by the researcher. Sections 2.5, 3.3, 4.3–4.5, and 5.4–5.6; Tables 3–4.</w:t>
      </w:r>
    </w:p>
    <w:p>
      <w:r>
        <w:rPr>
          <w:b w:val="0"/>
        </w:rPr>
        <w:t>[S2] Brainstorming_Riset_NUI. Research brainstorming toward a standardized Net-Utility Index for metaheuristic optimization in biomedical deep learning. Source planning document, 7 October 2026. Research direction A4 and the search-cost break-even theme. Descriptive English translation of the source title.</w:t>
      </w:r>
    </w:p>
    <w:p>
      <w:r>
        <w:rPr>
          <w:b w:val="0"/>
        </w:rPr>
        <w:t>[S3] PENELITAN OKTOBER 2026. October 2026 research plan. Source planning document covering computational comparisons, leakage safeguards, and repeated runs. Proposed NUI formulations and illustrative values are not treated as validated outcomes.</w:t>
      </w:r>
    </w:p>
    <w:p>
      <w:pPr>
        <w:pStyle w:val="Heading2"/>
      </w:pPr>
      <w:r>
        <w:t>Primary research and dataset references</w:t>
      </w:r>
    </w:p>
    <w:p>
      <w:pPr>
        <w:spacing w:after="120"/>
      </w:pPr>
      <w:r>
        <w:rPr>
          <w:b w:val="0"/>
          <w:sz w:val="20"/>
        </w:rPr>
        <w:t>[R1] Wagner, P., Strodthoff, N., Bousseljot, R., Samek, W., &amp; Schaeffter, T. (2022). PTB-XL, a large publicly available electrocardiography dataset (version 1.0.3). PhysioNet. https://doi.org/10.13026/kfzx-aw45</w:t>
      </w:r>
    </w:p>
    <w:p>
      <w:pPr>
        <w:spacing w:after="120"/>
      </w:pPr>
      <w:r>
        <w:rPr>
          <w:b w:val="0"/>
          <w:sz w:val="20"/>
        </w:rPr>
        <w:t>[R2] Strodthoff, N., Wagner, P., Schaeffter, T., &amp; Samek, W. (2021). Deep Learning for ECG Analysis: Benchmarks and Insights from PTB-XL. IEEE Journal of Biomedical and Health Informatics, 25(5), 1519–1528. Paper: https://arxiv.org/abs/2004.13701 ; author repository: https://github.com/helme/ecg_ptbxl_benchmarking</w:t>
      </w:r>
    </w:p>
    <w:p>
      <w:pPr>
        <w:spacing w:after="120"/>
      </w:pPr>
      <w:r>
        <w:rPr>
          <w:b w:val="0"/>
          <w:sz w:val="20"/>
        </w:rPr>
        <w:t>[R3] Li, L., Jamieson, K., DeSalvo, G., Rostamizadeh, A., &amp; Talwalkar, A. (2018). Hyperband: A Novel Bandit-Based Approach to Hyperparameter Optimization. Journal of Machine Learning Research, 18(185), 1–52. https://jmlr.org/papers/v18/16-558.html</w:t>
      </w:r>
    </w:p>
    <w:p>
      <w:pPr>
        <w:spacing w:after="120"/>
      </w:pPr>
      <w:r>
        <w:rPr>
          <w:b w:val="0"/>
          <w:sz w:val="20"/>
        </w:rPr>
        <w:t>[R4] Falkner, S., Klein, A., &amp; Hutter, F. (2018). BOHB: Robust and Efficient Hyperparameter Optimization at Scale. Proceedings of Machine Learning Research, 80, 1437–1446. https://proceedings.mlr.press/v80/falkner18a.html</w:t>
      </w:r>
    </w:p>
    <w:p>
      <w:pPr>
        <w:spacing w:after="120"/>
      </w:pPr>
      <w:r>
        <w:rPr>
          <w:b w:val="0"/>
          <w:sz w:val="20"/>
        </w:rPr>
        <w:t>[R5] Awad, N., Mallik, N., &amp; Hutter, F. (2021). DEHB: Evolutionary Hyberband for Scalable, Robust and Efficient Hyperparameter Optimization. Proceedings of IJCAI, 2147–2153. https://doi.org/10.24963/ijcai.2021/296</w:t>
      </w:r>
    </w:p>
    <w:p>
      <w:pPr>
        <w:spacing w:after="120"/>
      </w:pPr>
      <w:r>
        <w:rPr>
          <w:b w:val="0"/>
          <w:sz w:val="20"/>
        </w:rPr>
        <w:t>[R6] Karroum, S., &amp; Mazhar, S. (2025). HyperArm Bandit Optimization: A Novel approach to Hyperparameter Optimization and an Analysis of Bandit Algorithms in Stochastic and Adversarial Settings. Preprint, arXiv:2503.10282. https://doi.org/10.48550/arXiv.2503.10282</w:t>
      </w:r>
    </w:p>
    <w:p>
      <w:r>
        <w:rPr>
          <w:b w:val="0"/>
        </w:rPr>
        <w:t>The additional primary sources were checked through official source pages, abstracts, and benchmark documentation. Detailed full-text comparisons remain necessary before final novelty claims or exact algorithm reimplementation.</w:t>
      </w:r>
    </w:p>
    <w:sectPr w:rsidR="00FC693F" w:rsidRPr="0006063C" w:rsidSect="00034616">
      <w:footerReference w:type="default" r:id="rId9"/>
      <w:pgSz w:w="12240" w:h="15840"/>
      <w:pgMar w:top="1037"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ECG Optimization Research Proposal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