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372"/>
        <w:gridCol w:w="1375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77192" w:rsidTr="00841209">
        <w:tc>
          <w:tcPr>
            <w:tcW w:w="1540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5259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377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F733CF" w:rsidTr="00841209">
        <w:tc>
          <w:tcPr>
            <w:tcW w:w="1540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5259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377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F733CF" w:rsidRPr="003A429E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</w:tc>
      </w:tr>
      <w:tr w:rsidR="00545414" w:rsidTr="00841209">
        <w:tc>
          <w:tcPr>
            <w:tcW w:w="1540" w:type="dxa"/>
          </w:tcPr>
          <w:p w:rsidR="00545414" w:rsidRDefault="009471C5" w:rsidP="0054541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</w:t>
            </w:r>
            <w:r w:rsidR="00545414" w:rsidRPr="00545414">
              <w:rPr>
                <w:lang w:val="en-US"/>
              </w:rPr>
              <w:t>oadAllCrops</w:t>
            </w:r>
            <w:proofErr w:type="spellEnd"/>
            <w:r w:rsidR="00545414" w:rsidRPr="00545414"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545414" w:rsidRDefault="009471C5" w:rsidP="00CB11D9">
            <w:pPr>
              <w:rPr>
                <w:lang w:val="en-US"/>
              </w:rPr>
            </w:pPr>
            <w:r>
              <w:rPr>
                <w:lang w:val="en-US"/>
              </w:rPr>
              <w:t>By invoking this method, all the crops can be loaded from the database.</w:t>
            </w:r>
          </w:p>
        </w:tc>
        <w:tc>
          <w:tcPr>
            <w:tcW w:w="1377" w:type="dxa"/>
          </w:tcPr>
          <w:p w:rsidR="00545414" w:rsidRPr="003A429E" w:rsidRDefault="009471C5" w:rsidP="00CB11D9">
            <w:pPr>
              <w:rPr>
                <w:lang w:val="en-US"/>
              </w:rPr>
            </w:pPr>
            <w:r w:rsidRPr="00545414">
              <w:rPr>
                <w:lang w:val="en-US"/>
              </w:rPr>
              <w:t>List&lt;Crop&gt;</w:t>
            </w:r>
          </w:p>
        </w:tc>
        <w:tc>
          <w:tcPr>
            <w:tcW w:w="1174" w:type="dxa"/>
          </w:tcPr>
          <w:p w:rsidR="00545414" w:rsidRPr="00F733CF" w:rsidRDefault="009471C5" w:rsidP="00CB11D9">
            <w:pPr>
              <w:rPr>
                <w:lang w:val="en-US"/>
              </w:rPr>
            </w:pPr>
            <w:r w:rsidRPr="009471C5">
              <w:rPr>
                <w:lang w:val="en-US"/>
              </w:rPr>
              <w:t>CropData</w:t>
            </w:r>
            <w:bookmarkStart w:id="1" w:name="_GoBack"/>
            <w:bookmarkEnd w:id="1"/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Water decreases each </w:t>
            </w:r>
            <w:r>
              <w:rPr>
                <w:lang w:val="en-US"/>
              </w:rPr>
              <w:lastRenderedPageBreak/>
              <w:t>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</w:t>
            </w:r>
            <w:r>
              <w:rPr>
                <w:lang w:val="en-US"/>
              </w:rPr>
              <w:lastRenderedPageBreak/>
              <w:t xml:space="preserve">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D0F6C"/>
    <w:rsid w:val="007D2F0E"/>
    <w:rsid w:val="00841209"/>
    <w:rsid w:val="0085380D"/>
    <w:rsid w:val="008F7C05"/>
    <w:rsid w:val="0092436C"/>
    <w:rsid w:val="009471C5"/>
    <w:rsid w:val="00974D69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53311"/>
    <w:rsid w:val="00EF513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B625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0041-00AC-4709-81CB-26A679DC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9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Khan</cp:lastModifiedBy>
  <cp:revision>16</cp:revision>
  <dcterms:created xsi:type="dcterms:W3CDTF">2016-11-22T20:13:00Z</dcterms:created>
  <dcterms:modified xsi:type="dcterms:W3CDTF">2017-01-16T17:12:00Z</dcterms:modified>
</cp:coreProperties>
</file>