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全国人民代表大会常务委员会关于批准《辽宁省喀喇沁左翼蒙古族自治县人民代表大会和人民委员会组织条例》的决议</w:t>
      </w:r>
    </w:p>
    <w:p>
      <w:pPr>
        <w:numPr>
          <w:ilvl w:val="0"/>
          <w:numId w:val="1"/>
        </w:numPr>
        <w:spacing w:after="0"/>
        <w:ind w:firstLine="420" w:firstLineChars="200"/>
        <w:jc w:val="left"/>
      </w:pPr>
      <w:r>
        <w:rPr>
          <w:rFonts w:ascii="Times New Roman" w:hAnsi="Times New Roman"/>
          <w:b w:val="false"/>
          <w:i w:val="false"/>
          <w:color w:val="000000"/>
          <w:sz w:val="22"/>
        </w:rPr>
        <w:t>发布部门 : 全国人大常委会</w:t>
      </w:r>
    </w:p>
    <w:p>
      <w:pPr>
        <w:numPr>
          <w:ilvl w:val="0"/>
          <w:numId w:val="1"/>
        </w:numPr>
        <w:spacing w:after="0"/>
        <w:ind w:firstLine="420" w:firstLineChars="200"/>
        <w:jc w:val="left"/>
      </w:pPr>
      <w:r>
        <w:rPr>
          <w:rFonts w:ascii="Times New Roman" w:hAnsi="Times New Roman"/>
          <w:b w:val="false"/>
          <w:i w:val="false"/>
          <w:color w:val="000000"/>
          <w:sz w:val="22"/>
        </w:rPr>
        <w:t>发文字号 : 中华人民共和国主席令第十二号</w:t>
      </w:r>
    </w:p>
    <w:p>
      <w:pPr>
        <w:numPr>
          <w:ilvl w:val="0"/>
          <w:numId w:val="1"/>
        </w:numPr>
        <w:spacing w:after="0"/>
        <w:ind w:firstLine="420" w:firstLineChars="200"/>
        <w:jc w:val="left"/>
      </w:pPr>
      <w:r>
        <w:rPr>
          <w:rFonts w:ascii="Times New Roman" w:hAnsi="Times New Roman"/>
          <w:b w:val="false"/>
          <w:i w:val="false"/>
          <w:color w:val="000000"/>
          <w:sz w:val="22"/>
        </w:rPr>
        <w:t>发布日期 : 1959-11-27</w:t>
      </w:r>
    </w:p>
    <w:p>
      <w:pPr>
        <w:numPr>
          <w:ilvl w:val="0"/>
          <w:numId w:val="1"/>
        </w:numPr>
        <w:spacing w:after="0"/>
        <w:ind w:firstLine="420" w:firstLineChars="200"/>
        <w:jc w:val="left"/>
      </w:pPr>
      <w:r>
        <w:rPr>
          <w:rFonts w:ascii="Times New Roman" w:hAnsi="Times New Roman"/>
          <w:b w:val="false"/>
          <w:i w:val="false"/>
          <w:color w:val="000000"/>
          <w:sz w:val="22"/>
        </w:rPr>
        <w:t>实施日期 : 1959-11-27</w:t>
      </w:r>
    </w:p>
    <w:p>
      <w:pPr>
        <w:numPr>
          <w:ilvl w:val="0"/>
          <w:numId w:val="1"/>
        </w:numPr>
        <w:spacing w:after="0"/>
        <w:ind w:firstLine="420" w:firstLineChars="200"/>
        <w:jc w:val="left"/>
      </w:pPr>
      <w:r>
        <w:rPr>
          <w:rFonts w:ascii="Times New Roman" w:hAnsi="Times New Roman"/>
          <w:b w:val="false"/>
          <w:i w:val="false"/>
          <w:color w:val="000000"/>
          <w:sz w:val="22"/>
        </w:rPr>
        <w:t>时效性 : 失效</w:t>
      </w:r>
    </w:p>
    <w:p>
      <w:pPr>
        <w:numPr>
          <w:ilvl w:val="0"/>
          <w:numId w:val="1"/>
        </w:numPr>
        <w:spacing w:after="0"/>
        <w:ind w:firstLine="420" w:firstLineChars="200"/>
        <w:jc w:val="left"/>
      </w:pPr>
      <w:r>
        <w:rPr>
          <w:rFonts w:ascii="Times New Roman" w:hAnsi="Times New Roman"/>
          <w:b w:val="false"/>
          <w:i w:val="false"/>
          <w:color w:val="000000"/>
          <w:sz w:val="22"/>
        </w:rPr>
        <w:t>效力级别 : 有关法律问题的决定</w:t>
      </w:r>
    </w:p>
    <w:p>
      <w:pPr>
        <w:numPr>
          <w:ilvl w:val="0"/>
          <w:numId w:val="1"/>
        </w:numPr>
        <w:spacing w:after="0"/>
        <w:ind w:firstLine="420" w:firstLineChars="200"/>
        <w:jc w:val="left"/>
      </w:pPr>
      <w:r>
        <w:rPr>
          <w:rFonts w:ascii="Times New Roman" w:hAnsi="Times New Roman"/>
          <w:b w:val="false"/>
          <w:i w:val="false"/>
          <w:color w:val="000000"/>
          <w:sz w:val="22"/>
        </w:rPr>
        <w:t>法规类别 : 组织法</w:t>
      </w:r>
    </w:p>
    <w:bookmarkEnd w:id="0"/>
    <w:p>
      <w:pPr>
        <w:spacing w:after="0"/>
        <w:ind w:left="0" w:firstLine="420" w:firstLineChars="200"/>
        <w:jc w:val="left"/>
      </w:pPr>
      <w:r>
        <w:br/>
      </w:r>
      <w:r>
        <w:rPr>
          <w:rFonts w:ascii="Times New Roman" w:hAnsi="Times New Roman"/>
          <w:b w:val="false"/>
          <w:i w:val="false"/>
          <w:color w:val="000000"/>
          <w:sz w:val="22"/>
        </w:rPr>
        <w:t>失效依据：</w:t>
      </w:r>
      <w:hyperlink r:id="rId12">
        <w:r>
          <w:rPr>
            <w:rFonts w:ascii="Times New Roman" w:hAnsi="Times New Roman"/>
            <w:b w:val="false"/>
            <w:i w:val="false"/>
            <w:color w:val="2d72e0"/>
            <w:sz w:val="22"/>
            <w:u w:val="single"/>
          </w:rPr>
          <w:t> 全国人民代表大会常务委员会关于批准法制工作委员会关于对1978年底以前颁布的法律进行清理情况和意见报告的决定 </w:t>
        </w:r>
      </w:hyperlink>
      <w:r>
        <w:br/>
      </w:r>
      <w:r>
        <w:br/>
      </w:r>
    </w:p>
    <w:p>
      <w:pPr>
        <w:spacing w:after="269"/>
        <w:ind w:left="0" w:firstLine="420" w:firstLineChars="200"/>
        <w:jc w:val="left"/>
      </w:pPr>
      <w:r>
        <w:rPr>
          <w:rFonts w:ascii="Times New Roman" w:hAnsi="Times New Roman"/>
          <w:b w:val="false"/>
          <w:i w:val="false"/>
          <w:color w:val="000000"/>
          <w:sz w:val="22"/>
        </w:rPr>
        <w:t>中华人民共和国主席令</w:t>
      </w:r>
      <w:r>
        <w:br/>
      </w:r>
      <w:r>
        <w:rPr>
          <w:rFonts w:ascii="Times New Roman" w:hAnsi="Times New Roman"/>
          <w:b w:val="false"/>
          <w:i w:val="false"/>
          <w:color w:val="000000"/>
          <w:sz w:val="22"/>
        </w:rPr>
        <w:t>（第十二号）</w:t>
      </w:r>
      <w:r>
        <w:br/>
      </w:r>
      <w:r>
        <w:br/>
      </w:r>
      <w:r>
        <w:rPr>
          <w:rFonts w:ascii="Times New Roman" w:hAnsi="Times New Roman"/>
          <w:b w:val="false"/>
          <w:i w:val="false"/>
          <w:color w:val="000000"/>
          <w:sz w:val="22"/>
        </w:rPr>
        <w:t>《辽宁省喀喇沁左翼蒙古族自治县人民代表大会和人民委员会组织条例》</w:t>
      </w:r>
      <w:r>
        <w:rPr>
          <w:rFonts w:ascii="Times New Roman" w:hAnsi="Times New Roman"/>
          <w:b w:val="false"/>
          <w:i w:val="false"/>
          <w:color w:val="000000"/>
          <w:sz w:val="22"/>
        </w:rPr>
        <w:t>已由中华人民共和国第二届全国人民代表大会常务委员会于1959年11月27日第十一次会议批准，现予公布。</w:t>
      </w:r>
      <w:r>
        <w:br/>
      </w:r>
      <w:r>
        <w:br/>
      </w:r>
      <w:r>
        <w:rPr>
          <w:rFonts w:ascii="Times New Roman" w:hAnsi="Times New Roman"/>
          <w:b w:val="false"/>
          <w:i w:val="false"/>
          <w:color w:val="000000"/>
          <w:sz w:val="22"/>
        </w:rPr>
        <w:t>中华人民共和国主席 刘少奇</w:t>
      </w:r>
      <w:r>
        <w:br/>
      </w:r>
      <w:r>
        <w:rPr>
          <w:rFonts w:ascii="Times New Roman" w:hAnsi="Times New Roman"/>
          <w:b w:val="false"/>
          <w:i w:val="false"/>
          <w:color w:val="000000"/>
          <w:sz w:val="22"/>
        </w:rPr>
        <w:t>1959年11月27日</w:t>
      </w:r>
      <w:r>
        <w:br/>
      </w:r>
      <w:r>
        <w:br/>
      </w:r>
      <w:r>
        <w:rPr>
          <w:rFonts w:ascii="Times New Roman" w:hAnsi="Times New Roman"/>
          <w:b w:val="false"/>
          <w:i w:val="false"/>
          <w:color w:val="000000"/>
          <w:sz w:val="22"/>
        </w:rPr>
        <w:t>全国人民代表大会常务委员会关于批准</w:t>
      </w:r>
      <w:r>
        <w:rPr>
          <w:rFonts w:ascii="Times New Roman" w:hAnsi="Times New Roman"/>
          <w:b w:val="false"/>
          <w:i w:val="false"/>
          <w:color w:val="000000"/>
          <w:sz w:val="22"/>
        </w:rPr>
        <w:t>《辽宁省</w:t>
      </w:r>
      <w:r>
        <w:br/>
      </w:r>
      <w:r>
        <w:rPr>
          <w:rFonts w:ascii="Times New Roman" w:hAnsi="Times New Roman"/>
          <w:b w:val="false"/>
          <w:i w:val="false"/>
          <w:color w:val="000000"/>
          <w:sz w:val="22"/>
        </w:rPr>
        <w:t>喀喇沁左翼蒙古族自治县人民代表大会和人民委员会组织条例》</w:t>
      </w:r>
      <w:r>
        <w:rPr>
          <w:rFonts w:ascii="Times New Roman" w:hAnsi="Times New Roman"/>
          <w:b w:val="false"/>
          <w:i w:val="false"/>
          <w:color w:val="000000"/>
          <w:sz w:val="22"/>
        </w:rPr>
        <w:t>的决议</w:t>
      </w:r>
      <w:r>
        <w:br/>
      </w:r>
      <w:r>
        <w:rPr>
          <w:rFonts w:ascii="Times New Roman" w:hAnsi="Times New Roman"/>
          <w:b w:val="false"/>
          <w:i w:val="false"/>
          <w:color w:val="000000"/>
          <w:sz w:val="22"/>
        </w:rPr>
        <w:t>（1959年11月27日通过）</w:t>
      </w:r>
      <w:r>
        <w:br/>
      </w:r>
      <w:r>
        <w:br/>
      </w:r>
      <w:r>
        <w:rPr>
          <w:rFonts w:ascii="Times New Roman" w:hAnsi="Times New Roman"/>
          <w:b w:val="false"/>
          <w:i w:val="false"/>
          <w:color w:val="000000"/>
          <w:sz w:val="22"/>
        </w:rPr>
        <w:t>第二届全国人民代表大会常务委员会第十一次会议决议：批准辽宁省喀喇沁左翼蒙古族自治县第一届人民代表大会第一次会议制定的</w:t>
      </w:r>
      <w:r>
        <w:rPr>
          <w:rFonts w:ascii="Times New Roman" w:hAnsi="Times New Roman"/>
          <w:b w:val="false"/>
          <w:i w:val="false"/>
          <w:color w:val="000000"/>
          <w:sz w:val="22"/>
        </w:rPr>
        <w:t>《辽宁省喀喇沁左翼蒙古族自治县人民代表大会和人民委员会组织条例》</w:t>
      </w:r>
      <w:r>
        <w:rPr>
          <w:rFonts w:ascii="Times New Roman" w:hAnsi="Times New Roman"/>
          <w:b w:val="false"/>
          <w:i w:val="false"/>
          <w:color w:val="000000"/>
          <w:sz w:val="22"/>
        </w:rPr>
        <w:t>。</w:t>
      </w:r>
      <w:r>
        <w:br/>
      </w:r>
      <w:r>
        <w:br/>
      </w:r>
      <w:r>
        <w:rPr>
          <w:rFonts w:ascii="Times New Roman" w:hAnsi="Times New Roman"/>
          <w:b w:val="false"/>
          <w:i w:val="false"/>
          <w:color w:val="000000"/>
          <w:sz w:val="22"/>
        </w:rPr>
        <w:t>附、辽宁省喀喇沁左翼蒙古族自治县人民代表大会和人民委员会组织条例（略）</w:t>
      </w:r>
      <w:r>
        <w:br/>
      </w:r>
      <w:r>
        <w:br/>
      </w:r>
    </w:p>
    <w:p>
      <w:pPr>
        <w:spacing w:after="269"/>
        <w:ind w:left="0" w:firstLine="420" w:firstLineChars="200"/>
        <w:jc w:val="left"/>
      </w:pPr>
      <w:r>
        <w:br/>
      </w:r>
    </w:p>
    <w:p>
      <w:hyperlink r:id="rId13">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javascript:TMP('8e927505d8f7dd5288a420c63b4b8a6e',0,'chl')" Type="http://schemas.openxmlformats.org/officeDocument/2006/relationships/hyperlink" Id="rId12"/>
    <Relationship TargetMode="External" Target="https://ydzk.chineselaw.com/zxt/statuteDetail/detailPage?id=4d5c09470ed478556339ade75cd8de63" Type="http://schemas.openxmlformats.org/officeDocument/2006/relationships/hyperlink" Id="rId13"/>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